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center"/>
        <w:textAlignment w:val="auto"/>
        <w:outlineLvl w:val="9"/>
        <w:rPr>
          <w:rFonts w:hint="eastAsia" w:ascii="仿宋_GB2312" w:hAnsi="仿宋_GB2312" w:eastAsia="仿宋_GB2312"/>
          <w:b/>
          <w:bCs/>
          <w:sz w:val="36"/>
          <w:szCs w:val="36"/>
          <w:lang w:val="en-US" w:eastAsia="zh-CN"/>
        </w:rPr>
      </w:pPr>
      <w:r>
        <w:rPr>
          <w:rFonts w:hint="eastAsia" w:ascii="仿宋_GB2312" w:hAnsi="仿宋_GB2312" w:eastAsia="仿宋_GB2312"/>
          <w:b/>
          <w:bCs/>
          <w:sz w:val="36"/>
          <w:szCs w:val="36"/>
          <w:lang w:val="en-US" w:eastAsia="zh-CN"/>
        </w:rPr>
        <w:t>桓台县人民政府2019年度政府信息公开工作年度报告</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仿宋_GB2312" w:hAnsi="仿宋_GB2312" w:eastAsia="仿宋_GB2312"/>
          <w:b/>
          <w:bCs/>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仿宋_GB2312" w:hAnsi="仿宋_GB2312" w:eastAsia="仿宋_GB2312"/>
          <w:sz w:val="24"/>
          <w:szCs w:val="22"/>
          <w:lang w:val="en-US" w:eastAsia="zh-CN"/>
        </w:rPr>
      </w:pPr>
      <w:r>
        <w:rPr>
          <w:rFonts w:hint="eastAsia" w:ascii="仿宋_GB2312" w:hAnsi="仿宋_GB2312" w:eastAsia="仿宋_GB2312"/>
          <w:sz w:val="24"/>
          <w:szCs w:val="22"/>
          <w:lang w:val="en-US" w:eastAsia="zh-CN"/>
        </w:rPr>
        <w:t>本年度报告根据《中华人民共和国政府信息公开条例》（国务院令第</w:t>
      </w:r>
      <w:r>
        <w:rPr>
          <w:rFonts w:hint="default" w:ascii="仿宋_GB2312" w:hAnsi="仿宋_GB2312" w:eastAsia="仿宋_GB2312"/>
          <w:sz w:val="24"/>
          <w:szCs w:val="22"/>
          <w:lang w:val="en-US" w:eastAsia="zh-CN"/>
        </w:rPr>
        <w:t>492</w:t>
      </w:r>
      <w:r>
        <w:rPr>
          <w:rFonts w:hint="eastAsia" w:ascii="仿宋_GB2312" w:hAnsi="仿宋_GB2312" w:eastAsia="仿宋_GB2312"/>
          <w:sz w:val="24"/>
          <w:szCs w:val="22"/>
          <w:lang w:val="en-US" w:eastAsia="zh-CN"/>
        </w:rPr>
        <w:t>号公布，国务院令第</w:t>
      </w:r>
      <w:r>
        <w:rPr>
          <w:rFonts w:hint="default" w:ascii="仿宋_GB2312" w:hAnsi="仿宋_GB2312" w:eastAsia="仿宋_GB2312"/>
          <w:sz w:val="24"/>
          <w:szCs w:val="22"/>
          <w:lang w:val="en-US" w:eastAsia="zh-CN"/>
        </w:rPr>
        <w:t>711</w:t>
      </w:r>
      <w:r>
        <w:rPr>
          <w:rFonts w:hint="eastAsia" w:ascii="仿宋_GB2312" w:hAnsi="仿宋_GB2312" w:eastAsia="仿宋_GB2312"/>
          <w:sz w:val="24"/>
          <w:szCs w:val="22"/>
          <w:lang w:val="en-US" w:eastAsia="zh-CN"/>
        </w:rPr>
        <w:t>号修订，以下简称《条例》）和《山东省政府信息公开办法》（山东省人民政府令第225号，以下简称《办法》）的要求，本报告由桓台县人民政府办公室汇总，桓台县人民政府及政府各部门、各直属事业单位和各乡镇（管委会、街道办）的政府信息公开年度报告编制而成。</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sz w:val="24"/>
          <w:szCs w:val="22"/>
          <w:lang w:val="en-US" w:eastAsia="zh-CN"/>
        </w:rPr>
      </w:pPr>
      <w:r>
        <w:rPr>
          <w:rFonts w:hint="eastAsia" w:ascii="仿宋_GB2312" w:hAnsi="仿宋_GB2312" w:eastAsia="仿宋_GB2312"/>
          <w:sz w:val="24"/>
          <w:lang w:val="en-US" w:eastAsia="zh-CN"/>
        </w:rPr>
        <w:t>全文包括总体情况、主动公开政府信息情况、收到和处理政府信息公开申请情况、政府信息公开行政复议和行政诉讼情况、存在的主要问题和改进措施、其他需要报告的事项六大板块。</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szCs w:val="22"/>
          <w:lang w:val="en-US" w:eastAsia="zh-CN"/>
        </w:rPr>
        <w:t>本报告中所列数据的统计期限自2019年1月1日起至2019年12月31日止。</w:t>
      </w:r>
      <w:r>
        <w:rPr>
          <w:rFonts w:hint="eastAsia" w:ascii="仿宋_GB2312" w:hAnsi="仿宋_GB2312" w:eastAsia="仿宋_GB2312"/>
          <w:sz w:val="24"/>
          <w:lang w:val="en-US" w:eastAsia="zh-CN"/>
        </w:rPr>
        <w:t>本年度报告电子版可从桓台县人民政府门户网站（http://www.huantai.gov.cn/）下载。如对本年度报告有疑问，请与桓台县人民政府办公室联系（地址：桓台县中心大街766号；电话：0533-8180102；邮编：256400）。</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黑体" w:hAnsi="黑体" w:eastAsia="黑体"/>
          <w:sz w:val="24"/>
          <w:lang w:val="en-US" w:eastAsia="zh-CN"/>
          <w14:shadow w14:blurRad="50800" w14:dist="38100" w14:dir="2700000" w14:sx="100000" w14:sy="100000" w14:kx="0" w14:ky="0" w14:algn="tl">
            <w14:srgbClr w14:val="000000">
              <w14:alpha w14:val="60000"/>
            </w14:srgbClr>
          </w14:shadow>
        </w:rPr>
      </w:pPr>
      <w:r>
        <w:rPr>
          <w:rFonts w:hint="eastAsia" w:ascii="黑体" w:hAnsi="黑体" w:eastAsia="黑体"/>
          <w:sz w:val="24"/>
          <w:lang w:val="en-US" w:eastAsia="zh-CN"/>
          <w14:shadow w14:blurRad="50800" w14:dist="38100" w14:dir="2700000" w14:sx="100000" w14:sy="100000" w14:kx="0" w14:ky="0" w14:algn="tl">
            <w14:srgbClr w14:val="000000">
              <w14:alpha w14:val="60000"/>
            </w14:srgbClr>
          </w14:shadow>
        </w:rPr>
        <w:t xml:space="preserve"> </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r>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t>一、总体情况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黑体" w:hAnsi="黑体" w:eastAsia="黑体"/>
          <w:sz w:val="24"/>
          <w:szCs w:val="2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黑体" w:hAnsi="黑体" w:eastAsia="黑体"/>
          <w:sz w:val="24"/>
          <w:szCs w:val="22"/>
          <w:lang w:val="en-US" w:eastAsia="zh-CN"/>
        </w:rPr>
      </w:pPr>
      <w:r>
        <w:rPr>
          <w:rFonts w:hint="eastAsia" w:ascii="黑体" w:hAnsi="黑体" w:eastAsia="黑体"/>
          <w:sz w:val="24"/>
          <w:szCs w:val="22"/>
          <w:lang w:val="en-US" w:eastAsia="zh-CN"/>
        </w:rPr>
        <w:t>1、概述</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楷体_GB2312" w:hAnsi="楷体_GB2312" w:eastAsia="楷体_GB2312"/>
          <w:sz w:val="24"/>
          <w:lang w:val="en-US" w:eastAsia="zh-CN"/>
        </w:rPr>
      </w:pPr>
      <w:r>
        <w:rPr>
          <w:rFonts w:hint="eastAsia" w:ascii="仿宋_GB2312" w:hAnsi="仿宋_GB2312" w:eastAsia="仿宋_GB2312"/>
          <w:sz w:val="24"/>
          <w:lang w:eastAsia="zh-CN"/>
        </w:rPr>
        <w:t>201</w:t>
      </w:r>
      <w:r>
        <w:rPr>
          <w:rFonts w:hint="eastAsia" w:ascii="仿宋_GB2312" w:hAnsi="仿宋_GB2312" w:eastAsia="仿宋_GB2312"/>
          <w:sz w:val="24"/>
          <w:lang w:val="en-US" w:eastAsia="zh-CN"/>
        </w:rPr>
        <w:t>9</w:t>
      </w:r>
      <w:r>
        <w:rPr>
          <w:rFonts w:hint="eastAsia" w:ascii="仿宋_GB2312" w:hAnsi="仿宋_GB2312" w:eastAsia="仿宋_GB2312"/>
          <w:sz w:val="24"/>
          <w:lang w:eastAsia="zh-CN"/>
        </w:rPr>
        <w:t>年，桓台</w:t>
      </w:r>
      <w:r>
        <w:rPr>
          <w:rFonts w:hint="eastAsia" w:ascii="仿宋_GB2312" w:hAnsi="仿宋_GB2312" w:eastAsia="仿宋_GB2312"/>
          <w:sz w:val="24"/>
          <w:szCs w:val="22"/>
          <w:lang w:val="en-US" w:eastAsia="zh-CN"/>
        </w:rPr>
        <w:t>县坚持以习近平新时代中国特色社会主义思想为指导，全面贯彻党的十九大和十九届二中、三中、四中全会精神，深入贯彻习近平总书记参加十三届全国人大二次会议时的重要讲话和重要指示批示精神。认</w:t>
      </w:r>
      <w:r>
        <w:rPr>
          <w:rFonts w:hint="eastAsia" w:ascii="仿宋_GB2312" w:hAnsi="仿宋_GB2312" w:eastAsia="仿宋_GB2312"/>
          <w:sz w:val="24"/>
          <w:lang w:eastAsia="zh-CN"/>
        </w:rPr>
        <w:t>真贯彻落实2019年施行的新修订的《中华人民共和国政府信息公开条例</w:t>
      </w:r>
      <w:r>
        <w:rPr>
          <w:rFonts w:hint="eastAsia" w:ascii="仿宋_GB2312" w:hAnsi="仿宋_GB2312" w:eastAsia="仿宋_GB2312"/>
          <w:sz w:val="24"/>
          <w:szCs w:val="22"/>
          <w:lang w:eastAsia="zh-CN"/>
        </w:rPr>
        <w:t>》及《国务院办公厅政府信息与政务公开办公室关于政府信息公开工作年度报告有关事项的通知》（国办公开办函〔2019〕60号）文件精神，积极履行推进、指导、协调、监督职责，扎实推进政务公开工作，以公开稳预期、强监督、促落实、优服务，为坚持高质量发展落实赶超、推进新时代</w:t>
      </w:r>
      <w:r>
        <w:rPr>
          <w:rFonts w:hint="eastAsia" w:ascii="仿宋_GB2312" w:hAnsi="仿宋_GB2312" w:eastAsia="仿宋_GB2312"/>
          <w:sz w:val="24"/>
          <w:szCs w:val="22"/>
          <w:lang w:val="en-US" w:eastAsia="zh-CN"/>
        </w:rPr>
        <w:t>新桓台</w:t>
      </w:r>
      <w:r>
        <w:rPr>
          <w:rFonts w:hint="eastAsia" w:ascii="仿宋_GB2312" w:hAnsi="仿宋_GB2312" w:eastAsia="仿宋_GB2312"/>
          <w:sz w:val="24"/>
          <w:szCs w:val="22"/>
          <w:lang w:eastAsia="zh-CN"/>
        </w:rPr>
        <w:t>建设发挥了积极作用。就本年度政府信息管理情况进行深入探讨，形成统一认识，有力指导了工作实践：</w:t>
      </w:r>
      <w:r>
        <w:rPr>
          <w:rFonts w:hint="eastAsia" w:ascii="楷体_GB2312" w:hAnsi="楷体_GB2312" w:eastAsia="楷体_GB2312"/>
          <w:sz w:val="24"/>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楷体_GB2312" w:hAnsi="楷体_GB2312" w:eastAsia="楷体_GB2312"/>
          <w:sz w:val="24"/>
          <w:szCs w:val="22"/>
          <w:lang w:val="en-US" w:eastAsia="zh-CN"/>
        </w:rPr>
      </w:pPr>
      <w:r>
        <w:rPr>
          <w:rFonts w:hint="eastAsia" w:ascii="楷体_GB2312" w:hAnsi="楷体_GB2312" w:eastAsia="楷体_GB2312"/>
          <w:sz w:val="24"/>
          <w:szCs w:val="22"/>
          <w:lang w:val="en-US" w:eastAsia="zh-CN"/>
        </w:rPr>
        <w:t>（一）积极推进全县政务公开工作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szCs w:val="22"/>
          <w:lang w:val="en-US" w:eastAsia="zh-CN"/>
        </w:rPr>
        <w:t xml:space="preserve">    桓台县</w:t>
      </w:r>
      <w:r>
        <w:rPr>
          <w:rFonts w:hint="eastAsia" w:ascii="仿宋_GB2312" w:hAnsi="仿宋_GB2312" w:eastAsia="仿宋_GB2312"/>
          <w:sz w:val="24"/>
          <w:szCs w:val="22"/>
          <w:lang w:eastAsia="zh-CN"/>
        </w:rPr>
        <w:t>人民政府</w:t>
      </w:r>
      <w:r>
        <w:rPr>
          <w:rFonts w:hint="eastAsia" w:ascii="仿宋_GB2312" w:hAnsi="仿宋_GB2312" w:eastAsia="仿宋_GB2312"/>
          <w:sz w:val="24"/>
          <w:lang w:eastAsia="zh-CN"/>
        </w:rPr>
        <w:t>办公室</w:t>
      </w:r>
      <w:r>
        <w:rPr>
          <w:rFonts w:hint="eastAsia" w:ascii="仿宋_GB2312" w:hAnsi="仿宋_GB2312" w:eastAsia="仿宋_GB2312"/>
          <w:sz w:val="24"/>
          <w:szCs w:val="22"/>
          <w:lang w:eastAsia="zh-CN"/>
        </w:rPr>
        <w:t>作为全县政府信息公开工作主管部门，认真落实国务院办公厅及省政府政务公开工作部署。细化工作任务，明确责任单位，压实工作责任。推动各级各部门加强机构建设，统筹负责全县政务公开和政府信息公开组织协调、指导推进、</w:t>
      </w:r>
      <w:r>
        <w:rPr>
          <w:rFonts w:hint="eastAsia" w:ascii="仿宋_GB2312" w:hAnsi="仿宋_GB2312" w:eastAsia="仿宋_GB2312"/>
          <w:sz w:val="24"/>
          <w:lang w:eastAsia="zh-CN"/>
        </w:rPr>
        <w:t>监督检查等工作。县政府各部门、各镇（街道）和有关单位</w:t>
      </w:r>
      <w:r>
        <w:rPr>
          <w:rFonts w:hint="eastAsia" w:ascii="仿宋_GB2312" w:hAnsi="仿宋_GB2312" w:eastAsia="仿宋_GB2312"/>
          <w:sz w:val="24"/>
          <w:szCs w:val="22"/>
          <w:lang w:eastAsia="zh-CN"/>
        </w:rPr>
        <w:t>不断加强组织机构和工作人员配置，定期检查及时督促各级各部门切实查改薄弱环节，抓好各项工作落实，督促机构改革新组建单位建立健全政府信息公开工作制度，切实履行公开职责。</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认真落实政府信息公开属性源头认定机制，文件签批单设有信息公开属性栏目，文件起草审核过程中同步确定其公开属性。按照政务公开工作要求，文件制定后及时在桓台县人民政府网站和政府公报进行公开。</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楷体_GB2312" w:hAnsi="楷体_GB2312" w:eastAsia="楷体_GB2312"/>
          <w:sz w:val="24"/>
          <w:szCs w:val="22"/>
          <w:lang w:val="en-US" w:eastAsia="zh-CN"/>
        </w:rPr>
      </w:pPr>
      <w:r>
        <w:rPr>
          <w:rFonts w:hint="eastAsia" w:ascii="楷体_GB2312" w:hAnsi="楷体_GB2312" w:eastAsia="楷体_GB2312"/>
          <w:sz w:val="24"/>
          <w:szCs w:val="22"/>
          <w:lang w:val="en-US" w:eastAsia="zh-CN"/>
        </w:rPr>
        <w:t xml:space="preserve">（二）切实履行公开职责    </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szCs w:val="22"/>
          <w:lang w:val="en-US" w:eastAsia="zh-CN"/>
        </w:rPr>
        <w:t>聚焦重点领域，加大稳增长、促改革、调结构、惠民生、防风险、保稳定系列政策措施的执行和落实情况公开力度，及时发布桓台县人民政府部门预决算情况信息，</w:t>
      </w:r>
      <w:r>
        <w:rPr>
          <w:rFonts w:hint="eastAsia" w:ascii="仿宋_GB2312" w:hAnsi="仿宋_GB2312" w:eastAsia="仿宋_GB2312"/>
          <w:sz w:val="24"/>
          <w:lang w:val="en-US" w:eastAsia="zh-CN"/>
        </w:rPr>
        <w:t>围绕</w:t>
      </w:r>
      <w:r>
        <w:rPr>
          <w:rFonts w:hint="eastAsia" w:ascii="仿宋_GB2312" w:hAnsi="仿宋_GB2312" w:eastAsia="仿宋_GB2312"/>
          <w:sz w:val="24"/>
          <w:szCs w:val="22"/>
          <w:lang w:val="en-US" w:eastAsia="zh-CN"/>
        </w:rPr>
        <w:t>乡村振兴、新旧动能转换、“放管服”改革和脱贫攻坚、</w:t>
      </w:r>
      <w:r>
        <w:rPr>
          <w:rFonts w:hint="eastAsia" w:ascii="仿宋_GB2312" w:hAnsi="仿宋_GB2312" w:eastAsia="仿宋_GB2312"/>
          <w:sz w:val="24"/>
          <w:lang w:val="en-US" w:eastAsia="zh-CN"/>
        </w:rPr>
        <w:t>法治政府建设、财税信息、重大建设项目与公共资源配置、公益事业、民生领域、安全生产监管等重点领域，全面推进政务公开，助力经济发展，更好惠及民生。</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仿宋_GB2312" w:hAnsi="仿宋_GB2312" w:eastAsia="仿宋_GB2312"/>
          <w:sz w:val="24"/>
          <w:lang w:val="en-US" w:eastAsia="zh-CN"/>
        </w:rPr>
      </w:pPr>
      <w:r>
        <w:rPr>
          <w:rFonts w:hint="eastAsia" w:ascii="楷体_GB2312" w:hAnsi="楷体_GB2312" w:eastAsia="楷体_GB2312"/>
          <w:sz w:val="24"/>
          <w:szCs w:val="22"/>
          <w:lang w:val="en-US" w:eastAsia="zh-CN"/>
        </w:rPr>
        <w:t xml:space="preserve">（三）更加注重解读回应 </w:t>
      </w:r>
      <w:r>
        <w:rPr>
          <w:rFonts w:hint="eastAsia" w:ascii="仿宋_GB2312" w:hAnsi="仿宋_GB2312" w:eastAsia="仿宋_GB2312"/>
          <w:sz w:val="24"/>
          <w:lang w:val="en-US" w:eastAsia="zh-CN"/>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eastAsia="zh-CN"/>
        </w:rPr>
        <w:t>桓台县人民政府已完成网站整合工作。部门、单位通过县政府门户网站发布信息，</w:t>
      </w:r>
      <w:r>
        <w:rPr>
          <w:rFonts w:hint="eastAsia" w:ascii="仿宋_GB2312" w:hAnsi="仿宋_GB2312" w:eastAsia="仿宋_GB2312"/>
          <w:sz w:val="24"/>
          <w:lang w:val="en-US" w:eastAsia="zh-CN"/>
        </w:rPr>
        <w:t>其</w:t>
      </w:r>
      <w:r>
        <w:rPr>
          <w:rFonts w:hint="eastAsia" w:ascii="仿宋_GB2312" w:hAnsi="仿宋_GB2312" w:eastAsia="仿宋_GB2312"/>
          <w:sz w:val="24"/>
          <w:lang w:eastAsia="zh-CN"/>
        </w:rPr>
        <w:t>相关部门和9个镇（街道）通过县政府门户网站开展政务公开工作。</w:t>
      </w:r>
      <w:r>
        <w:rPr>
          <w:rFonts w:hint="eastAsia" w:ascii="仿宋_GB2312" w:hAnsi="仿宋_GB2312" w:eastAsia="仿宋_GB2312"/>
          <w:sz w:val="24"/>
          <w:highlight w:val="none"/>
          <w:lang w:eastAsia="zh-CN"/>
        </w:rPr>
        <w:t>全年独立用户访问数达41854个，网站访问总量达2095895次，发布信息</w:t>
      </w:r>
      <w:r>
        <w:rPr>
          <w:rFonts w:hint="eastAsia" w:ascii="仿宋_GB2312" w:hAnsi="仿宋_GB2312" w:eastAsia="仿宋_GB2312"/>
          <w:sz w:val="24"/>
          <w:highlight w:val="none"/>
          <w:lang w:val="en-US" w:eastAsia="zh-CN"/>
        </w:rPr>
        <w:t>7967</w:t>
      </w:r>
      <w:r>
        <w:rPr>
          <w:rFonts w:hint="eastAsia" w:ascii="仿宋_GB2312" w:hAnsi="仿宋_GB2312" w:eastAsia="仿宋_GB2312"/>
          <w:sz w:val="24"/>
          <w:highlight w:val="none"/>
          <w:lang w:eastAsia="zh-CN"/>
        </w:rPr>
        <w:t>条。</w:t>
      </w:r>
      <w:r>
        <w:rPr>
          <w:rFonts w:hint="eastAsia" w:ascii="仿宋_GB2312" w:hAnsi="仿宋_GB2312" w:eastAsia="仿宋_GB2312"/>
          <w:sz w:val="24"/>
          <w:lang w:eastAsia="zh-CN"/>
        </w:rPr>
        <w:t>不断优化信息公开目录，以</w:t>
      </w:r>
      <w:r>
        <w:rPr>
          <w:rFonts w:hint="eastAsia" w:ascii="仿宋_GB2312" w:hAnsi="仿宋_GB2312" w:eastAsia="仿宋_GB2312"/>
          <w:sz w:val="24"/>
          <w:lang w:val="en-US" w:eastAsia="zh-CN"/>
        </w:rPr>
        <w:t>2019年机构改革为契机，桓台县</w:t>
      </w:r>
      <w:r>
        <w:rPr>
          <w:rFonts w:hint="eastAsia" w:ascii="仿宋_GB2312" w:hAnsi="仿宋_GB2312" w:eastAsia="仿宋_GB2312"/>
          <w:sz w:val="24"/>
          <w:lang w:eastAsia="zh-CN"/>
        </w:rPr>
        <w:t>对信息公开目录进行了调整，</w:t>
      </w:r>
      <w:r>
        <w:rPr>
          <w:rFonts w:hint="eastAsia" w:ascii="仿宋_GB2312" w:hAnsi="仿宋_GB2312" w:eastAsia="仿宋_GB2312"/>
          <w:sz w:val="24"/>
          <w:lang w:val="en-US" w:eastAsia="zh-CN"/>
        </w:rPr>
        <w:t>充分发挥政府门户网站在政府信息公开中的第一平台作用，提高内容全面性和获取便捷性。</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lang w:eastAsia="zh-CN"/>
        </w:rPr>
      </w:pPr>
      <w:r>
        <w:rPr>
          <w:rFonts w:hint="eastAsia" w:ascii="仿宋_GB2312" w:hAnsi="仿宋_GB2312" w:eastAsia="仿宋_GB2312"/>
          <w:sz w:val="24"/>
          <w:lang w:val="en-US" w:eastAsia="zh-CN"/>
        </w:rPr>
        <w:t xml:space="preserve">    加强政策解读制度建设，进一步增强政策解读实效，真正做到解读材料与政策文件同步起草、同步审签、同步发布。运用多种形式对</w:t>
      </w:r>
      <w:r>
        <w:rPr>
          <w:rFonts w:hint="eastAsia" w:ascii="仿宋_GB2312" w:hAnsi="仿宋_GB2312" w:eastAsia="仿宋_GB2312"/>
          <w:sz w:val="24"/>
          <w:szCs w:val="22"/>
          <w:lang w:val="en-US" w:eastAsia="zh-CN"/>
        </w:rPr>
        <w:t>《桓台县城市居民最低生活保障标准提标》、《关于实施民生工程的意见》、《桓台县医疗共同体建设实施方案》、《桓台县城乡居民最低生活保障和城乡特困供养标准》等相关政策法规在桓台县人民政府门户网站进行政策解读，全年通</w:t>
      </w:r>
      <w:r>
        <w:rPr>
          <w:rFonts w:hint="eastAsia" w:ascii="仿宋_GB2312" w:hAnsi="仿宋_GB2312" w:eastAsia="仿宋_GB2312"/>
          <w:sz w:val="24"/>
          <w:lang w:val="en-US" w:eastAsia="zh-CN"/>
        </w:rPr>
        <w:t>过政府门户网站</w:t>
      </w:r>
      <w:r>
        <w:rPr>
          <w:rFonts w:hint="eastAsia" w:ascii="仿宋_GB2312" w:hAnsi="仿宋_GB2312" w:eastAsia="仿宋_GB2312"/>
          <w:sz w:val="24"/>
          <w:highlight w:val="none"/>
          <w:lang w:val="en-US" w:eastAsia="zh-CN"/>
        </w:rPr>
        <w:t>发布政策解读材料13件，涉及乡村振兴、新旧动能转换、民生项目等工作。同时，利用</w:t>
      </w:r>
      <w:r>
        <w:rPr>
          <w:rFonts w:hint="eastAsia" w:ascii="仿宋_GB2312" w:hAnsi="仿宋_GB2312" w:eastAsia="仿宋_GB2312"/>
          <w:sz w:val="24"/>
          <w:lang w:val="en-US" w:eastAsia="zh-CN"/>
        </w:rPr>
        <w:t>广播电视、新闻发布会、各类新媒体广泛开展政策解读。</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 xml:space="preserve">    利用形式多样的政务公开平台，大力开展政务公开工作。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lang w:eastAsia="zh-CN"/>
        </w:rPr>
      </w:pPr>
      <w:r>
        <w:rPr>
          <w:rFonts w:hint="eastAsia" w:ascii="仿宋_GB2312" w:hAnsi="仿宋_GB2312" w:eastAsia="仿宋_GB2312"/>
          <w:sz w:val="24"/>
          <w:lang w:val="en-US" w:eastAsia="zh-CN"/>
        </w:rPr>
        <w:t xml:space="preserve">    一是</w:t>
      </w:r>
      <w:r>
        <w:rPr>
          <w:rFonts w:hint="eastAsia" w:ascii="仿宋_GB2312" w:hAnsi="仿宋_GB2312" w:eastAsia="仿宋_GB2312"/>
          <w:sz w:val="24"/>
          <w:lang w:eastAsia="zh-CN"/>
        </w:rPr>
        <w:t>通过咨询建议、投诉举报、意见征集、在线调查、访谈热线等渠道主动接受公众建议和情况反映，拓展政府网站互动功能。</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highlight w:val="none"/>
          <w:lang w:val="en-US" w:eastAsia="zh-CN"/>
        </w:rPr>
      </w:pPr>
      <w:r>
        <w:rPr>
          <w:rFonts w:hint="eastAsia" w:ascii="仿宋_GB2312" w:hAnsi="仿宋_GB2312" w:eastAsia="仿宋_GB2312"/>
          <w:sz w:val="24"/>
          <w:lang w:val="en-US" w:eastAsia="zh-CN"/>
        </w:rPr>
        <w:t xml:space="preserve">  </w:t>
      </w:r>
      <w:r>
        <w:rPr>
          <w:rFonts w:hint="eastAsia" w:ascii="仿宋_GB2312" w:hAnsi="仿宋_GB2312" w:eastAsia="仿宋_GB2312"/>
          <w:sz w:val="24"/>
          <w:highlight w:val="none"/>
          <w:lang w:val="en-US" w:eastAsia="zh-CN"/>
        </w:rPr>
        <w:t xml:space="preserve">  二是通过桓台大众微信公众号和桓台发布微信公众号，及时发布各类政务信息及民生热点问题，开展调查、投票等互动活动，全年发布信息1500余条，其中政务类信息500余条。</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highlight w:val="none"/>
          <w:lang w:val="en-US" w:eastAsia="zh-CN"/>
        </w:rPr>
      </w:pPr>
      <w:r>
        <w:rPr>
          <w:rFonts w:hint="eastAsia" w:ascii="仿宋_GB2312" w:hAnsi="仿宋_GB2312" w:eastAsia="仿宋_GB2312"/>
          <w:sz w:val="24"/>
          <w:highlight w:val="none"/>
          <w:lang w:val="en-US" w:eastAsia="zh-CN"/>
        </w:rPr>
        <w:t>      三是在“i桓台”手机客户端app设立政务专栏，每天发布政务类信息，定期开展直播活动及制作H5产品，丰富信息发布形式。全年发布桓台县各类信息3000余条，其中政务类信息1000余条。</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sz w:val="24"/>
          <w:lang w:eastAsia="zh-CN"/>
        </w:rPr>
      </w:pPr>
      <w:r>
        <w:rPr>
          <w:rFonts w:hint="eastAsia" w:ascii="仿宋_GB2312" w:hAnsi="仿宋_GB2312" w:eastAsia="仿宋_GB2312"/>
          <w:sz w:val="24"/>
          <w:lang w:val="en-US" w:eastAsia="zh-CN"/>
        </w:rPr>
        <w:t>四是利用桓台大众微博和桓台发布微博、《桓台大众》报纸、山东手机报桓台专刊等平台开展政务公开工作，进一步扩展政务公开宣传渠道，</w:t>
      </w:r>
      <w:r>
        <w:rPr>
          <w:rFonts w:hint="eastAsia" w:ascii="仿宋_GB2312" w:hAnsi="仿宋_GB2312" w:eastAsia="仿宋_GB2312"/>
          <w:sz w:val="24"/>
          <w:lang w:eastAsia="zh-CN"/>
        </w:rPr>
        <w:t>最大限度的满足公众随时随地获取政府信息和服务的需要。</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仿宋_GB2312" w:hAnsi="仿宋_GB2312" w:eastAsia="仿宋_GB2312"/>
          <w:sz w:val="24"/>
          <w:lang w:eastAsia="zh-CN"/>
        </w:rPr>
      </w:pPr>
      <w:r>
        <w:rPr>
          <w:rFonts w:hint="eastAsia" w:ascii="仿宋_GB2312" w:hAnsi="仿宋_GB2312" w:eastAsia="仿宋_GB2312"/>
          <w:sz w:val="24"/>
          <w:lang w:eastAsia="zh-CN"/>
        </w:rPr>
        <w:t>我县投入一定数量的工作人员用于政府信息公开工作。桓台县人民政府办公室及各单位（镇、街道）从事政府信息公开的工作人员（包括分管领导）共计一百余人，及时回应社会关切，</w:t>
      </w:r>
      <w:r>
        <w:rPr>
          <w:rFonts w:hint="eastAsia" w:ascii="仿宋_GB2312" w:hAnsi="仿宋_GB2312" w:eastAsia="仿宋_GB2312"/>
          <w:sz w:val="24"/>
          <w:lang w:val="en-US" w:eastAsia="zh-CN"/>
        </w:rPr>
        <w:t>确保回应渠道的畅通性、多样性和时效性。紧紧围绕公众普遍关注的热点问题，通过图文并茂等方式答疑解惑，营造良好社会舆论氛围。</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12345政务热线服务中心对各项工作制度进行了修订完善，制发了市民投诉工作考核细则，针对性、可操作性更强。严格落实跟踪督办、现场督办等各项工作制度，切实提高办理效率。对各承办单位提出了明确要求，明确工作标准、明确办理时限、明确责任追究，打造上下联动、齐抓共管的良好格局，形成协调统一的联动机制，努力把政务热线打造成为政府联系群众的重要平台和为民服务的重要渠道。</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jc w:val="both"/>
        <w:textAlignment w:val="auto"/>
        <w:outlineLvl w:val="9"/>
        <w:rPr>
          <w:rFonts w:hint="eastAsia" w:ascii="仿宋_GB2312" w:hAnsi="仿宋_GB2312" w:eastAsia="仿宋_GB2312"/>
          <w:sz w:val="24"/>
          <w:lang w:eastAsia="zh-CN"/>
        </w:rPr>
      </w:pPr>
      <w:r>
        <w:rPr>
          <w:rFonts w:hint="eastAsia" w:ascii="仿宋_GB2312" w:hAnsi="仿宋_GB2312" w:eastAsia="仿宋_GB2312"/>
          <w:sz w:val="24"/>
          <w:lang w:eastAsia="zh-CN"/>
        </w:rPr>
        <w:t>加强依申请公开管理和服务，畅通受理渠道，规范受理流程和工作标准，保障公民、法人或其他组织依法获取政府信息，推动依申请公开工作实现良好运转。</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楷体_GB2312" w:hAnsi="楷体_GB2312" w:eastAsia="楷体_GB2312"/>
          <w:sz w:val="24"/>
          <w:lang w:eastAsia="zh-CN"/>
        </w:rPr>
      </w:pPr>
      <w:r>
        <w:rPr>
          <w:rFonts w:hint="eastAsia" w:ascii="楷体_GB2312" w:hAnsi="楷体_GB2312" w:eastAsia="楷体_GB2312"/>
          <w:sz w:val="24"/>
          <w:szCs w:val="22"/>
          <w:lang w:val="en-US" w:eastAsia="zh-CN"/>
        </w:rPr>
        <w:t>（四）理顺完善工作机制</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 xml:space="preserve">     制定业务培训计划。全年共举办全县性工作培训1次。各镇（街道）、各部门也根据自身工作实际，组织了不同形式、不同专题的培训。县政府办公室进一步加强对各镇（街道）、各部门政务公开工作的指导监督，对发现的公开工作落实不力问题，及时督促整改。</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仿宋_GB2312" w:hAnsi="仿宋_GB2312" w:eastAsia="仿宋_GB2312"/>
          <w:sz w:val="24"/>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黑体" w:hAnsi="黑体" w:eastAsia="黑体"/>
          <w:sz w:val="24"/>
          <w:szCs w:val="22"/>
          <w:lang w:val="en-US" w:eastAsia="zh-CN"/>
        </w:rPr>
      </w:pPr>
      <w:r>
        <w:rPr>
          <w:rFonts w:hint="eastAsia" w:ascii="黑体" w:hAnsi="黑体" w:eastAsia="黑体"/>
          <w:sz w:val="24"/>
          <w:szCs w:val="22"/>
          <w:lang w:val="en-US" w:eastAsia="zh-CN"/>
        </w:rPr>
        <w:t>2、主动公开政府信息情况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仿宋_GB2312" w:hAnsi="仿宋_GB2312" w:eastAsia="仿宋_GB2312"/>
          <w:color w:val="auto"/>
          <w:sz w:val="24"/>
          <w:szCs w:val="24"/>
          <w:lang w:eastAsia="zh-CN"/>
        </w:rPr>
      </w:pPr>
      <w:r>
        <w:rPr>
          <w:rFonts w:hint="eastAsia" w:ascii="黑体" w:hAnsi="黑体" w:eastAsia="黑体"/>
          <w:sz w:val="24"/>
          <w:szCs w:val="24"/>
          <w:lang w:val="en-US" w:eastAsia="zh-CN"/>
        </w:rPr>
        <w:t xml:space="preserve">    </w:t>
      </w:r>
      <w:r>
        <w:rPr>
          <w:rFonts w:hint="eastAsia" w:ascii="仿宋_GB2312" w:hAnsi="仿宋_GB2312" w:eastAsia="仿宋_GB2312"/>
          <w:color w:val="auto"/>
          <w:sz w:val="24"/>
          <w:szCs w:val="24"/>
          <w:lang w:eastAsia="zh-CN"/>
        </w:rPr>
        <w:t>201</w:t>
      </w:r>
      <w:r>
        <w:rPr>
          <w:rFonts w:hint="eastAsia" w:ascii="仿宋_GB2312" w:hAnsi="仿宋_GB2312" w:eastAsia="仿宋_GB2312"/>
          <w:color w:val="auto"/>
          <w:sz w:val="24"/>
          <w:szCs w:val="24"/>
          <w:lang w:val="en-US" w:eastAsia="zh-CN"/>
        </w:rPr>
        <w:t>9</w:t>
      </w:r>
      <w:r>
        <w:rPr>
          <w:rFonts w:hint="eastAsia" w:ascii="仿宋_GB2312" w:hAnsi="仿宋_GB2312" w:eastAsia="仿宋_GB2312"/>
          <w:color w:val="auto"/>
          <w:sz w:val="24"/>
          <w:szCs w:val="24"/>
          <w:lang w:eastAsia="zh-CN"/>
        </w:rPr>
        <w:t>年，全县主动公开政府信息</w:t>
      </w:r>
      <w:r>
        <w:rPr>
          <w:rFonts w:hint="eastAsia" w:ascii="仿宋_GB2312" w:hAnsi="仿宋_GB2312" w:eastAsia="仿宋_GB2312"/>
          <w:color w:val="auto"/>
          <w:sz w:val="24"/>
          <w:szCs w:val="24"/>
          <w:lang w:val="en-US" w:eastAsia="zh-CN"/>
        </w:rPr>
        <w:t>1814</w:t>
      </w:r>
      <w:r>
        <w:rPr>
          <w:rFonts w:hint="eastAsia" w:ascii="仿宋_GB2312" w:hAnsi="仿宋_GB2312" w:eastAsia="仿宋_GB2312"/>
          <w:color w:val="auto"/>
          <w:sz w:val="24"/>
          <w:szCs w:val="24"/>
          <w:lang w:eastAsia="zh-CN"/>
        </w:rPr>
        <w:t>条。坚持“应公开尽公开”原则，大力推进发布、解读、回应三位一体政务公开新格局建设，不断强化依申请公开管理和服务，保障公民、法人或其他组织依法获取政府信息。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仿宋_GB2312" w:hAnsi="仿宋_GB2312" w:eastAsia="仿宋_GB2312"/>
          <w:color w:val="auto"/>
          <w:sz w:val="24"/>
          <w:szCs w:val="24"/>
          <w:lang w:val="en-US" w:eastAsia="zh-CN"/>
        </w:rPr>
      </w:pPr>
      <w:r>
        <w:rPr>
          <w:rFonts w:hint="eastAsia" w:ascii="楷体_GB2312" w:hAnsi="楷体_GB2312" w:eastAsia="楷体_GB2312"/>
          <w:color w:val="auto"/>
          <w:sz w:val="24"/>
          <w:szCs w:val="24"/>
          <w:lang w:val="en-US" w:eastAsia="zh-CN"/>
        </w:rPr>
        <w:t>（一）</w:t>
      </w:r>
      <w:r>
        <w:rPr>
          <w:rFonts w:hint="eastAsia" w:ascii="楷体_GB2312" w:hAnsi="楷体_GB2312" w:eastAsia="楷体_GB2312"/>
          <w:color w:val="auto"/>
          <w:sz w:val="24"/>
          <w:szCs w:val="24"/>
          <w:lang w:eastAsia="zh-CN"/>
        </w:rPr>
        <w:t>推进行政权力信息公开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Calibri" w:eastAsia="仿宋_GB2312" w:cs="Times New Roman"/>
          <w:color w:val="auto"/>
          <w:sz w:val="24"/>
          <w:szCs w:val="24"/>
        </w:rPr>
      </w:pPr>
      <w:r>
        <w:rPr>
          <w:rFonts w:hint="eastAsia" w:ascii="仿宋_GB2312" w:hAnsi="仿宋_GB2312" w:eastAsia="仿宋_GB2312"/>
          <w:color w:val="auto"/>
          <w:sz w:val="24"/>
          <w:szCs w:val="24"/>
          <w:lang w:eastAsia="zh-CN"/>
        </w:rPr>
        <w:t>我县持续推进“一次办好”改革，</w:t>
      </w:r>
      <w:r>
        <w:rPr>
          <w:rFonts w:hint="eastAsia" w:ascii="仿宋_GB2312" w:hAnsi="Calibri" w:eastAsia="仿宋_GB2312" w:cs="Times New Roman"/>
          <w:color w:val="auto"/>
          <w:sz w:val="24"/>
          <w:szCs w:val="24"/>
        </w:rPr>
        <w:t>实现了依申请服务事项“全覆盖”。“一次办好”事项清单通过山东政务服务网、桓台</w:t>
      </w:r>
      <w:r>
        <w:rPr>
          <w:rFonts w:hint="eastAsia" w:ascii="仿宋_GB2312" w:hAnsi="Calibri" w:eastAsia="仿宋_GB2312" w:cs="Times New Roman"/>
          <w:color w:val="auto"/>
          <w:sz w:val="24"/>
          <w:szCs w:val="24"/>
          <w:lang w:eastAsia="zh-CN"/>
        </w:rPr>
        <w:t>县人民政府网站</w:t>
      </w:r>
      <w:r>
        <w:rPr>
          <w:rFonts w:hint="eastAsia" w:ascii="仿宋_GB2312" w:hAnsi="Calibri" w:eastAsia="仿宋_GB2312" w:cs="Times New Roman"/>
          <w:color w:val="auto"/>
          <w:sz w:val="24"/>
          <w:szCs w:val="24"/>
        </w:rPr>
        <w:t>、桓台机构编制网面向社会进行公布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楷体_GB2312" w:hAnsi="楷体_GB2312" w:eastAsia="楷体_GB2312"/>
          <w:color w:val="auto"/>
          <w:sz w:val="24"/>
          <w:szCs w:val="24"/>
          <w:lang w:eastAsia="zh-CN"/>
        </w:rPr>
      </w:pPr>
      <w:r>
        <w:rPr>
          <w:rFonts w:hint="eastAsia" w:ascii="楷体_GB2312" w:hAnsi="楷体_GB2312" w:eastAsia="楷体_GB2312"/>
          <w:color w:val="auto"/>
          <w:sz w:val="24"/>
          <w:szCs w:val="24"/>
          <w:lang w:eastAsia="zh-CN"/>
        </w:rPr>
        <w:t>（二）推进政务服务信息公开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olor w:val="auto"/>
          <w:sz w:val="24"/>
          <w:szCs w:val="24"/>
          <w:lang w:val="en-US" w:eastAsia="zh-CN"/>
        </w:rPr>
      </w:pPr>
      <w:r>
        <w:rPr>
          <w:rFonts w:hint="eastAsia" w:ascii="仿宋_GB2312" w:hAnsi="仿宋_GB2312" w:eastAsia="仿宋_GB2312"/>
          <w:color w:val="auto"/>
          <w:sz w:val="24"/>
          <w:szCs w:val="24"/>
          <w:lang w:val="en-US" w:eastAsia="zh-CN"/>
        </w:rPr>
        <w:t xml:space="preserve">    加强标准化、规范化建设，对各镇（街道）便民服务中心实行“五统一管理”，</w:t>
      </w:r>
      <w:r>
        <w:rPr>
          <w:rFonts w:hint="eastAsia" w:ascii="仿宋_GB2312" w:eastAsia="仿宋_GB2312"/>
          <w:color w:val="auto"/>
          <w:sz w:val="24"/>
          <w:szCs w:val="24"/>
        </w:rPr>
        <w:t>政务服务大厅和部门（单位）办事大厅基本实现“一窗受理”服务</w:t>
      </w:r>
      <w:r>
        <w:rPr>
          <w:rFonts w:hint="eastAsia" w:ascii="仿宋_GB2312" w:hAnsi="仿宋_GB2312" w:eastAsia="仿宋_GB2312"/>
          <w:color w:val="auto"/>
          <w:sz w:val="24"/>
          <w:szCs w:val="24"/>
          <w:lang w:val="en-US" w:eastAsia="zh-CN"/>
        </w:rPr>
        <w:t>，同步应用山东政务服务网，为群众提供更加优质便捷的服务。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olor w:val="auto"/>
          <w:sz w:val="24"/>
          <w:szCs w:val="24"/>
          <w:lang w:val="en-US" w:eastAsia="zh-CN"/>
        </w:rPr>
      </w:pP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rPr>
        <w:t>推进“互联网+政务服务”。</w:t>
      </w:r>
      <w:r>
        <w:rPr>
          <w:rFonts w:hint="eastAsia" w:ascii="仿宋_GB2312" w:hAnsi="仿宋_GB2312" w:eastAsia="仿宋_GB2312"/>
          <w:color w:val="auto"/>
          <w:sz w:val="24"/>
          <w:szCs w:val="24"/>
          <w:lang w:val="en-US" w:eastAsia="zh-CN"/>
        </w:rPr>
        <w:t>整合县政府各部门有关电子政务管理职责和资源，组建统一的数据资源管理机构。整合县政府有关部门数据中心资源和平台设施，推进政务服务信息资源共享。</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default" w:ascii="仿宋_GB2312" w:eastAsia="仿宋_GB2312"/>
          <w:color w:val="auto"/>
          <w:sz w:val="24"/>
          <w:szCs w:val="24"/>
          <w:lang w:val="en-US"/>
        </w:rPr>
      </w:pP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rPr>
        <w:t>完善便民服务体系。优化业务办理流程，打破企业和群众办事过程中存在的住所地、居住地或户籍地限制，建立统一的信息交互平台，让企业和群众在县域内任何一个基层受理中心均能申请办理政务服务事项，实现“就近办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color w:val="auto"/>
          <w:sz w:val="24"/>
          <w:szCs w:val="24"/>
        </w:rPr>
      </w:pP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rPr>
        <w:t>配合市级推出一批“全市通办”事项，推动居民身份证、驾驶证、出入境证件、医保社保、住房公积金等便民服务事项“全市通办”。</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rPr>
        <w:t>持续开展“减证便民”。确需保留的事项，逐项列明设定依据、索要单位、开具单位、办理指南等，严格实行清单管理。大力减少盖章、审核、备案、确认、告知等各种繁琐环节和手续，上一个政务服务环节已收取的申报材料，不再要求重复提交。</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olor w:val="auto"/>
          <w:sz w:val="24"/>
          <w:szCs w:val="24"/>
          <w:lang w:val="en-US" w:eastAsia="zh-CN"/>
        </w:rPr>
      </w:pPr>
      <w:r>
        <w:rPr>
          <w:rFonts w:hint="eastAsia" w:ascii="楷体_GB2312" w:hAnsi="楷体_GB2312" w:eastAsia="楷体_GB2312"/>
          <w:color w:val="auto"/>
          <w:sz w:val="24"/>
          <w:szCs w:val="24"/>
          <w:lang w:val="en-US" w:eastAsia="zh-CN"/>
        </w:rPr>
        <w:t>（三）</w:t>
      </w:r>
      <w:r>
        <w:rPr>
          <w:rFonts w:hint="eastAsia" w:ascii="楷体_GB2312" w:hAnsi="楷体_GB2312" w:eastAsia="楷体_GB2312"/>
          <w:color w:val="auto"/>
          <w:sz w:val="24"/>
          <w:szCs w:val="24"/>
          <w:lang w:eastAsia="zh-CN"/>
        </w:rPr>
        <w:t>推进重大部署信息公开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 xml:space="preserve">    统筹推进乡村振兴战略的实施。出台了《中共桓台县委、桓台县人民政府关于实施乡村振兴战略的意见》，进一步修改完善了《桓台县乡村振兴战略规划（2018-2022年）》，对全县实施乡村振兴战略工作进行了全面部署。</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 xml:space="preserve">    加大新旧动能转换信息公开力度。制发了《桓台县新旧动能转换重大工程实施规划》，并从思路方向、重点产业、发展布局、改革创新、绿色生态、要素支撑等方面进行了解读。主动公开我县新旧动能转换重大工程相关情况和信息报道。</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olor w:val="auto"/>
          <w:kern w:val="2"/>
          <w:sz w:val="24"/>
          <w:szCs w:val="24"/>
          <w:lang w:val="en-US" w:eastAsia="zh-CN"/>
        </w:rPr>
      </w:pPr>
      <w:r>
        <w:rPr>
          <w:rFonts w:hint="eastAsia" w:ascii="楷体_GB2312" w:hAnsi="楷体_GB2312" w:eastAsia="楷体_GB2312"/>
          <w:color w:val="auto"/>
          <w:kern w:val="2"/>
          <w:sz w:val="24"/>
          <w:szCs w:val="24"/>
          <w:lang w:val="en-US" w:eastAsia="zh-CN"/>
        </w:rPr>
        <w:t>（四）推进财政信息公开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 xml:space="preserve">    财政预决算公开情况。通过淄博市预决算公开平台</w:t>
      </w:r>
      <w:r>
        <w:rPr>
          <w:rFonts w:hint="eastAsia" w:ascii="仿宋_GB2312" w:eastAsia="仿宋_GB2312"/>
          <w:color w:val="auto"/>
          <w:sz w:val="24"/>
          <w:szCs w:val="24"/>
          <w:lang w:val="en-US" w:eastAsia="zh-CN"/>
        </w:rPr>
        <w:fldChar w:fldCharType="begin"/>
      </w:r>
      <w:r>
        <w:rPr>
          <w:rFonts w:hint="eastAsia" w:ascii="仿宋_GB2312" w:eastAsia="仿宋_GB2312"/>
          <w:color w:val="auto"/>
          <w:sz w:val="24"/>
          <w:szCs w:val="24"/>
          <w:lang w:val="en-US" w:eastAsia="zh-CN"/>
        </w:rPr>
        <w:instrText xml:space="preserve"> HYPERLINK "http://czyjs.zibo.gov.cn:7015/faoup" </w:instrText>
      </w:r>
      <w:r>
        <w:rPr>
          <w:rFonts w:hint="eastAsia" w:ascii="仿宋_GB2312" w:eastAsia="仿宋_GB2312"/>
          <w:color w:val="auto"/>
          <w:sz w:val="24"/>
          <w:szCs w:val="24"/>
          <w:lang w:val="en-US" w:eastAsia="zh-CN"/>
        </w:rPr>
        <w:fldChar w:fldCharType="separate"/>
      </w:r>
      <w:r>
        <w:rPr>
          <w:rFonts w:hint="eastAsia" w:ascii="仿宋_GB2312" w:eastAsia="仿宋_GB2312"/>
          <w:color w:val="auto"/>
          <w:sz w:val="24"/>
          <w:szCs w:val="24"/>
          <w:lang w:val="en-US" w:eastAsia="zh-CN"/>
        </w:rPr>
        <w:t>http://czyjs.zibo.gov.cn:7015/faoup</w:t>
      </w:r>
      <w:r>
        <w:rPr>
          <w:rFonts w:hint="eastAsia" w:ascii="仿宋_GB2312" w:eastAsia="仿宋_GB2312"/>
          <w:color w:val="auto"/>
          <w:sz w:val="24"/>
          <w:szCs w:val="24"/>
          <w:lang w:val="en-US" w:eastAsia="zh-CN"/>
        </w:rPr>
        <w:fldChar w:fldCharType="end"/>
      </w:r>
      <w:r>
        <w:rPr>
          <w:rFonts w:hint="eastAsia" w:ascii="仿宋_GB2312" w:eastAsia="仿宋_GB2312"/>
          <w:color w:val="auto"/>
          <w:sz w:val="24"/>
          <w:szCs w:val="24"/>
          <w:lang w:val="en-US" w:eastAsia="zh-CN"/>
        </w:rPr>
        <w:t>，公开了政府预决算和“三公”经费预决算，所有使用财政拨款的县直部门和单位均面向社会公开了部门预决算和“三公”经费预决算，公开内容更加全面、细化。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 xml:space="preserve">    政府采购信息公开情况。严格按照《山东省政府采购信息公开暂行办法》要求，依托中国山东政府采购网，积极推动政府采购预算、中标（成交）结果、采购文件、采购合同及公共服务项目履约验收的信息公开工作，切实提升了政府采购透明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政府和社会资本合作（PPP）项目信息公开情况。借助财政部综合信息平台，加大政府和社会资本合作项目信息公开力度，系统信息根据项目进度及时更新，保证公开信息完善、准确。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收费项目公开情况。及时制定并向社会公布行政事业性收费、政府性基金收费和涉企收费目录清单，并通过县政府网站向社会公布相关目录清单，实现动态更新，做到“有变化随时更新，无变化每月更新”，进一步完善了市县联动、全面覆盖、无缝衔接、动态调整的收费目录常态化公示制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楷体_GB2312" w:hAnsi="楷体_GB2312" w:eastAsia="楷体_GB2312"/>
          <w:color w:val="auto"/>
          <w:kern w:val="2"/>
          <w:sz w:val="24"/>
          <w:szCs w:val="24"/>
          <w:highlight w:val="none"/>
          <w:lang w:val="en-US" w:eastAsia="zh-CN"/>
        </w:rPr>
      </w:pPr>
      <w:r>
        <w:rPr>
          <w:rFonts w:hint="eastAsia" w:ascii="楷体_GB2312" w:hAnsi="楷体_GB2312" w:eastAsia="楷体_GB2312"/>
          <w:color w:val="auto"/>
          <w:kern w:val="2"/>
          <w:sz w:val="24"/>
          <w:szCs w:val="24"/>
          <w:highlight w:val="none"/>
          <w:lang w:val="en-US" w:eastAsia="zh-CN"/>
        </w:rPr>
        <w:t>（五）推进信用信息公开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olor w:val="auto"/>
          <w:sz w:val="24"/>
          <w:szCs w:val="24"/>
          <w:lang w:val="en-US" w:eastAsia="zh-CN"/>
        </w:rPr>
      </w:pPr>
      <w:r>
        <w:rPr>
          <w:rFonts w:hint="eastAsia" w:ascii="仿宋_GB2312" w:eastAsia="仿宋_GB2312"/>
          <w:color w:val="auto"/>
          <w:sz w:val="24"/>
          <w:szCs w:val="24"/>
          <w:highlight w:val="none"/>
          <w:lang w:val="en-US" w:eastAsia="zh-CN"/>
        </w:rPr>
        <w:t xml:space="preserve">    依托“信用淄博”网站，向市信用信息平台报送并公示全县行政许可和行政处罚信息“双公示”信息，提高了行政管理透明度，推动了社会信用体系建设。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textAlignment w:val="auto"/>
        <w:outlineLvl w:val="9"/>
        <w:rPr>
          <w:rFonts w:hint="eastAsia" w:ascii="楷体_GB2312" w:hAnsi="楷体_GB2312" w:eastAsia="楷体_GB2312"/>
          <w:color w:val="auto"/>
          <w:sz w:val="24"/>
          <w:szCs w:val="24"/>
          <w:lang w:val="en-US" w:eastAsia="zh-CN"/>
        </w:rPr>
      </w:pPr>
      <w:r>
        <w:rPr>
          <w:rFonts w:hint="eastAsia" w:ascii="楷体_GB2312" w:hAnsi="楷体_GB2312" w:eastAsia="楷体_GB2312"/>
          <w:color w:val="auto"/>
          <w:sz w:val="24"/>
          <w:szCs w:val="24"/>
          <w:lang w:eastAsia="zh-CN"/>
        </w:rPr>
        <w:t>（六）推进重大建设项目信息公开</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40" w:lineRule="exact"/>
        <w:ind w:right="0" w:rightChars="0" w:firstLine="480"/>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在</w:t>
      </w:r>
      <w:r>
        <w:rPr>
          <w:rFonts w:hint="eastAsia" w:ascii="仿宋_GB2312" w:hAnsi="仿宋_GB2312" w:eastAsia="仿宋_GB2312" w:cs="仿宋_GB2312"/>
          <w:color w:val="auto"/>
          <w:sz w:val="24"/>
          <w:szCs w:val="24"/>
          <w:lang w:eastAsia="zh-CN"/>
        </w:rPr>
        <w:t>山东政务服务网向社会公众</w:t>
      </w:r>
      <w:r>
        <w:rPr>
          <w:rFonts w:hint="eastAsia" w:ascii="仿宋_GB2312" w:hAnsi="仿宋_GB2312" w:eastAsia="仿宋_GB2312" w:cs="仿宋_GB2312"/>
          <w:color w:val="auto"/>
          <w:sz w:val="24"/>
          <w:szCs w:val="24"/>
        </w:rPr>
        <w:t>公开行政审批单位的基本信息、行政审批和服务事项的办事指南、行政审批和服务事项的辅助材料</w:t>
      </w:r>
      <w:r>
        <w:rPr>
          <w:rFonts w:hint="eastAsia" w:ascii="仿宋_GB2312" w:hAnsi="仿宋_GB2312" w:eastAsia="仿宋_GB2312" w:cs="仿宋_GB2312"/>
          <w:color w:val="auto"/>
          <w:sz w:val="24"/>
          <w:szCs w:val="24"/>
          <w:lang w:eastAsia="zh-CN"/>
        </w:rPr>
        <w:t>等内容，</w:t>
      </w:r>
      <w:r>
        <w:rPr>
          <w:rFonts w:hint="eastAsia" w:ascii="仿宋_GB2312" w:hAnsi="仿宋_GB2312" w:eastAsia="仿宋_GB2312" w:cs="仿宋_GB2312"/>
          <w:color w:val="auto"/>
          <w:sz w:val="24"/>
          <w:szCs w:val="24"/>
        </w:rPr>
        <w:t>基本建设项目审批、核准、备案</w:t>
      </w:r>
      <w:r>
        <w:rPr>
          <w:rFonts w:hint="eastAsia" w:ascii="仿宋_GB2312" w:hAnsi="仿宋_GB2312" w:eastAsia="仿宋_GB2312" w:cs="仿宋_GB2312"/>
          <w:color w:val="auto"/>
          <w:sz w:val="24"/>
          <w:szCs w:val="24"/>
          <w:lang w:eastAsia="zh-CN"/>
        </w:rPr>
        <w:t>等</w:t>
      </w:r>
      <w:r>
        <w:rPr>
          <w:rFonts w:hint="eastAsia" w:ascii="仿宋_GB2312" w:hAnsi="仿宋_GB2312" w:eastAsia="仿宋_GB2312" w:cs="仿宋_GB2312"/>
          <w:color w:val="auto"/>
          <w:sz w:val="24"/>
          <w:szCs w:val="24"/>
        </w:rPr>
        <w:t>信息全部</w:t>
      </w:r>
      <w:r>
        <w:rPr>
          <w:rFonts w:hint="eastAsia" w:ascii="仿宋_GB2312" w:hAnsi="仿宋_GB2312" w:eastAsia="仿宋_GB2312" w:cs="仿宋_GB2312"/>
          <w:color w:val="auto"/>
          <w:sz w:val="24"/>
          <w:szCs w:val="24"/>
          <w:lang w:eastAsia="zh-CN"/>
        </w:rPr>
        <w:t>在山东政务服务网</w:t>
      </w:r>
      <w:r>
        <w:rPr>
          <w:rFonts w:hint="eastAsia" w:ascii="仿宋_GB2312" w:hAnsi="仿宋_GB2312" w:eastAsia="仿宋_GB2312" w:cs="仿宋_GB2312"/>
          <w:color w:val="auto"/>
          <w:sz w:val="24"/>
          <w:szCs w:val="24"/>
        </w:rPr>
        <w:t>实时公开</w:t>
      </w:r>
      <w:r>
        <w:rPr>
          <w:rFonts w:hint="eastAsia" w:ascii="仿宋_GB2312" w:hAnsi="仿宋_GB2312" w:eastAsia="仿宋_GB2312" w:cs="仿宋_GB2312"/>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40" w:lineRule="exact"/>
        <w:ind w:right="0" w:rightChars="0"/>
        <w:textAlignment w:val="auto"/>
        <w:outlineLvl w:val="9"/>
        <w:rPr>
          <w:rFonts w:hint="eastAsia" w:ascii="仿宋_GB2312" w:hAnsi="仿宋_GB2312" w:eastAsia="仿宋_GB2312" w:cs="仿宋_GB2312"/>
          <w:color w:val="0000FF"/>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在桓台县人民政府网站公布了《企业投资项目核准服务指南》《外商投资项目核准服务指南》，每月公布项目核准信息情况。</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依托淄博市重大项目信息管理平台，及时报送并向社会公布我县市重大项目总体情况，逐一公开我县市重大项目基本情况、建设单位基本情况，动态公开我县市重大项目手续办理情况、项目开工情况及投资完成情况等进展信息。</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440" w:lineRule="exact"/>
        <w:ind w:left="0" w:leftChars="0" w:right="0" w:rightChars="0" w:firstLine="0" w:firstLineChars="0"/>
        <w:jc w:val="both"/>
        <w:textAlignment w:val="auto"/>
        <w:outlineLvl w:val="9"/>
        <w:rPr>
          <w:rFonts w:hint="eastAsia" w:ascii="楷体_GB2312" w:hAnsi="楷体_GB2312" w:eastAsia="楷体_GB2312" w:cs="Times New Roman"/>
          <w:color w:val="auto"/>
          <w:kern w:val="2"/>
          <w:sz w:val="24"/>
          <w:szCs w:val="24"/>
          <w:lang w:val="en-US" w:eastAsia="zh-CN"/>
        </w:rPr>
      </w:pPr>
      <w:r>
        <w:rPr>
          <w:rFonts w:hint="eastAsia" w:ascii="楷体_GB2312" w:hAnsi="楷体_GB2312" w:eastAsia="楷体_GB2312" w:cs="Times New Roman"/>
          <w:color w:val="auto"/>
          <w:kern w:val="2"/>
          <w:sz w:val="24"/>
          <w:szCs w:val="24"/>
          <w:lang w:val="en-US" w:eastAsia="zh-CN"/>
        </w:rPr>
        <w:t>（七）推进法治政府建设信息公开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44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2"/>
          <w:sz w:val="24"/>
          <w:szCs w:val="24"/>
          <w:lang w:val="en-US" w:eastAsia="zh-CN"/>
        </w:rPr>
      </w:pPr>
      <w:r>
        <w:rPr>
          <w:rFonts w:hint="eastAsia" w:ascii="仿宋_GB2312" w:hAnsi="仿宋_GB2312" w:eastAsia="仿宋_GB2312" w:cs="Times New Roman"/>
          <w:color w:val="auto"/>
          <w:kern w:val="2"/>
          <w:sz w:val="24"/>
          <w:szCs w:val="24"/>
          <w:lang w:val="en-US" w:eastAsia="zh-CN"/>
        </w:rPr>
        <w:t xml:space="preserve">    实行重大行政决策预公开制度，公开决策依据、决策草案，广泛征求公众意见，并及时反馈意见采纳情况。县政府常务会议将法治政府建设列入议题，多次审议通过桓台县规范性文件、重大行政决策等事项，严格落实法治政府建设情况报告制度，并通过政府网站向社会公示，接受公众监督。</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44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2"/>
          <w:sz w:val="24"/>
          <w:szCs w:val="24"/>
          <w:lang w:val="en-US" w:eastAsia="zh-CN"/>
        </w:rPr>
      </w:pPr>
      <w:r>
        <w:rPr>
          <w:rFonts w:hint="eastAsia" w:ascii="仿宋_GB2312" w:hAnsi="仿宋_GB2312" w:eastAsia="仿宋_GB2312" w:cs="Times New Roman"/>
          <w:color w:val="auto"/>
          <w:kern w:val="2"/>
          <w:sz w:val="24"/>
          <w:szCs w:val="24"/>
          <w:lang w:val="en-US" w:eastAsia="zh-CN"/>
        </w:rPr>
        <w:t xml:space="preserve">    通过县政府网站、广播电视、报刊、新媒体等多种形式，对政府会议进行社会公开。全年公开县政府常务会议21次，公开会议议定事项9余项，并对议定事项进行了解读。</w:t>
      </w:r>
    </w:p>
    <w:p>
      <w:pPr>
        <w:pStyle w:val="15"/>
        <w:keepNext w:val="0"/>
        <w:keepLines w:val="0"/>
        <w:pageBreakBefore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楷体_GB2312" w:hAnsi="楷体_GB2312" w:eastAsia="楷体_GB2312" w:cs="Times New Roman"/>
          <w:color w:val="auto"/>
          <w:kern w:val="2"/>
          <w:sz w:val="24"/>
          <w:szCs w:val="24"/>
          <w:lang w:val="en-US" w:eastAsia="zh-CN"/>
        </w:rPr>
      </w:pPr>
      <w:r>
        <w:rPr>
          <w:rFonts w:hint="eastAsia" w:ascii="楷体_GB2312" w:hAnsi="楷体_GB2312" w:eastAsia="楷体_GB2312" w:cs="Times New Roman"/>
          <w:color w:val="auto"/>
          <w:kern w:val="2"/>
          <w:sz w:val="24"/>
          <w:szCs w:val="24"/>
          <w:lang w:val="en-US" w:eastAsia="zh-CN"/>
        </w:rPr>
        <w:t>（八）推进公共资源配置领域信息公开</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仿宋_GB2312" w:hAnsi="仿宋_GB2312" w:eastAsia="仿宋_GB2312" w:cs="Times New Roman"/>
          <w:color w:val="auto"/>
          <w:kern w:val="2"/>
          <w:sz w:val="24"/>
          <w:szCs w:val="24"/>
          <w:lang w:val="en-US" w:eastAsia="zh-CN"/>
        </w:rPr>
      </w:pPr>
      <w:r>
        <w:rPr>
          <w:rFonts w:hint="eastAsia" w:ascii="楷体_GB2312" w:hAnsi="楷体_GB2312" w:eastAsia="楷体_GB2312" w:cs="Times New Roman"/>
          <w:color w:val="0000FF"/>
          <w:kern w:val="2"/>
          <w:sz w:val="24"/>
          <w:szCs w:val="24"/>
          <w:lang w:val="en-US" w:eastAsia="zh-CN"/>
        </w:rPr>
        <w:t xml:space="preserve">    </w:t>
      </w:r>
      <w:r>
        <w:rPr>
          <w:rFonts w:hint="eastAsia" w:ascii="仿宋_GB2312" w:hAnsi="仿宋_GB2312" w:eastAsia="仿宋_GB2312" w:cs="Times New Roman"/>
          <w:color w:val="auto"/>
          <w:kern w:val="2"/>
          <w:sz w:val="24"/>
          <w:szCs w:val="24"/>
          <w:lang w:val="en-US" w:eastAsia="zh-CN"/>
        </w:rPr>
        <w:t>所有进场交易项目的需求公示、招标（采购、出让）公告、变更（更正）公告、中标公告、结果公示及废标公告等信息，均通过淄博市公共资源交易网进行公开，并通过开标大厅自主查询机同步公开。涉及民生及社会关注度高的重大项目通过新闻媒体进行公开。</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楷体_GB2312" w:hAnsi="楷体_GB2312" w:eastAsia="楷体_GB2312" w:cs="Times New Roman"/>
          <w:color w:val="0000FF"/>
          <w:kern w:val="2"/>
          <w:sz w:val="24"/>
          <w:szCs w:val="24"/>
          <w:lang w:val="en-US" w:eastAsia="zh-CN"/>
        </w:rPr>
      </w:pPr>
      <w:r>
        <w:rPr>
          <w:rFonts w:hint="eastAsia" w:ascii="楷体_GB2312" w:hAnsi="楷体_GB2312" w:eastAsia="楷体_GB2312" w:cs="Times New Roman"/>
          <w:color w:val="auto"/>
          <w:kern w:val="2"/>
          <w:sz w:val="24"/>
          <w:szCs w:val="24"/>
          <w:highlight w:val="none"/>
          <w:lang w:val="en-US" w:eastAsia="zh-CN"/>
        </w:rPr>
        <w:t>（九）推进社会救助、扶贫工作信息公开</w:t>
      </w:r>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440" w:lineRule="exact"/>
        <w:ind w:left="0" w:leftChars="0" w:right="0" w:rightChars="0" w:firstLine="480" w:firstLineChars="200"/>
        <w:textAlignment w:val="auto"/>
        <w:outlineLvl w:val="9"/>
        <w:rPr>
          <w:rFonts w:hint="eastAsia" w:ascii="仿宋_GB2312" w:hAnsi="仿宋_GB2312" w:eastAsia="仿宋_GB2312" w:cs="仿宋_GB2312"/>
          <w:snapToGrid/>
          <w:color w:val="000000"/>
          <w:sz w:val="24"/>
          <w:szCs w:val="24"/>
          <w:lang w:eastAsia="zh-CN"/>
        </w:rPr>
      </w:pPr>
      <w:r>
        <w:rPr>
          <w:rFonts w:hint="eastAsia" w:ascii="仿宋_GB2312" w:hAnsi="仿宋_GB2312" w:eastAsia="仿宋_GB2312" w:cs="仿宋_GB2312"/>
          <w:snapToGrid/>
          <w:color w:val="000000"/>
          <w:sz w:val="24"/>
          <w:szCs w:val="24"/>
          <w:lang w:val="en-US" w:eastAsia="zh-CN"/>
        </w:rPr>
        <w:t>对</w:t>
      </w:r>
      <w:r>
        <w:rPr>
          <w:rFonts w:hint="eastAsia" w:ascii="仿宋_GB2312" w:hAnsi="仿宋_GB2312" w:eastAsia="仿宋_GB2312" w:cs="仿宋_GB2312"/>
          <w:snapToGrid/>
          <w:color w:val="000000"/>
          <w:sz w:val="24"/>
          <w:szCs w:val="24"/>
          <w:lang w:eastAsia="zh-CN"/>
        </w:rPr>
        <w:t>城乡</w:t>
      </w:r>
      <w:r>
        <w:rPr>
          <w:rFonts w:hint="eastAsia" w:ascii="仿宋_GB2312" w:hAnsi="仿宋_GB2312" w:eastAsia="仿宋_GB2312" w:cs="仿宋_GB2312"/>
          <w:snapToGrid/>
          <w:color w:val="auto"/>
          <w:sz w:val="24"/>
          <w:szCs w:val="24"/>
          <w:lang w:eastAsia="zh-CN"/>
        </w:rPr>
        <w:t>低保、</w:t>
      </w:r>
      <w:r>
        <w:rPr>
          <w:rFonts w:hint="eastAsia" w:ascii="仿宋_GB2312" w:hAnsi="仿宋_GB2312" w:eastAsia="仿宋_GB2312" w:cs="仿宋_GB2312"/>
          <w:snapToGrid/>
          <w:color w:val="000000"/>
          <w:sz w:val="24"/>
          <w:szCs w:val="24"/>
          <w:lang w:eastAsia="zh-CN"/>
        </w:rPr>
        <w:t>临时救助、医疗救助和养老服务等情况进行公开。社会救助信息按季度公开</w:t>
      </w:r>
      <w:r>
        <w:rPr>
          <w:rFonts w:hint="eastAsia" w:ascii="仿宋_GB2312" w:hAnsi="仿宋_GB2312" w:eastAsia="仿宋_GB2312" w:cs="仿宋_GB2312"/>
          <w:snapToGrid/>
          <w:color w:val="000000"/>
          <w:sz w:val="24"/>
          <w:szCs w:val="24"/>
          <w:lang w:val="en-US" w:eastAsia="zh-CN"/>
        </w:rPr>
        <w:t>。</w:t>
      </w:r>
      <w:r>
        <w:rPr>
          <w:rFonts w:hint="eastAsia" w:ascii="仿宋_GB2312" w:hAnsi="仿宋_GB2312" w:eastAsia="仿宋_GB2312" w:cs="仿宋_GB2312"/>
          <w:snapToGrid/>
          <w:color w:val="000000"/>
          <w:sz w:val="24"/>
          <w:szCs w:val="24"/>
          <w:lang w:eastAsia="zh-CN"/>
        </w:rPr>
        <w:t>按季度公布城乡低保公示，对享受低保的户主姓名、保障人数、居住社区（村）、救助金额、监督举报电话等实行长期公示。及时公开临时救助、医疗救助、</w:t>
      </w:r>
      <w:r>
        <w:rPr>
          <w:rFonts w:hint="eastAsia" w:ascii="仿宋_GB2312" w:hAnsi="仿宋_GB2312" w:eastAsia="仿宋_GB2312" w:cs="仿宋_GB2312"/>
          <w:snapToGrid/>
          <w:color w:val="000000"/>
          <w:sz w:val="24"/>
          <w:szCs w:val="24"/>
          <w:lang w:val="en-US" w:eastAsia="zh-CN"/>
        </w:rPr>
        <w:t>养老服务及残疾人补贴等信息</w:t>
      </w:r>
      <w:r>
        <w:rPr>
          <w:rFonts w:hint="eastAsia" w:ascii="仿宋_GB2312" w:hAnsi="仿宋_GB2312" w:eastAsia="仿宋_GB2312" w:cs="仿宋_GB2312"/>
          <w:snapToGrid/>
          <w:color w:val="000000"/>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Times New Roman"/>
          <w:color w:val="0000FF"/>
          <w:kern w:val="2"/>
          <w:sz w:val="24"/>
          <w:szCs w:val="24"/>
          <w:lang w:val="en-US" w:eastAsia="zh-CN"/>
        </w:rPr>
      </w:pPr>
      <w:r>
        <w:rPr>
          <w:rFonts w:hint="eastAsia" w:ascii="仿宋_GB2312" w:hAnsi="仿宋_GB2312" w:eastAsia="仿宋_GB2312" w:cs="仿宋_GB2312"/>
          <w:snapToGrid/>
          <w:color w:val="000000"/>
          <w:kern w:val="2"/>
          <w:sz w:val="24"/>
          <w:szCs w:val="24"/>
          <w:lang w:val="en-US" w:eastAsia="zh-CN"/>
        </w:rPr>
        <w:t xml:space="preserve">    完善扶贫资金项目公告公示制度。</w:t>
      </w:r>
      <w:r>
        <w:rPr>
          <w:rFonts w:hint="eastAsia" w:ascii="仿宋_GB2312" w:hAnsi="仿宋_GB2312" w:eastAsia="仿宋_GB2312" w:cs="仿宋_GB2312"/>
          <w:snapToGrid/>
          <w:color w:val="auto"/>
          <w:kern w:val="2"/>
          <w:sz w:val="24"/>
          <w:szCs w:val="24"/>
          <w:lang w:val="en-US" w:eastAsia="zh-CN"/>
        </w:rPr>
        <w:t>不断细化扶贫资金信息公开内容，</w:t>
      </w:r>
      <w:r>
        <w:rPr>
          <w:rFonts w:hint="eastAsia" w:ascii="仿宋_GB2312" w:hAnsi="仿宋_GB2312" w:eastAsia="仿宋_GB2312" w:cs="仿宋_GB2312"/>
          <w:snapToGrid/>
          <w:color w:val="000000"/>
          <w:kern w:val="2"/>
          <w:sz w:val="24"/>
          <w:szCs w:val="24"/>
          <w:lang w:val="en-US" w:eastAsia="zh-CN"/>
        </w:rPr>
        <w:t>先后公开了《</w:t>
      </w:r>
      <w:r>
        <w:rPr>
          <w:rFonts w:hint="eastAsia" w:ascii="仿宋_GB2312" w:hAnsi="仿宋_GB2312" w:eastAsia="仿宋_GB2312" w:cs="仿宋_GB2312"/>
          <w:snapToGrid/>
          <w:color w:val="auto"/>
          <w:kern w:val="2"/>
          <w:sz w:val="24"/>
          <w:szCs w:val="24"/>
          <w:lang w:val="en-US" w:eastAsia="zh-CN"/>
        </w:rPr>
        <w:fldChar w:fldCharType="begin"/>
      </w:r>
      <w:r>
        <w:rPr>
          <w:rFonts w:hint="eastAsia" w:ascii="仿宋_GB2312" w:hAnsi="仿宋_GB2312" w:eastAsia="仿宋_GB2312" w:cs="仿宋_GB2312"/>
          <w:snapToGrid/>
          <w:color w:val="auto"/>
          <w:kern w:val="2"/>
          <w:sz w:val="24"/>
          <w:szCs w:val="24"/>
          <w:lang w:val="en-US" w:eastAsia="zh-CN"/>
        </w:rPr>
        <w:instrText xml:space="preserve"> HYPERLINK "http://www.huantai.gov.cn/art/2019/1/24/art_8756_1676963.html" \o "桓台县2019年度省级财政专项扶贫资金分配表" \t "http://www.huantai.gov.cn/col/col5219/_blank" </w:instrText>
      </w:r>
      <w:r>
        <w:rPr>
          <w:rFonts w:hint="eastAsia" w:ascii="仿宋_GB2312" w:hAnsi="仿宋_GB2312" w:eastAsia="仿宋_GB2312" w:cs="仿宋_GB2312"/>
          <w:snapToGrid/>
          <w:color w:val="auto"/>
          <w:kern w:val="2"/>
          <w:sz w:val="24"/>
          <w:szCs w:val="24"/>
          <w:lang w:val="en-US" w:eastAsia="zh-CN"/>
        </w:rPr>
        <w:fldChar w:fldCharType="separate"/>
      </w:r>
      <w:r>
        <w:rPr>
          <w:rFonts w:hint="eastAsia" w:ascii="仿宋_GB2312" w:hAnsi="仿宋_GB2312" w:eastAsia="仿宋_GB2312" w:cs="仿宋_GB2312"/>
          <w:snapToGrid/>
          <w:color w:val="auto"/>
          <w:kern w:val="2"/>
          <w:sz w:val="24"/>
          <w:szCs w:val="24"/>
          <w:lang w:val="en-US" w:eastAsia="zh-CN"/>
        </w:rPr>
        <w:t>桓台县2019年度省级财政专项扶贫资金分配表</w:t>
      </w:r>
      <w:r>
        <w:rPr>
          <w:rFonts w:hint="eastAsia" w:ascii="仿宋_GB2312" w:hAnsi="仿宋_GB2312" w:eastAsia="仿宋_GB2312" w:cs="仿宋_GB2312"/>
          <w:snapToGrid/>
          <w:color w:val="auto"/>
          <w:kern w:val="2"/>
          <w:sz w:val="24"/>
          <w:szCs w:val="24"/>
          <w:lang w:val="en-US" w:eastAsia="zh-CN"/>
        </w:rPr>
        <w:fldChar w:fldCharType="end"/>
      </w:r>
      <w:r>
        <w:rPr>
          <w:rFonts w:hint="eastAsia" w:ascii="仿宋_GB2312" w:hAnsi="仿宋_GB2312" w:eastAsia="仿宋_GB2312" w:cs="仿宋_GB2312"/>
          <w:snapToGrid/>
          <w:color w:val="auto"/>
          <w:kern w:val="2"/>
          <w:sz w:val="24"/>
          <w:szCs w:val="24"/>
          <w:lang w:val="en-US" w:eastAsia="zh-CN"/>
        </w:rPr>
        <w:t>》、《</w:t>
      </w:r>
      <w:r>
        <w:rPr>
          <w:rFonts w:hint="eastAsia" w:ascii="仿宋_GB2312" w:hAnsi="仿宋_GB2312" w:eastAsia="仿宋_GB2312" w:cs="仿宋_GB2312"/>
          <w:snapToGrid/>
          <w:color w:val="auto"/>
          <w:kern w:val="2"/>
          <w:sz w:val="24"/>
          <w:szCs w:val="24"/>
          <w:lang w:val="en-US" w:eastAsia="zh-CN"/>
        </w:rPr>
        <w:fldChar w:fldCharType="begin"/>
      </w:r>
      <w:r>
        <w:rPr>
          <w:rFonts w:hint="eastAsia" w:ascii="仿宋_GB2312" w:hAnsi="仿宋_GB2312" w:eastAsia="仿宋_GB2312" w:cs="仿宋_GB2312"/>
          <w:snapToGrid/>
          <w:color w:val="auto"/>
          <w:kern w:val="2"/>
          <w:sz w:val="24"/>
          <w:szCs w:val="24"/>
          <w:lang w:val="en-US" w:eastAsia="zh-CN"/>
        </w:rPr>
        <w:instrText xml:space="preserve"> HYPERLINK "http://www.huantai.gov.cn/art/2019/3/22/art_8756_1676968.html" \o "桓台县2019年度市级财政专项扶贫资金分配表" \t "http://www.huantai.gov.cn/col/col5219/_blank" </w:instrText>
      </w:r>
      <w:r>
        <w:rPr>
          <w:rFonts w:hint="eastAsia" w:ascii="仿宋_GB2312" w:hAnsi="仿宋_GB2312" w:eastAsia="仿宋_GB2312" w:cs="仿宋_GB2312"/>
          <w:snapToGrid/>
          <w:color w:val="auto"/>
          <w:kern w:val="2"/>
          <w:sz w:val="24"/>
          <w:szCs w:val="24"/>
          <w:lang w:val="en-US" w:eastAsia="zh-CN"/>
        </w:rPr>
        <w:fldChar w:fldCharType="separate"/>
      </w:r>
      <w:r>
        <w:rPr>
          <w:rFonts w:hint="eastAsia" w:ascii="仿宋_GB2312" w:hAnsi="仿宋_GB2312" w:eastAsia="仿宋_GB2312" w:cs="仿宋_GB2312"/>
          <w:snapToGrid/>
          <w:color w:val="auto"/>
          <w:kern w:val="2"/>
          <w:sz w:val="24"/>
          <w:szCs w:val="24"/>
          <w:lang w:val="en-US" w:eastAsia="zh-CN"/>
        </w:rPr>
        <w:t>桓台县2019年度市级财政专项扶贫资金分配表</w:t>
      </w:r>
      <w:r>
        <w:rPr>
          <w:rFonts w:hint="eastAsia" w:ascii="仿宋_GB2312" w:hAnsi="仿宋_GB2312" w:eastAsia="仿宋_GB2312" w:cs="仿宋_GB2312"/>
          <w:snapToGrid/>
          <w:color w:val="auto"/>
          <w:kern w:val="2"/>
          <w:sz w:val="24"/>
          <w:szCs w:val="24"/>
          <w:lang w:val="en-US" w:eastAsia="zh-CN"/>
        </w:rPr>
        <w:fldChar w:fldCharType="end"/>
      </w:r>
      <w:r>
        <w:rPr>
          <w:rFonts w:hint="eastAsia" w:ascii="仿宋_GB2312" w:hAnsi="仿宋_GB2312" w:eastAsia="仿宋_GB2312" w:cs="仿宋_GB2312"/>
          <w:snapToGrid/>
          <w:color w:val="auto"/>
          <w:kern w:val="2"/>
          <w:sz w:val="24"/>
          <w:szCs w:val="24"/>
          <w:lang w:val="en-US" w:eastAsia="zh-CN"/>
        </w:rPr>
        <w:t>》、《</w:t>
      </w:r>
      <w:r>
        <w:rPr>
          <w:rFonts w:hint="eastAsia" w:ascii="仿宋_GB2312" w:hAnsi="仿宋_GB2312" w:eastAsia="仿宋_GB2312" w:cs="仿宋_GB2312"/>
          <w:snapToGrid/>
          <w:color w:val="auto"/>
          <w:kern w:val="2"/>
          <w:sz w:val="24"/>
          <w:szCs w:val="24"/>
          <w:lang w:val="en-US" w:eastAsia="zh-CN"/>
        </w:rPr>
        <w:fldChar w:fldCharType="begin"/>
      </w:r>
      <w:r>
        <w:rPr>
          <w:rFonts w:hint="eastAsia" w:ascii="仿宋_GB2312" w:hAnsi="仿宋_GB2312" w:eastAsia="仿宋_GB2312" w:cs="仿宋_GB2312"/>
          <w:snapToGrid/>
          <w:color w:val="auto"/>
          <w:kern w:val="2"/>
          <w:sz w:val="24"/>
          <w:szCs w:val="24"/>
          <w:lang w:val="en-US" w:eastAsia="zh-CN"/>
        </w:rPr>
        <w:instrText xml:space="preserve"> HYPERLINK "http://www.huantai.gov.cn/art/2019/3/22/art_8756_1676968.html" \o "桓台县2019年度市级财政专项扶贫资金分配表" \t "http://www.huantai.gov.cn/col/col5219/_blank" </w:instrText>
      </w:r>
      <w:r>
        <w:rPr>
          <w:rFonts w:hint="eastAsia" w:ascii="仿宋_GB2312" w:hAnsi="仿宋_GB2312" w:eastAsia="仿宋_GB2312" w:cs="仿宋_GB2312"/>
          <w:snapToGrid/>
          <w:color w:val="auto"/>
          <w:kern w:val="2"/>
          <w:sz w:val="24"/>
          <w:szCs w:val="24"/>
          <w:lang w:val="en-US" w:eastAsia="zh-CN"/>
        </w:rPr>
        <w:fldChar w:fldCharType="separate"/>
      </w:r>
      <w:r>
        <w:rPr>
          <w:rFonts w:hint="eastAsia" w:ascii="仿宋_GB2312" w:hAnsi="仿宋_GB2312" w:eastAsia="仿宋_GB2312" w:cs="仿宋_GB2312"/>
          <w:snapToGrid/>
          <w:color w:val="auto"/>
          <w:kern w:val="2"/>
          <w:sz w:val="24"/>
          <w:szCs w:val="24"/>
          <w:lang w:val="en-US" w:eastAsia="zh-CN"/>
        </w:rPr>
        <w:t>桓台县2019年度县级财政专项扶贫资金分配表</w:t>
      </w:r>
      <w:r>
        <w:rPr>
          <w:rFonts w:hint="eastAsia" w:ascii="仿宋_GB2312" w:hAnsi="仿宋_GB2312" w:eastAsia="仿宋_GB2312" w:cs="仿宋_GB2312"/>
          <w:snapToGrid/>
          <w:color w:val="auto"/>
          <w:kern w:val="2"/>
          <w:sz w:val="24"/>
          <w:szCs w:val="24"/>
          <w:lang w:val="en-US" w:eastAsia="zh-CN"/>
        </w:rPr>
        <w:fldChar w:fldCharType="end"/>
      </w:r>
      <w:r>
        <w:rPr>
          <w:rFonts w:hint="eastAsia" w:ascii="仿宋_GB2312" w:hAnsi="仿宋_GB2312" w:eastAsia="仿宋_GB2312" w:cs="仿宋_GB2312"/>
          <w:snapToGrid/>
          <w:color w:val="auto"/>
          <w:kern w:val="2"/>
          <w:sz w:val="24"/>
          <w:szCs w:val="24"/>
          <w:lang w:val="en-US" w:eastAsia="zh-CN"/>
        </w:rPr>
        <w:t>》</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napToGrid/>
          <w:color w:val="auto"/>
          <w:kern w:val="2"/>
          <w:sz w:val="24"/>
          <w:szCs w:val="24"/>
          <w:lang w:val="en-US" w:eastAsia="zh-CN"/>
        </w:rPr>
        <w:t>桓台县残疾人“百千万残疾人就业创业扶贫工程” 服务指南。</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仿宋_GB2312"/>
          <w:color w:val="auto"/>
          <w:sz w:val="24"/>
          <w:szCs w:val="24"/>
          <w:lang w:val="en-US" w:eastAsia="zh-CN"/>
        </w:rPr>
      </w:pPr>
      <w:r>
        <w:rPr>
          <w:rFonts w:hint="eastAsia" w:ascii="楷体_GB2312" w:hAnsi="楷体_GB2312" w:eastAsia="楷体_GB2312" w:cs="仿宋_GB2312"/>
          <w:color w:val="auto"/>
          <w:sz w:val="24"/>
          <w:szCs w:val="24"/>
          <w:lang w:val="en-US" w:eastAsia="zh-CN"/>
        </w:rPr>
        <w:t>（十）推进社会保障和就业创业信息公开</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textAlignment w:val="auto"/>
        <w:outlineLvl w:val="9"/>
        <w:rPr>
          <w:rFonts w:hint="eastAsia" w:ascii="仿宋_GB2312" w:hAnsi="仿宋_GB2312" w:eastAsia="仿宋_GB2312" w:cs="仿宋_GB2312"/>
          <w:color w:val="0000FF"/>
          <w:sz w:val="24"/>
          <w:szCs w:val="24"/>
          <w:u w:val="none"/>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在公务员招考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提前退休、特殊</w:t>
      </w:r>
      <w:r>
        <w:rPr>
          <w:rFonts w:hint="eastAsia" w:ascii="仿宋_GB2312" w:hAnsi="仿宋_GB2312" w:eastAsia="仿宋_GB2312" w:cs="仿宋_GB2312"/>
          <w:color w:val="auto"/>
          <w:sz w:val="24"/>
          <w:szCs w:val="24"/>
          <w:lang w:eastAsia="zh-CN"/>
        </w:rPr>
        <w:t>工</w:t>
      </w:r>
      <w:r>
        <w:rPr>
          <w:rFonts w:hint="eastAsia" w:ascii="仿宋_GB2312" w:hAnsi="仿宋_GB2312" w:eastAsia="仿宋_GB2312" w:cs="仿宋_GB2312"/>
          <w:color w:val="auto"/>
          <w:sz w:val="24"/>
          <w:szCs w:val="24"/>
        </w:rPr>
        <w:t>种审批、工伤认定等审批事项中，</w:t>
      </w:r>
      <w:r>
        <w:rPr>
          <w:rFonts w:hint="eastAsia" w:ascii="仿宋_GB2312" w:hAnsi="仿宋_GB2312" w:eastAsia="仿宋_GB2312" w:cs="仿宋_GB2312"/>
          <w:color w:val="auto"/>
          <w:sz w:val="24"/>
          <w:szCs w:val="24"/>
          <w:lang w:eastAsia="zh-CN"/>
        </w:rPr>
        <w:t>即时公开，</w:t>
      </w:r>
      <w:r>
        <w:rPr>
          <w:rFonts w:hint="eastAsia" w:ascii="仿宋_GB2312" w:hAnsi="仿宋_GB2312" w:eastAsia="仿宋_GB2312" w:cs="仿宋_GB2312"/>
          <w:color w:val="auto"/>
          <w:sz w:val="24"/>
          <w:szCs w:val="24"/>
        </w:rPr>
        <w:t>严格执行公开、公平、公正原则</w:t>
      </w:r>
      <w:r>
        <w:rPr>
          <w:rFonts w:hint="eastAsia" w:ascii="仿宋_GB2312" w:hAnsi="仿宋_GB2312" w:eastAsia="仿宋_GB2312" w:cs="仿宋_GB2312"/>
          <w:color w:val="auto"/>
          <w:sz w:val="24"/>
          <w:szCs w:val="24"/>
          <w:lang w:eastAsia="zh-CN"/>
        </w:rPr>
        <w:t>，接受群众监督</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全年通过桓台县政府网站、</w:t>
      </w:r>
      <w:r>
        <w:rPr>
          <w:rFonts w:hint="eastAsia" w:ascii="仿宋_GB2312" w:hAnsi="仿宋_GB2312" w:eastAsia="仿宋_GB2312" w:cs="仿宋_GB2312"/>
          <w:color w:val="auto"/>
          <w:sz w:val="24"/>
          <w:szCs w:val="24"/>
          <w:u w:val="none"/>
          <w:lang w:eastAsia="zh-CN"/>
        </w:rPr>
        <w:t>桓台县人力资源和社会保障网</w:t>
      </w:r>
      <w:r>
        <w:rPr>
          <w:rFonts w:hint="eastAsia" w:ascii="仿宋_GB2312" w:hAnsi="仿宋_GB2312" w:eastAsia="仿宋_GB2312" w:cs="仿宋_GB2312"/>
          <w:color w:val="auto"/>
          <w:sz w:val="24"/>
          <w:szCs w:val="24"/>
          <w:u w:val="none"/>
          <w:lang w:val="en-US" w:eastAsia="zh-CN"/>
        </w:rPr>
        <w:t>站、</w:t>
      </w:r>
      <w:r>
        <w:rPr>
          <w:rFonts w:hint="eastAsia" w:ascii="仿宋_GB2312" w:hAnsi="仿宋_GB2312" w:eastAsia="仿宋_GB2312" w:cs="仿宋_GB2312"/>
          <w:color w:val="auto"/>
          <w:sz w:val="24"/>
          <w:szCs w:val="24"/>
          <w:u w:val="none"/>
          <w:lang w:eastAsia="zh-CN"/>
        </w:rPr>
        <w:t>微信公众号等平台</w:t>
      </w:r>
      <w:r>
        <w:rPr>
          <w:rFonts w:hint="eastAsia" w:ascii="仿宋_GB2312" w:hAnsi="仿宋_GB2312" w:eastAsia="仿宋_GB2312" w:cs="仿宋_GB2312"/>
          <w:color w:val="auto"/>
          <w:sz w:val="24"/>
          <w:szCs w:val="24"/>
          <w:u w:val="none"/>
        </w:rPr>
        <w:t>主动公开就业服务、社会保险、人事考试、人才招聘、劳动维权等</w:t>
      </w:r>
      <w:r>
        <w:rPr>
          <w:rFonts w:hint="eastAsia" w:ascii="仿宋_GB2312" w:hAnsi="仿宋_GB2312" w:eastAsia="仿宋_GB2312" w:cs="仿宋_GB2312"/>
          <w:color w:val="auto"/>
          <w:sz w:val="24"/>
          <w:szCs w:val="24"/>
          <w:u w:val="none"/>
          <w:lang w:eastAsia="zh-CN"/>
        </w:rPr>
        <w:t>政府信息</w:t>
      </w:r>
      <w:r>
        <w:rPr>
          <w:rFonts w:hint="eastAsia" w:ascii="仿宋_GB2312" w:hAnsi="仿宋_GB2312" w:eastAsia="仿宋_GB2312" w:cs="仿宋_GB2312"/>
          <w:color w:val="auto"/>
          <w:sz w:val="24"/>
          <w:szCs w:val="24"/>
          <w:u w:val="none"/>
          <w:lang w:val="en-US"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仿宋_GB2312"/>
          <w:color w:val="auto"/>
          <w:sz w:val="24"/>
          <w:szCs w:val="24"/>
          <w:lang w:val="en-US" w:eastAsia="zh-CN"/>
        </w:rPr>
      </w:pPr>
      <w:r>
        <w:rPr>
          <w:rFonts w:hint="eastAsia" w:ascii="楷体_GB2312" w:hAnsi="楷体_GB2312" w:eastAsia="楷体_GB2312" w:cs="仿宋_GB2312"/>
          <w:color w:val="auto"/>
          <w:sz w:val="24"/>
          <w:szCs w:val="24"/>
          <w:lang w:val="en-US" w:eastAsia="zh-CN"/>
        </w:rPr>
        <w:t>（十一）推进教育和卫生领域信息公开。</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val="en-US" w:eastAsia="zh-CN"/>
        </w:rPr>
        <w:t xml:space="preserve">    </w:t>
      </w:r>
      <w:r>
        <w:rPr>
          <w:rFonts w:hint="eastAsia" w:ascii="仿宋_GB2312" w:eastAsia="仿宋_GB2312"/>
          <w:sz w:val="24"/>
          <w:szCs w:val="24"/>
        </w:rPr>
        <w:t>进一步扩大中、小学招生信息公开范围。重点加强中、小学划片招生政策、招生计划、录取资格及录取结果等信息的公开工作，加大对中学自主提前录取和艺体特长生录取等有关政策和信息的公开力度。</w:t>
      </w:r>
      <w:r>
        <w:rPr>
          <w:rFonts w:hint="eastAsia" w:ascii="仿宋_GB2312" w:eastAsia="仿宋_GB2312"/>
          <w:sz w:val="24"/>
          <w:szCs w:val="24"/>
          <w:lang w:eastAsia="zh-CN"/>
        </w:rPr>
        <w:t>及时对部门信息公开目录中的义务教育划片招生、义务教育均衡发展、教育督导、全面改薄、教育资助等栏目进行更新。</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default"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lang w:eastAsia="zh-CN"/>
        </w:rPr>
        <w:t>在桓台县人民政府网站和县医疗机构网站对相关卫生防疫信息和医疗服务、价格、收费等信息进行公开，在桓台县政府网站</w:t>
      </w:r>
      <w:r>
        <w:rPr>
          <w:rFonts w:hint="eastAsia" w:ascii="仿宋_GB2312" w:eastAsia="仿宋_GB2312"/>
          <w:sz w:val="24"/>
          <w:szCs w:val="24"/>
        </w:rPr>
        <w:t>主动公开各类卫生信息。</w:t>
      </w:r>
      <w:r>
        <w:rPr>
          <w:rFonts w:hint="eastAsia" w:ascii="仿宋_GB2312" w:hAnsi="仿宋_GB2312" w:eastAsia="仿宋_GB2312"/>
          <w:sz w:val="24"/>
          <w:szCs w:val="24"/>
          <w:lang w:eastAsia="zh-CN"/>
        </w:rPr>
        <w:t>与《桓台大众》、《鲁中晨报》分别合办桓台卫生计生专版，每周一期，设立解读栏目，及时向社会发布与群众利益密切相关的卫生热点情况、政策法规等解读。设立桓台卫生微博，解答网友问题。设立“健康桓台”微信公众平台，及时发布相关政务信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olor w:val="auto"/>
          <w:sz w:val="24"/>
          <w:szCs w:val="24"/>
          <w:lang w:eastAsia="zh-CN"/>
        </w:rPr>
      </w:pPr>
      <w:r>
        <w:rPr>
          <w:rFonts w:hint="eastAsia" w:ascii="楷体_GB2312" w:hAnsi="楷体_GB2312" w:eastAsia="楷体_GB2312"/>
          <w:color w:val="auto"/>
          <w:sz w:val="24"/>
          <w:szCs w:val="24"/>
          <w:lang w:eastAsia="zh-CN"/>
        </w:rPr>
        <w:t>（十二）推进环境保护信息公开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color w:val="auto"/>
          <w:sz w:val="24"/>
          <w:szCs w:val="24"/>
          <w:lang w:eastAsia="zh-CN"/>
        </w:rPr>
      </w:pPr>
      <w:r>
        <w:rPr>
          <w:rFonts w:hint="eastAsia" w:ascii="仿宋_GB2312" w:hAnsi="仿宋_GB2312" w:eastAsia="仿宋_GB2312"/>
          <w:color w:val="auto"/>
          <w:sz w:val="24"/>
          <w:szCs w:val="24"/>
          <w:lang w:val="en-US" w:eastAsia="zh-CN"/>
        </w:rPr>
        <w:t xml:space="preserve">    </w:t>
      </w:r>
      <w:r>
        <w:rPr>
          <w:rFonts w:hint="eastAsia" w:ascii="仿宋_GB2312" w:hAnsi="仿宋_GB2312" w:eastAsia="仿宋_GB2312"/>
          <w:color w:val="auto"/>
          <w:sz w:val="24"/>
          <w:szCs w:val="24"/>
          <w:lang w:eastAsia="zh-CN"/>
        </w:rPr>
        <w:t>加大对环境空气质量和集中生活饮用水水源信息公开力度。向社会公开重点排污单位环境信息，包括公开企业基本信息、排污信息、环保行政许可、</w:t>
      </w:r>
      <w:r>
        <w:rPr>
          <w:rFonts w:hint="eastAsia" w:ascii="仿宋_GB2312" w:hAnsi="仿宋_GB2312" w:eastAsia="仿宋_GB2312"/>
          <w:color w:val="auto"/>
          <w:sz w:val="24"/>
          <w:szCs w:val="24"/>
          <w:lang w:eastAsia="zh-CN"/>
        </w:rPr>
        <w:fldChar w:fldCharType="begin"/>
      </w:r>
      <w:r>
        <w:rPr>
          <w:rFonts w:hint="eastAsia" w:ascii="仿宋_GB2312" w:hAnsi="仿宋_GB2312" w:eastAsia="仿宋_GB2312"/>
          <w:color w:val="auto"/>
          <w:sz w:val="24"/>
          <w:szCs w:val="24"/>
          <w:lang w:eastAsia="zh-CN"/>
        </w:rPr>
        <w:instrText xml:space="preserve"> HYPERLINK "http://120.86.191.138/hbgs/xxgs/fzwr.do?id=8a11427650f7b2730150fa71142b168e" \o "防治污染设施的建设和运行情况" \t "http://dgepb.dg.gov.cn/publicfiles/business/htmlfiles/dgepb/tzgg/201703/content_xxgs" </w:instrText>
      </w:r>
      <w:r>
        <w:rPr>
          <w:rFonts w:hint="eastAsia" w:ascii="仿宋_GB2312" w:hAnsi="仿宋_GB2312" w:eastAsia="仿宋_GB2312"/>
          <w:color w:val="auto"/>
          <w:sz w:val="24"/>
          <w:szCs w:val="24"/>
          <w:lang w:eastAsia="zh-CN"/>
        </w:rPr>
        <w:fldChar w:fldCharType="separate"/>
      </w:r>
      <w:r>
        <w:rPr>
          <w:rFonts w:hint="eastAsia" w:ascii="仿宋_GB2312" w:hAnsi="仿宋_GB2312" w:eastAsia="仿宋_GB2312"/>
          <w:color w:val="auto"/>
          <w:sz w:val="24"/>
          <w:szCs w:val="24"/>
          <w:lang w:eastAsia="zh-CN"/>
        </w:rPr>
        <w:t>防治污染设施的建设和运行情况</w:t>
      </w:r>
      <w:r>
        <w:rPr>
          <w:rFonts w:hint="eastAsia" w:ascii="仿宋_GB2312" w:hAnsi="仿宋_GB2312" w:eastAsia="仿宋_GB2312"/>
          <w:color w:val="auto"/>
          <w:sz w:val="24"/>
          <w:szCs w:val="24"/>
          <w:lang w:eastAsia="zh-CN"/>
        </w:rPr>
        <w:fldChar w:fldCharType="end"/>
      </w:r>
      <w:r>
        <w:rPr>
          <w:rFonts w:hint="eastAsia" w:ascii="仿宋_GB2312" w:hAnsi="仿宋_GB2312" w:eastAsia="仿宋_GB2312"/>
          <w:color w:val="auto"/>
          <w:sz w:val="24"/>
          <w:szCs w:val="24"/>
          <w:lang w:eastAsia="zh-CN"/>
        </w:rPr>
        <w:t>、</w:t>
      </w:r>
      <w:r>
        <w:rPr>
          <w:rFonts w:hint="eastAsia" w:ascii="仿宋_GB2312" w:hAnsi="仿宋_GB2312" w:eastAsia="仿宋_GB2312"/>
          <w:color w:val="auto"/>
          <w:sz w:val="24"/>
          <w:szCs w:val="24"/>
          <w:lang w:eastAsia="zh-CN"/>
        </w:rPr>
        <w:fldChar w:fldCharType="begin"/>
      </w:r>
      <w:r>
        <w:rPr>
          <w:rFonts w:hint="eastAsia" w:ascii="仿宋_GB2312" w:hAnsi="仿宋_GB2312" w:eastAsia="仿宋_GB2312"/>
          <w:color w:val="auto"/>
          <w:sz w:val="24"/>
          <w:szCs w:val="24"/>
          <w:lang w:eastAsia="zh-CN"/>
        </w:rPr>
        <w:instrText xml:space="preserve"> HYPERLINK "http://120.86.191.138/hbgs/xxgs/jcfa.do?id=8a11427650f7b2730150fa71142b168e" \o "环境自行监测方案情况" \t "http://dgepb.dg.gov.cn/publicfiles/business/htmlfiles/dgepb/tzgg/201703/content_xxgs" </w:instrText>
      </w:r>
      <w:r>
        <w:rPr>
          <w:rFonts w:hint="eastAsia" w:ascii="仿宋_GB2312" w:hAnsi="仿宋_GB2312" w:eastAsia="仿宋_GB2312"/>
          <w:color w:val="auto"/>
          <w:sz w:val="24"/>
          <w:szCs w:val="24"/>
          <w:lang w:eastAsia="zh-CN"/>
        </w:rPr>
        <w:fldChar w:fldCharType="separate"/>
      </w:r>
      <w:r>
        <w:rPr>
          <w:rFonts w:hint="eastAsia" w:ascii="仿宋_GB2312" w:hAnsi="仿宋_GB2312" w:eastAsia="仿宋_GB2312"/>
          <w:color w:val="auto"/>
          <w:sz w:val="24"/>
          <w:szCs w:val="24"/>
          <w:lang w:eastAsia="zh-CN"/>
        </w:rPr>
        <w:t>环境自行监测方案、突发环境事件预案等情况</w:t>
      </w:r>
      <w:r>
        <w:rPr>
          <w:rFonts w:hint="eastAsia" w:ascii="仿宋_GB2312" w:hAnsi="仿宋_GB2312" w:eastAsia="仿宋_GB2312"/>
          <w:color w:val="auto"/>
          <w:sz w:val="24"/>
          <w:szCs w:val="24"/>
          <w:lang w:eastAsia="zh-CN"/>
        </w:rPr>
        <w:fldChar w:fldCharType="end"/>
      </w:r>
      <w:r>
        <w:rPr>
          <w:rFonts w:hint="eastAsia" w:ascii="仿宋_GB2312" w:hAnsi="仿宋_GB2312" w:eastAsia="仿宋_GB2312"/>
          <w:color w:val="auto"/>
          <w:sz w:val="24"/>
          <w:szCs w:val="24"/>
          <w:lang w:eastAsia="zh-CN"/>
        </w:rPr>
        <w:t>。强化环境执法监察信息公开，对随机抽查结果和环境问题整改情况进行公开，接受公众监督。对建设单位环评信息进行全面公开。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仿宋_GB2312"/>
          <w:color w:val="auto"/>
          <w:kern w:val="2"/>
          <w:sz w:val="24"/>
          <w:szCs w:val="24"/>
          <w:lang w:val="en-US" w:eastAsia="zh-CN" w:bidi="ar-SA"/>
        </w:rPr>
      </w:pPr>
      <w:r>
        <w:rPr>
          <w:rFonts w:hint="eastAsia" w:ascii="楷体_GB2312" w:hAnsi="楷体_GB2312" w:eastAsia="楷体_GB2312" w:cs="仿宋_GB2312"/>
          <w:color w:val="auto"/>
          <w:kern w:val="2"/>
          <w:sz w:val="24"/>
          <w:szCs w:val="24"/>
          <w:lang w:val="en-US" w:eastAsia="zh-CN" w:bidi="ar-SA"/>
        </w:rPr>
        <w:t>（十三）推进食品药品安全信息公开</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仿宋_GB2312" w:hAnsi="仿宋_GB2312" w:eastAsia="仿宋_GB2312"/>
          <w:sz w:val="24"/>
          <w:szCs w:val="24"/>
          <w:highlight w:val="yellow"/>
          <w:lang w:val="en-US" w:eastAsia="zh-CN"/>
        </w:rPr>
      </w:pPr>
      <w:r>
        <w:rPr>
          <w:rFonts w:hint="eastAsia" w:ascii="仿宋_GB2312" w:hAnsi="仿宋_GB2312" w:eastAsia="仿宋_GB2312"/>
          <w:sz w:val="24"/>
          <w:szCs w:val="24"/>
          <w:lang w:val="en-US" w:eastAsia="zh-CN"/>
        </w:rPr>
        <w:t xml:space="preserve">    定期发布食品药品安全信息，在县政府网站及时回应社会关切。加强对食品安全标准的宣传和解读，对行政许可信用信息、行政处罚信用信息等进行公开。</w:t>
      </w:r>
    </w:p>
    <w:p>
      <w:pPr>
        <w:pStyle w:val="16"/>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s="仿宋_GB2312"/>
          <w:color w:val="auto"/>
          <w:sz w:val="24"/>
          <w:szCs w:val="24"/>
          <w:lang w:val="en-US" w:eastAsia="zh-CN"/>
        </w:rPr>
      </w:pPr>
      <w:r>
        <w:rPr>
          <w:rFonts w:hint="eastAsia" w:ascii="楷体_GB2312" w:hAnsi="楷体_GB2312" w:eastAsia="楷体_GB2312" w:cs="仿宋_GB2312"/>
          <w:color w:val="auto"/>
          <w:sz w:val="24"/>
          <w:szCs w:val="24"/>
          <w:lang w:val="en-US" w:eastAsia="zh-CN"/>
        </w:rPr>
        <w:t>（十四）推进住房保障信息公开</w:t>
      </w:r>
    </w:p>
    <w:p>
      <w:pPr>
        <w:keepNext w:val="0"/>
        <w:keepLines w:val="0"/>
        <w:pageBreakBefore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重大项目批准服务信息对施工许可核发、城市绿化工程竣工验收的实施依据、收费标准及依据、受理条件、申报材料及办理流程等进行公示公开。对“三改三建”的项目建设内容、建设期限和房地产相关的政策法规进行公示公开。紧密联系城建工作特点，对群众关切的房屋质量、环境卫生、房地产开发等热点问题及时进行答复，对办事事项、办事依据、办事行为规范、办事程序等进行梳理公开，并绘制业务服务“流程图”，方便群众，提高工作效率。</w:t>
      </w:r>
    </w:p>
    <w:p>
      <w:pPr>
        <w:keepNext w:val="0"/>
        <w:keepLines w:val="0"/>
        <w:pageBreakBefore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细化住房保障信息公开工作方案与公开内容，公开保障性安居工程建设项目年度目标、任务；项目开工建设情况；建设主体、套型标准、配套设施；住房保障工作年度目标任务完成情况；保障性住房分配信息、准入和退出机制信息、分配房源信息、分配对象信息、政策法规、办事指南等信息，将有关住房保障方面的所有信息全部在政府网站“住房保障”专栏公示，住房保障工作公开透明，充分保障人民群众的知情权、参与权、监督权，确保保障性住房“阳光操作”。</w:t>
      </w:r>
    </w:p>
    <w:p>
      <w:pPr>
        <w:keepNext w:val="0"/>
        <w:keepLines w:val="0"/>
        <w:pageBreakBefore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lang w:eastAsia="zh-CN"/>
        </w:rPr>
        <w:t>棚户区改造信息公开情况。</w:t>
      </w:r>
      <w:r>
        <w:rPr>
          <w:rFonts w:hint="eastAsia" w:ascii="仿宋_GB2312" w:hAnsi="仿宋_GB2312" w:eastAsia="仿宋_GB2312" w:cs="仿宋_GB2312"/>
          <w:sz w:val="24"/>
          <w:szCs w:val="24"/>
          <w:highlight w:val="none"/>
        </w:rPr>
        <w:t>全年在《桓台信息》、《桓台大众》等新闻媒介宣传棚户区改造</w:t>
      </w:r>
      <w:r>
        <w:rPr>
          <w:rFonts w:hint="eastAsia" w:ascii="仿宋_GB2312" w:hAnsi="仿宋_GB2312" w:eastAsia="仿宋_GB2312" w:cs="仿宋_GB2312"/>
          <w:sz w:val="24"/>
          <w:szCs w:val="24"/>
          <w:highlight w:val="none"/>
          <w:lang w:val="en-US" w:eastAsia="zh-CN"/>
        </w:rPr>
        <w:t>工作</w:t>
      </w:r>
      <w:r>
        <w:rPr>
          <w:rFonts w:hint="eastAsia" w:ascii="仿宋_GB2312" w:hAnsi="仿宋_GB2312" w:eastAsia="仿宋_GB2312" w:cs="仿宋_GB2312"/>
          <w:sz w:val="24"/>
          <w:szCs w:val="24"/>
          <w:highlight w:val="none"/>
        </w:rPr>
        <w:t>。在山东省</w:t>
      </w:r>
      <w:r>
        <w:rPr>
          <w:rFonts w:hint="eastAsia" w:ascii="仿宋_GB2312" w:hAnsi="仿宋_GB2312" w:eastAsia="仿宋_GB2312" w:cs="仿宋_GB2312"/>
          <w:sz w:val="24"/>
          <w:szCs w:val="24"/>
          <w:highlight w:val="none"/>
          <w:lang w:eastAsia="zh-CN"/>
        </w:rPr>
        <w:t>建筑市场监管与诚信信息一体化平台</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eastAsia="zh-CN"/>
        </w:rPr>
        <w:t>中国采购与招标网</w:t>
      </w:r>
      <w:r>
        <w:rPr>
          <w:rFonts w:hint="eastAsia" w:ascii="仿宋_GB2312" w:hAnsi="仿宋_GB2312" w:eastAsia="仿宋_GB2312" w:cs="仿宋_GB2312"/>
          <w:sz w:val="24"/>
          <w:szCs w:val="24"/>
          <w:highlight w:val="none"/>
        </w:rPr>
        <w:t>发布棚户区改造公示信息。</w:t>
      </w:r>
    </w:p>
    <w:p>
      <w:pPr>
        <w:keepNext w:val="0"/>
        <w:keepLines w:val="0"/>
        <w:pageBreakBefore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围绕公众关心的热点和重点问题，如经适房分配、公租房配租、房地产市场监管等信息公开工作，在桓台县人民政府网站对实施过程全面公开，同时通过报纸、电视等媒体发布主动公开的政府信息。</w:t>
      </w:r>
    </w:p>
    <w:p>
      <w:pPr>
        <w:pStyle w:val="12"/>
        <w:keepNext w:val="0"/>
        <w:keepLines w:val="0"/>
        <w:pageBreakBefore w:val="0"/>
        <w:widowControl w:val="0"/>
        <w:numPr>
          <w:ilvl w:val="0"/>
          <w:numId w:val="0"/>
        </w:numPr>
        <w:tabs>
          <w:tab w:val="center" w:pos="4649"/>
        </w:tabs>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楷体_GB2312" w:hAnsi="楷体_GB2312" w:eastAsia="楷体_GB2312"/>
          <w:color w:val="auto"/>
          <w:kern w:val="2"/>
          <w:sz w:val="24"/>
          <w:szCs w:val="24"/>
          <w:lang w:val="en-US" w:eastAsia="zh-CN"/>
        </w:rPr>
      </w:pPr>
      <w:r>
        <w:rPr>
          <w:rFonts w:hint="eastAsia" w:ascii="楷体_GB2312" w:hAnsi="楷体_GB2312" w:eastAsia="楷体_GB2312"/>
          <w:color w:val="auto"/>
          <w:kern w:val="2"/>
          <w:sz w:val="24"/>
          <w:szCs w:val="24"/>
          <w:lang w:val="en-US" w:eastAsia="zh-CN"/>
        </w:rPr>
        <w:t>（十五）推进安全生产监管信息公开</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充分发挥安全生产月活动的宣传阵地作用，集中开展主题宣讲、谈心对话、宣传咨询日、志愿签名、警示教育、应急救援、等活动，编制《全民安全知识手册》和《事故警示教育视频》，在全社会凝聚弘扬安全发展理念和共识，同时利用广播电视台、“桓台安监”微信公众号和公交车车身每日推送安全知识和安全提醒，在全社会营造人人讲安全的社会氛围。</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lang w:val="en-US" w:eastAsia="zh-CN"/>
        </w:rPr>
        <w:t>严格落实安全生产职责，对安全生产信息公开工作积极推进落实，安全生产重要时节及时发布预警信息。充分利用桓台县政府网站和桓台县行政执法网对安全生产和执法信息予以公开。</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楷体_GB2312" w:hAnsi="楷体_GB2312" w:eastAsia="楷体_GB2312"/>
          <w:color w:val="auto"/>
          <w:kern w:val="2"/>
          <w:sz w:val="24"/>
          <w:szCs w:val="24"/>
          <w:lang w:val="en-US" w:eastAsia="zh-CN"/>
        </w:rPr>
      </w:pPr>
      <w:r>
        <w:rPr>
          <w:rFonts w:hint="eastAsia" w:ascii="楷体_GB2312" w:hAnsi="楷体_GB2312" w:eastAsia="楷体_GB2312"/>
          <w:color w:val="auto"/>
          <w:kern w:val="2"/>
          <w:sz w:val="24"/>
          <w:szCs w:val="24"/>
          <w:lang w:val="en-US" w:eastAsia="zh-CN"/>
        </w:rPr>
        <w:t>（十六）推进人大代表建议和政协委员提案办理结果公开</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sz w:val="24"/>
          <w:szCs w:val="24"/>
          <w:highlight w:val="none"/>
          <w:lang w:val="en-US" w:eastAsia="zh-CN"/>
        </w:rPr>
      </w:pPr>
      <w:r>
        <w:rPr>
          <w:rFonts w:hint="eastAsia" w:ascii="仿宋_GB2312" w:hAnsi="仿宋_GB2312" w:eastAsia="仿宋_GB2312"/>
          <w:sz w:val="24"/>
          <w:szCs w:val="24"/>
          <w:lang w:val="en-US" w:eastAsia="zh-CN"/>
        </w:rPr>
        <w:t>进</w:t>
      </w:r>
      <w:r>
        <w:rPr>
          <w:rFonts w:hint="eastAsia" w:ascii="仿宋_GB2312" w:hAnsi="仿宋_GB2312" w:eastAsia="仿宋_GB2312"/>
          <w:sz w:val="24"/>
          <w:szCs w:val="24"/>
          <w:lang w:eastAsia="zh-CN"/>
        </w:rPr>
        <w:t>一步做好人大代表建议和政协委员提案办理结果公开工作。</w:t>
      </w:r>
      <w:r>
        <w:rPr>
          <w:rFonts w:hint="eastAsia" w:ascii="仿宋_GB2312" w:hAnsi="仿宋_GB2312" w:eastAsia="仿宋_GB2312"/>
          <w:sz w:val="24"/>
          <w:szCs w:val="24"/>
          <w:highlight w:val="none"/>
          <w:lang w:val="en-US" w:eastAsia="zh-CN"/>
        </w:rPr>
        <w:t>2019年，县政府门户网站政府信息公开专栏共发布人大代表建议和政协委员提案办</w:t>
      </w:r>
      <w:r>
        <w:rPr>
          <w:rFonts w:hint="eastAsia" w:ascii="仿宋_GB2312" w:hAnsi="仿宋_GB2312" w:eastAsia="仿宋_GB2312"/>
          <w:color w:val="auto"/>
          <w:sz w:val="24"/>
          <w:szCs w:val="24"/>
          <w:highlight w:val="none"/>
          <w:lang w:val="en-US" w:eastAsia="zh-CN"/>
        </w:rPr>
        <w:t>理结果、办</w:t>
      </w:r>
      <w:r>
        <w:rPr>
          <w:rFonts w:hint="eastAsia" w:ascii="仿宋_GB2312" w:hAnsi="仿宋_GB2312" w:eastAsia="仿宋_GB2312"/>
          <w:sz w:val="24"/>
          <w:szCs w:val="24"/>
          <w:highlight w:val="none"/>
          <w:lang w:val="en-US" w:eastAsia="zh-CN"/>
        </w:rPr>
        <w:t>理情况信息。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color w:val="auto"/>
          <w:kern w:val="2"/>
          <w:sz w:val="24"/>
          <w:szCs w:val="24"/>
          <w:lang w:val="en-US" w:eastAsia="zh-CN"/>
        </w:rPr>
      </w:pPr>
      <w:r>
        <w:rPr>
          <w:rFonts w:hint="eastAsia" w:ascii="仿宋_GB2312" w:hAnsi="仿宋_GB2312" w:eastAsia="仿宋_GB2312"/>
          <w:color w:val="auto"/>
          <w:kern w:val="2"/>
          <w:sz w:val="24"/>
          <w:szCs w:val="24"/>
          <w:lang w:val="en-US" w:eastAsia="zh-CN"/>
        </w:rPr>
        <w:t>2019年县政府承办市人大代表建议41件，共公开办理答复书142件；共承办市政协委员提案139件，共公开办理答复书180件（以上均含部门共同承办分别答复情形）。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楷体_GB2312" w:hAnsi="楷体_GB2312" w:eastAsia="楷体_GB2312"/>
          <w:color w:val="auto"/>
          <w:kern w:val="2"/>
          <w:sz w:val="24"/>
          <w:szCs w:val="24"/>
          <w:lang w:val="en-US" w:eastAsia="zh-CN"/>
        </w:rPr>
      </w:pPr>
      <w:r>
        <w:rPr>
          <w:rFonts w:hint="eastAsia" w:ascii="楷体_GB2312" w:hAnsi="楷体_GB2312" w:eastAsia="楷体_GB2312"/>
          <w:color w:val="auto"/>
          <w:kern w:val="2"/>
          <w:sz w:val="24"/>
          <w:szCs w:val="24"/>
          <w:lang w:val="en-US" w:eastAsia="zh-CN"/>
        </w:rPr>
        <w:t xml:space="preserve"> （十七）推进公共企事业单位信息公开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color w:val="auto"/>
          <w:kern w:val="2"/>
          <w:sz w:val="24"/>
          <w:szCs w:val="24"/>
          <w:lang w:val="en-US" w:eastAsia="zh-CN"/>
        </w:rPr>
      </w:pPr>
      <w:r>
        <w:rPr>
          <w:rFonts w:hint="eastAsia" w:ascii="仿宋_GB2312" w:hAnsi="仿宋_GB2312" w:eastAsia="仿宋_GB2312"/>
          <w:color w:val="auto"/>
          <w:kern w:val="2"/>
          <w:sz w:val="24"/>
          <w:szCs w:val="24"/>
          <w:lang w:val="en-US" w:eastAsia="zh-CN"/>
        </w:rPr>
        <w:t>各领域公共企事业单位主管部门履行指导监管职责，组织编制公开事项目录。教育、医疗卫生、水电气热等公共企事业单位均已在桓台县人民政府门户网站公布了服务事项和服务指南。</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firstLine="480" w:firstLineChars="0"/>
        <w:jc w:val="both"/>
        <w:textAlignment w:val="auto"/>
        <w:outlineLvl w:val="9"/>
        <w:rPr>
          <w:rFonts w:hint="eastAsia" w:ascii="仿宋_GB2312" w:hAnsi="仿宋_GB2312" w:eastAsia="仿宋_GB2312"/>
          <w:color w:val="auto"/>
          <w:kern w:val="2"/>
          <w:sz w:val="24"/>
          <w:szCs w:val="24"/>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黑体" w:hAnsi="黑体" w:eastAsia="黑体"/>
          <w:sz w:val="24"/>
          <w:highlight w:val="none"/>
          <w:lang w:val="en-US" w:eastAsia="zh-CN"/>
        </w:rPr>
      </w:pPr>
      <w:r>
        <w:rPr>
          <w:rFonts w:hint="eastAsia" w:ascii="黑体" w:hAnsi="黑体" w:eastAsia="黑体"/>
          <w:sz w:val="24"/>
          <w:highlight w:val="none"/>
          <w:lang w:val="en-US" w:eastAsia="zh-CN"/>
        </w:rPr>
        <w:t>3、依申请公开政府信息情况</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eastAsia="仿宋_GB2312"/>
          <w:sz w:val="24"/>
          <w:szCs w:val="32"/>
          <w:highlight w:val="none"/>
        </w:rPr>
      </w:pPr>
      <w:r>
        <w:rPr>
          <w:rFonts w:hint="eastAsia" w:ascii="仿宋_GB2312" w:eastAsia="仿宋_GB2312"/>
          <w:sz w:val="24"/>
          <w:szCs w:val="32"/>
          <w:highlight w:val="none"/>
        </w:rPr>
        <w:t>我县严格执行“工作机构受理,业务部门承办,重大问题会商,法制部门合法性审查”的依申请公开工作程序,做好依申请公开各环节工作,努力提高答复程序和内容的合法性。</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default" w:ascii="仿宋_GB2312" w:eastAsia="仿宋_GB2312"/>
          <w:sz w:val="24"/>
          <w:szCs w:val="32"/>
          <w:highlight w:val="none"/>
          <w:lang w:val="en-US" w:eastAsia="zh-CN"/>
        </w:rPr>
      </w:pPr>
      <w:r>
        <w:rPr>
          <w:rFonts w:hint="eastAsia" w:ascii="仿宋_GB2312" w:eastAsia="仿宋_GB2312"/>
          <w:sz w:val="24"/>
          <w:szCs w:val="32"/>
          <w:highlight w:val="none"/>
          <w:lang w:val="en-US" w:eastAsia="zh-CN"/>
        </w:rPr>
        <w:t>相关统计数据分析：（一）</w:t>
      </w:r>
      <w:r>
        <w:rPr>
          <w:rFonts w:hint="eastAsia" w:ascii="仿宋_GB2312" w:eastAsia="仿宋_GB2312"/>
          <w:sz w:val="24"/>
          <w:szCs w:val="32"/>
          <w:highlight w:val="none"/>
        </w:rPr>
        <w:t>收到申请及答复情况。201</w:t>
      </w:r>
      <w:r>
        <w:rPr>
          <w:rFonts w:hint="eastAsia" w:ascii="仿宋_GB2312" w:eastAsia="仿宋_GB2312"/>
          <w:sz w:val="24"/>
          <w:szCs w:val="32"/>
          <w:highlight w:val="none"/>
          <w:lang w:val="en-US" w:eastAsia="zh-CN"/>
        </w:rPr>
        <w:t>9</w:t>
      </w:r>
      <w:r>
        <w:rPr>
          <w:rFonts w:hint="eastAsia" w:ascii="仿宋_GB2312" w:eastAsia="仿宋_GB2312"/>
          <w:sz w:val="24"/>
          <w:szCs w:val="32"/>
          <w:highlight w:val="none"/>
        </w:rPr>
        <w:t>年，桓台县人民政府</w:t>
      </w:r>
      <w:r>
        <w:rPr>
          <w:rFonts w:hint="eastAsia" w:ascii="仿宋_GB2312" w:eastAsia="仿宋_GB2312"/>
          <w:sz w:val="24"/>
          <w:szCs w:val="32"/>
          <w:highlight w:val="none"/>
          <w:lang w:eastAsia="zh-CN"/>
        </w:rPr>
        <w:t>及部门</w:t>
      </w:r>
      <w:r>
        <w:rPr>
          <w:rFonts w:hint="eastAsia" w:ascii="仿宋_GB2312" w:eastAsia="仿宋_GB2312"/>
          <w:sz w:val="24"/>
          <w:szCs w:val="32"/>
          <w:highlight w:val="none"/>
        </w:rPr>
        <w:t>收到信息公开申请</w:t>
      </w:r>
      <w:r>
        <w:rPr>
          <w:rFonts w:hint="eastAsia" w:ascii="仿宋_GB2312" w:eastAsia="仿宋_GB2312"/>
          <w:sz w:val="24"/>
          <w:szCs w:val="32"/>
          <w:highlight w:val="none"/>
          <w:lang w:val="en-US" w:eastAsia="zh-CN"/>
        </w:rPr>
        <w:t>71</w:t>
      </w:r>
      <w:r>
        <w:rPr>
          <w:rFonts w:hint="eastAsia" w:ascii="仿宋_GB2312" w:eastAsia="仿宋_GB2312"/>
          <w:sz w:val="24"/>
          <w:szCs w:val="32"/>
          <w:highlight w:val="none"/>
        </w:rPr>
        <w:t>件，上年结转政府信息公开申请</w:t>
      </w:r>
      <w:r>
        <w:rPr>
          <w:rFonts w:hint="eastAsia" w:ascii="仿宋_GB2312" w:eastAsia="仿宋_GB2312"/>
          <w:sz w:val="24"/>
          <w:szCs w:val="32"/>
          <w:highlight w:val="none"/>
          <w:lang w:val="en-US" w:eastAsia="zh-CN"/>
        </w:rPr>
        <w:t>12件</w:t>
      </w:r>
      <w:r>
        <w:rPr>
          <w:rFonts w:hint="eastAsia" w:ascii="仿宋_GB2312" w:eastAsia="仿宋_GB2312"/>
          <w:sz w:val="24"/>
          <w:szCs w:val="32"/>
          <w:highlight w:val="none"/>
          <w:lang w:eastAsia="zh-CN"/>
        </w:rPr>
        <w:t>，主要情况为主动公开</w:t>
      </w:r>
      <w:r>
        <w:rPr>
          <w:rFonts w:hint="eastAsia" w:ascii="仿宋_GB2312" w:eastAsia="仿宋_GB2312"/>
          <w:sz w:val="24"/>
          <w:szCs w:val="32"/>
          <w:highlight w:val="none"/>
          <w:lang w:val="en-US" w:eastAsia="zh-CN"/>
        </w:rPr>
        <w:t>78件，占比94%；</w:t>
      </w:r>
      <w:r>
        <w:rPr>
          <w:rFonts w:hint="eastAsia" w:ascii="仿宋_GB2312" w:eastAsia="仿宋_GB2312"/>
          <w:sz w:val="24"/>
          <w:szCs w:val="32"/>
          <w:highlight w:val="none"/>
          <w:lang w:eastAsia="zh-CN"/>
        </w:rPr>
        <w:t>无法提供不予</w:t>
      </w:r>
      <w:r>
        <w:rPr>
          <w:rFonts w:hint="eastAsia" w:ascii="仿宋_GB2312" w:eastAsia="仿宋_GB2312"/>
          <w:sz w:val="24"/>
          <w:szCs w:val="32"/>
          <w:highlight w:val="none"/>
        </w:rPr>
        <w:t>公开</w:t>
      </w:r>
      <w:r>
        <w:rPr>
          <w:rFonts w:hint="eastAsia" w:ascii="仿宋_GB2312" w:eastAsia="仿宋_GB2312"/>
          <w:sz w:val="24"/>
          <w:szCs w:val="32"/>
          <w:highlight w:val="none"/>
          <w:lang w:val="en-US" w:eastAsia="zh-CN"/>
        </w:rPr>
        <w:t>5件，占比6%。</w:t>
      </w:r>
      <w:r>
        <w:rPr>
          <w:rFonts w:hint="eastAsia" w:ascii="仿宋_GB2312" w:eastAsia="仿宋_GB2312"/>
          <w:sz w:val="24"/>
          <w:szCs w:val="32"/>
          <w:highlight w:val="none"/>
        </w:rPr>
        <w:t>根据</w:t>
      </w:r>
      <w:r>
        <w:rPr>
          <w:rFonts w:hint="eastAsia" w:ascii="仿宋_GB2312" w:eastAsia="仿宋_GB2312"/>
          <w:sz w:val="24"/>
          <w:szCs w:val="32"/>
          <w:highlight w:val="none"/>
          <w:lang w:eastAsia="zh-CN"/>
        </w:rPr>
        <w:t>新修订的</w:t>
      </w:r>
      <w:r>
        <w:rPr>
          <w:rFonts w:hint="eastAsia" w:ascii="仿宋_GB2312" w:eastAsia="仿宋_GB2312"/>
          <w:sz w:val="24"/>
          <w:szCs w:val="32"/>
          <w:highlight w:val="none"/>
        </w:rPr>
        <w:t>《中华人民共和国政府信息公开条例》第十条</w:t>
      </w:r>
      <w:r>
        <w:rPr>
          <w:rFonts w:hint="eastAsia" w:ascii="仿宋_GB2312" w:eastAsia="仿宋_GB2312"/>
          <w:sz w:val="24"/>
          <w:szCs w:val="32"/>
          <w:highlight w:val="none"/>
          <w:lang w:eastAsia="zh-CN"/>
        </w:rPr>
        <w:t>相关</w:t>
      </w:r>
      <w:r>
        <w:rPr>
          <w:rFonts w:hint="eastAsia" w:ascii="仿宋_GB2312" w:eastAsia="仿宋_GB2312"/>
          <w:sz w:val="24"/>
          <w:szCs w:val="32"/>
          <w:highlight w:val="none"/>
        </w:rPr>
        <w:t>规定，上述</w:t>
      </w:r>
      <w:r>
        <w:rPr>
          <w:rFonts w:hint="eastAsia" w:ascii="仿宋_GB2312" w:eastAsia="仿宋_GB2312"/>
          <w:sz w:val="24"/>
          <w:szCs w:val="32"/>
          <w:highlight w:val="none"/>
          <w:lang w:val="en-US" w:eastAsia="zh-CN"/>
        </w:rPr>
        <w:t>83</w:t>
      </w:r>
      <w:r>
        <w:rPr>
          <w:rFonts w:hint="eastAsia" w:ascii="仿宋_GB2312" w:eastAsia="仿宋_GB2312"/>
          <w:sz w:val="24"/>
          <w:szCs w:val="32"/>
          <w:highlight w:val="none"/>
        </w:rPr>
        <w:t>件信息公开申请</w:t>
      </w:r>
      <w:r>
        <w:rPr>
          <w:rFonts w:hint="eastAsia" w:ascii="仿宋_GB2312" w:eastAsia="仿宋_GB2312"/>
          <w:sz w:val="24"/>
          <w:szCs w:val="32"/>
          <w:highlight w:val="none"/>
          <w:lang w:eastAsia="zh-CN"/>
        </w:rPr>
        <w:t>相关部门均</w:t>
      </w:r>
      <w:r>
        <w:rPr>
          <w:rFonts w:hint="eastAsia" w:ascii="仿宋_GB2312" w:eastAsia="仿宋_GB2312"/>
          <w:sz w:val="24"/>
          <w:szCs w:val="32"/>
          <w:highlight w:val="none"/>
        </w:rPr>
        <w:t>已答复</w:t>
      </w:r>
      <w:r>
        <w:rPr>
          <w:rFonts w:hint="eastAsia" w:ascii="仿宋_GB2312" w:eastAsia="仿宋_GB2312"/>
          <w:sz w:val="24"/>
          <w:szCs w:val="32"/>
          <w:highlight w:val="none"/>
          <w:lang w:eastAsia="zh-CN"/>
        </w:rPr>
        <w:t>办结</w:t>
      </w:r>
      <w:r>
        <w:rPr>
          <w:rFonts w:hint="eastAsia" w:ascii="仿宋_GB2312" w:eastAsia="仿宋_GB2312"/>
          <w:sz w:val="24"/>
          <w:szCs w:val="32"/>
          <w:highlight w:val="none"/>
        </w:rPr>
        <w:t>。</w:t>
      </w:r>
      <w:r>
        <w:rPr>
          <w:rFonts w:hint="eastAsia" w:ascii="仿宋_GB2312" w:eastAsia="仿宋_GB2312"/>
          <w:sz w:val="24"/>
          <w:szCs w:val="32"/>
          <w:highlight w:val="none"/>
          <w:lang w:eastAsia="zh-CN"/>
        </w:rPr>
        <w:t>（二）</w:t>
      </w:r>
      <w:r>
        <w:rPr>
          <w:rFonts w:hint="eastAsia" w:ascii="仿宋_GB2312" w:eastAsia="仿宋_GB2312"/>
          <w:sz w:val="24"/>
          <w:szCs w:val="32"/>
          <w:highlight w:val="none"/>
          <w:lang w:val="en-US" w:eastAsia="zh-CN"/>
        </w:rPr>
        <w:t>2019年依申请信息公开答复71件，较2018年依申请信息公开答复66件增长7.6％，较为圆满的满足了市民对政府信息的公开需求。</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eastAsia="仿宋_GB2312"/>
          <w:sz w:val="24"/>
          <w:szCs w:val="32"/>
          <w:highlight w:val="none"/>
          <w:lang w:val="en-US" w:eastAsia="zh-CN"/>
        </w:rPr>
      </w:pPr>
      <w:r>
        <w:rPr>
          <w:rFonts w:hint="eastAsia" w:ascii="仿宋_GB2312" w:eastAsia="仿宋_GB2312"/>
          <w:sz w:val="24"/>
          <w:szCs w:val="32"/>
          <w:highlight w:val="none"/>
          <w:lang w:val="en-US" w:eastAsia="zh-CN"/>
        </w:rPr>
        <w:t>收费及减免情况。我县各级行政机关在政府信息公开申请办理过程中，均未收取任何费用。</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eastAsia="仿宋_GB2312"/>
          <w:sz w:val="24"/>
          <w:szCs w:val="32"/>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cs="Times New Roman"/>
          <w:kern w:val="2"/>
          <w:sz w:val="24"/>
          <w:szCs w:val="20"/>
          <w:highlight w:val="none"/>
          <w:lang w:val="en-US" w:eastAsia="zh-CN"/>
        </w:rPr>
      </w:pPr>
      <w:r>
        <w:rPr>
          <w:rFonts w:hint="eastAsia" w:ascii="黑体" w:hAnsi="黑体" w:eastAsia="黑体"/>
          <w:sz w:val="24"/>
          <w:szCs w:val="22"/>
          <w:highlight w:val="none"/>
          <w:lang w:val="en-US" w:eastAsia="zh-CN"/>
        </w:rPr>
        <w:t>4、政府信息公开行政复议和行政诉讼情况</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jc w:val="both"/>
        <w:textAlignment w:val="auto"/>
        <w:rPr>
          <w:rFonts w:hint="eastAsia" w:ascii="仿宋_GB2312" w:eastAsia="仿宋_GB2312"/>
          <w:sz w:val="24"/>
          <w:szCs w:val="32"/>
          <w:highlight w:val="none"/>
          <w:lang w:val="en-US" w:eastAsia="zh-CN"/>
        </w:rPr>
      </w:pPr>
      <w:r>
        <w:rPr>
          <w:rFonts w:hint="eastAsia" w:ascii="仿宋_GB2312" w:eastAsia="仿宋_GB2312"/>
          <w:sz w:val="24"/>
          <w:szCs w:val="32"/>
          <w:highlight w:val="none"/>
          <w:lang w:val="en-US" w:eastAsia="zh-CN"/>
        </w:rPr>
        <w:t>据统计，2019年，我县涉及政府信息公开的行政复议案件2件，复议结果均为予以维持；涉及政府信息公开的行政诉讼案件14件。桓台县人民政府无涉及到政府信息公开的投诉举报情况。</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jc w:val="both"/>
        <w:textAlignment w:val="auto"/>
        <w:rPr>
          <w:rFonts w:hint="eastAsia" w:ascii="仿宋_GB2312" w:eastAsia="仿宋_GB2312"/>
          <w:sz w:val="24"/>
          <w:szCs w:val="32"/>
          <w:highlight w:val="yellow"/>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rPr>
          <w:rFonts w:hint="eastAsia" w:ascii="仿宋_GB2312" w:eastAsia="仿宋_GB2312"/>
          <w:sz w:val="24"/>
          <w:szCs w:val="32"/>
          <w:highlight w:val="yellow"/>
          <w:lang w:val="en-US" w:eastAsia="zh-CN"/>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highlight w:val="yellow"/>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r>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t>二、主动公开政府信息情况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黑体" w:hAnsi="黑体" w:eastAsia="黑体"/>
          <w:sz w:val="24"/>
          <w:szCs w:val="22"/>
          <w:lang w:val="en-US" w:eastAsia="zh-CN"/>
        </w:rPr>
      </w:pPr>
      <w:bookmarkStart w:id="0" w:name="_GoBack"/>
      <w:bookmarkEnd w:id="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noWrap w:val="0"/>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noWrap w:val="0"/>
            <w:vAlign w:val="center"/>
          </w:tcPr>
          <w:p>
            <w:pPr>
              <w:jc w:val="center"/>
              <w:rPr>
                <w:rFonts w:hint="eastAsia"/>
                <w:sz w:val="24"/>
                <w:szCs w:val="24"/>
              </w:rPr>
            </w:pPr>
            <w:r>
              <w:rPr>
                <w:rFonts w:hint="eastAsia"/>
                <w:sz w:val="24"/>
                <w:szCs w:val="24"/>
              </w:rPr>
              <w:t>信息内容</w:t>
            </w:r>
          </w:p>
        </w:tc>
        <w:tc>
          <w:tcPr>
            <w:tcW w:w="1985" w:type="dxa"/>
            <w:noWrap w:val="0"/>
            <w:vAlign w:val="center"/>
          </w:tcPr>
          <w:p>
            <w:pPr>
              <w:jc w:val="center"/>
              <w:rPr>
                <w:rFonts w:hint="eastAsia"/>
                <w:sz w:val="24"/>
                <w:szCs w:val="24"/>
              </w:rPr>
            </w:pPr>
            <w:r>
              <w:rPr>
                <w:rFonts w:hint="eastAsia"/>
                <w:sz w:val="24"/>
                <w:szCs w:val="24"/>
              </w:rPr>
              <w:t>本年新制作数量</w:t>
            </w:r>
          </w:p>
        </w:tc>
        <w:tc>
          <w:tcPr>
            <w:tcW w:w="2030" w:type="dxa"/>
            <w:noWrap w:val="0"/>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noWrap w:val="0"/>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noWrap w:val="0"/>
            <w:vAlign w:val="center"/>
          </w:tcPr>
          <w:p>
            <w:pPr>
              <w:jc w:val="center"/>
              <w:rPr>
                <w:rFonts w:hint="eastAsia"/>
                <w:sz w:val="24"/>
                <w:szCs w:val="24"/>
              </w:rPr>
            </w:pPr>
            <w:r>
              <w:rPr>
                <w:rFonts w:hint="eastAsia"/>
                <w:sz w:val="24"/>
                <w:szCs w:val="24"/>
              </w:rPr>
              <w:t>规章</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0</w:t>
            </w:r>
          </w:p>
        </w:tc>
        <w:tc>
          <w:tcPr>
            <w:tcW w:w="2030" w:type="dxa"/>
            <w:noWrap w:val="0"/>
            <w:vAlign w:val="center"/>
          </w:tcPr>
          <w:p>
            <w:pPr>
              <w:jc w:val="center"/>
              <w:rPr>
                <w:rFonts w:hint="default" w:eastAsia="宋体"/>
                <w:sz w:val="24"/>
                <w:szCs w:val="24"/>
                <w:lang w:val="en-US" w:eastAsia="zh-CN"/>
              </w:rPr>
            </w:pPr>
            <w:r>
              <w:rPr>
                <w:rFonts w:hint="eastAsia"/>
                <w:sz w:val="24"/>
                <w:szCs w:val="24"/>
                <w:lang w:val="en-US" w:eastAsia="zh-CN"/>
              </w:rPr>
              <w:t>0</w:t>
            </w:r>
          </w:p>
        </w:tc>
        <w:tc>
          <w:tcPr>
            <w:tcW w:w="2222" w:type="dxa"/>
            <w:noWrap w:val="0"/>
            <w:vAlign w:val="center"/>
          </w:tcPr>
          <w:p>
            <w:pPr>
              <w:jc w:val="center"/>
              <w:rPr>
                <w:rFonts w:hint="default"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noWrap w:val="0"/>
            <w:vAlign w:val="center"/>
          </w:tcPr>
          <w:p>
            <w:pPr>
              <w:jc w:val="center"/>
              <w:rPr>
                <w:rFonts w:hint="eastAsia"/>
                <w:sz w:val="24"/>
                <w:szCs w:val="24"/>
              </w:rPr>
            </w:pPr>
            <w:r>
              <w:rPr>
                <w:rFonts w:hint="eastAsia"/>
                <w:sz w:val="24"/>
                <w:szCs w:val="24"/>
              </w:rPr>
              <w:t>规范性文件</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4</w:t>
            </w:r>
          </w:p>
        </w:tc>
        <w:tc>
          <w:tcPr>
            <w:tcW w:w="2030" w:type="dxa"/>
            <w:noWrap w:val="0"/>
            <w:vAlign w:val="center"/>
          </w:tcPr>
          <w:p>
            <w:pPr>
              <w:jc w:val="center"/>
              <w:rPr>
                <w:rFonts w:hint="default" w:eastAsia="宋体"/>
                <w:sz w:val="24"/>
                <w:szCs w:val="24"/>
                <w:lang w:val="en-US" w:eastAsia="zh-CN"/>
              </w:rPr>
            </w:pPr>
            <w:r>
              <w:rPr>
                <w:rFonts w:hint="eastAsia"/>
                <w:sz w:val="24"/>
                <w:szCs w:val="24"/>
                <w:lang w:val="en-US" w:eastAsia="zh-CN"/>
              </w:rPr>
              <w:t>4</w:t>
            </w:r>
          </w:p>
        </w:tc>
        <w:tc>
          <w:tcPr>
            <w:tcW w:w="2222" w:type="dxa"/>
            <w:noWrap w:val="0"/>
            <w:vAlign w:val="center"/>
          </w:tcPr>
          <w:p>
            <w:pPr>
              <w:jc w:val="center"/>
              <w:rPr>
                <w:rFonts w:hint="default" w:eastAsia="宋体"/>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noWrap w:val="0"/>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noWrap w:val="0"/>
            <w:vAlign w:val="center"/>
          </w:tcPr>
          <w:p>
            <w:pPr>
              <w:jc w:val="center"/>
              <w:rPr>
                <w:rFonts w:hint="eastAsia"/>
                <w:sz w:val="24"/>
                <w:szCs w:val="24"/>
              </w:rPr>
            </w:pPr>
            <w:r>
              <w:rPr>
                <w:rFonts w:hint="eastAsia"/>
                <w:sz w:val="24"/>
                <w:szCs w:val="24"/>
              </w:rPr>
              <w:t>信息内容</w:t>
            </w:r>
          </w:p>
        </w:tc>
        <w:tc>
          <w:tcPr>
            <w:tcW w:w="1985" w:type="dxa"/>
            <w:noWrap w:val="0"/>
            <w:vAlign w:val="center"/>
          </w:tcPr>
          <w:p>
            <w:pPr>
              <w:rPr>
                <w:rFonts w:hint="eastAsia"/>
                <w:sz w:val="24"/>
                <w:szCs w:val="24"/>
              </w:rPr>
            </w:pPr>
            <w:r>
              <w:rPr>
                <w:rFonts w:hint="eastAsia"/>
                <w:sz w:val="24"/>
                <w:szCs w:val="24"/>
              </w:rPr>
              <w:t>上一年项目数量</w:t>
            </w:r>
          </w:p>
        </w:tc>
        <w:tc>
          <w:tcPr>
            <w:tcW w:w="2030" w:type="dxa"/>
            <w:noWrap w:val="0"/>
            <w:vAlign w:val="center"/>
          </w:tcPr>
          <w:p>
            <w:pPr>
              <w:jc w:val="center"/>
              <w:rPr>
                <w:rFonts w:hint="eastAsia"/>
                <w:sz w:val="24"/>
                <w:szCs w:val="24"/>
              </w:rPr>
            </w:pPr>
            <w:r>
              <w:rPr>
                <w:rFonts w:hint="eastAsia"/>
                <w:sz w:val="24"/>
                <w:szCs w:val="24"/>
              </w:rPr>
              <w:t>本年增/减</w:t>
            </w:r>
          </w:p>
        </w:tc>
        <w:tc>
          <w:tcPr>
            <w:tcW w:w="2222" w:type="dxa"/>
            <w:noWrap w:val="0"/>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noWrap w:val="0"/>
            <w:vAlign w:val="center"/>
          </w:tcPr>
          <w:p>
            <w:pPr>
              <w:jc w:val="center"/>
              <w:rPr>
                <w:rFonts w:hint="eastAsia"/>
                <w:sz w:val="24"/>
                <w:szCs w:val="24"/>
              </w:rPr>
            </w:pPr>
            <w:r>
              <w:rPr>
                <w:rFonts w:hint="eastAsia"/>
                <w:sz w:val="24"/>
                <w:szCs w:val="24"/>
              </w:rPr>
              <w:t>行政许可</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1118</w:t>
            </w:r>
          </w:p>
        </w:tc>
        <w:tc>
          <w:tcPr>
            <w:tcW w:w="2030" w:type="dxa"/>
            <w:noWrap w:val="0"/>
            <w:vAlign w:val="center"/>
          </w:tcPr>
          <w:p>
            <w:pPr>
              <w:jc w:val="center"/>
              <w:rPr>
                <w:rFonts w:hint="default"/>
                <w:sz w:val="24"/>
                <w:szCs w:val="24"/>
                <w:lang w:val="en-US" w:eastAsia="zh-CN"/>
              </w:rPr>
            </w:pPr>
            <w:r>
              <w:rPr>
                <w:rFonts w:hint="eastAsia"/>
                <w:sz w:val="24"/>
                <w:szCs w:val="24"/>
                <w:lang w:val="en-US" w:eastAsia="zh-CN"/>
              </w:rPr>
              <w:t>0</w:t>
            </w:r>
          </w:p>
        </w:tc>
        <w:tc>
          <w:tcPr>
            <w:tcW w:w="2222" w:type="dxa"/>
            <w:noWrap w:val="0"/>
            <w:vAlign w:val="center"/>
          </w:tcPr>
          <w:p>
            <w:pPr>
              <w:jc w:val="center"/>
              <w:rPr>
                <w:rFonts w:hint="default" w:eastAsia="宋体"/>
                <w:sz w:val="24"/>
                <w:szCs w:val="24"/>
                <w:lang w:val="en-US" w:eastAsia="zh-CN"/>
              </w:rPr>
            </w:pPr>
            <w:r>
              <w:rPr>
                <w:rFonts w:hint="eastAsia"/>
                <w:sz w:val="24"/>
                <w:szCs w:val="24"/>
                <w:lang w:val="en-US" w:eastAsia="zh-CN"/>
              </w:rPr>
              <w:t>50505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noWrap w:val="0"/>
            <w:vAlign w:val="center"/>
          </w:tcPr>
          <w:p>
            <w:pPr>
              <w:jc w:val="center"/>
              <w:rPr>
                <w:rFonts w:hint="eastAsia"/>
                <w:sz w:val="24"/>
                <w:szCs w:val="24"/>
              </w:rPr>
            </w:pPr>
            <w:r>
              <w:rPr>
                <w:rFonts w:hint="eastAsia"/>
                <w:sz w:val="24"/>
                <w:szCs w:val="24"/>
              </w:rPr>
              <w:t>其他对外管理服务事项</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430</w:t>
            </w:r>
          </w:p>
        </w:tc>
        <w:tc>
          <w:tcPr>
            <w:tcW w:w="2030" w:type="dxa"/>
            <w:noWrap w:val="0"/>
            <w:vAlign w:val="center"/>
          </w:tcPr>
          <w:p>
            <w:pPr>
              <w:jc w:val="center"/>
              <w:rPr>
                <w:rFonts w:hint="eastAsia" w:eastAsia="宋体"/>
                <w:sz w:val="24"/>
                <w:szCs w:val="24"/>
                <w:lang w:val="en-US" w:eastAsia="zh-CN"/>
              </w:rPr>
            </w:pPr>
            <w:r>
              <w:rPr>
                <w:rFonts w:hint="eastAsia"/>
                <w:sz w:val="24"/>
                <w:szCs w:val="24"/>
                <w:lang w:val="en-US" w:eastAsia="zh-CN"/>
              </w:rPr>
              <w:t>0</w:t>
            </w:r>
          </w:p>
        </w:tc>
        <w:tc>
          <w:tcPr>
            <w:tcW w:w="2222" w:type="dxa"/>
            <w:noWrap w:val="0"/>
            <w:vAlign w:val="center"/>
          </w:tcPr>
          <w:p>
            <w:pPr>
              <w:jc w:val="center"/>
              <w:rPr>
                <w:rFonts w:hint="default" w:eastAsia="宋体"/>
                <w:sz w:val="24"/>
                <w:szCs w:val="24"/>
                <w:lang w:val="en-US" w:eastAsia="zh-CN"/>
              </w:rPr>
            </w:pPr>
            <w:r>
              <w:rPr>
                <w:rFonts w:hint="eastAsia"/>
                <w:sz w:val="24"/>
                <w:szCs w:val="24"/>
                <w:lang w:val="en-US" w:eastAsia="zh-CN"/>
              </w:rPr>
              <w:t>2237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noWrap w:val="0"/>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noWrap w:val="0"/>
            <w:vAlign w:val="center"/>
          </w:tcPr>
          <w:p>
            <w:pPr>
              <w:jc w:val="center"/>
              <w:rPr>
                <w:rFonts w:hint="eastAsia"/>
                <w:sz w:val="24"/>
                <w:szCs w:val="24"/>
              </w:rPr>
            </w:pPr>
            <w:r>
              <w:rPr>
                <w:rFonts w:hint="eastAsia"/>
                <w:sz w:val="24"/>
                <w:szCs w:val="24"/>
              </w:rPr>
              <w:t>信息内容</w:t>
            </w:r>
          </w:p>
        </w:tc>
        <w:tc>
          <w:tcPr>
            <w:tcW w:w="1985" w:type="dxa"/>
            <w:noWrap w:val="0"/>
            <w:vAlign w:val="center"/>
          </w:tcPr>
          <w:p>
            <w:pPr>
              <w:rPr>
                <w:rFonts w:hint="eastAsia"/>
                <w:sz w:val="24"/>
                <w:szCs w:val="24"/>
              </w:rPr>
            </w:pPr>
            <w:r>
              <w:rPr>
                <w:rFonts w:hint="eastAsia"/>
                <w:sz w:val="24"/>
                <w:szCs w:val="24"/>
              </w:rPr>
              <w:t>上一年项目数量</w:t>
            </w:r>
          </w:p>
        </w:tc>
        <w:tc>
          <w:tcPr>
            <w:tcW w:w="2030" w:type="dxa"/>
            <w:noWrap w:val="0"/>
            <w:vAlign w:val="center"/>
          </w:tcPr>
          <w:p>
            <w:pPr>
              <w:jc w:val="center"/>
              <w:rPr>
                <w:rFonts w:hint="eastAsia"/>
                <w:sz w:val="24"/>
                <w:szCs w:val="24"/>
              </w:rPr>
            </w:pPr>
            <w:r>
              <w:rPr>
                <w:rFonts w:hint="eastAsia"/>
                <w:sz w:val="24"/>
                <w:szCs w:val="24"/>
              </w:rPr>
              <w:t>本年增/减</w:t>
            </w:r>
          </w:p>
        </w:tc>
        <w:tc>
          <w:tcPr>
            <w:tcW w:w="2222" w:type="dxa"/>
            <w:noWrap w:val="0"/>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noWrap w:val="0"/>
            <w:vAlign w:val="center"/>
          </w:tcPr>
          <w:p>
            <w:pPr>
              <w:jc w:val="center"/>
              <w:rPr>
                <w:rFonts w:hint="eastAsia"/>
                <w:sz w:val="24"/>
                <w:szCs w:val="24"/>
              </w:rPr>
            </w:pPr>
            <w:r>
              <w:rPr>
                <w:rFonts w:hint="eastAsia"/>
                <w:sz w:val="24"/>
                <w:szCs w:val="24"/>
              </w:rPr>
              <w:t>行政处罚</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3031</w:t>
            </w:r>
          </w:p>
        </w:tc>
        <w:tc>
          <w:tcPr>
            <w:tcW w:w="2030" w:type="dxa"/>
            <w:noWrap w:val="0"/>
            <w:vAlign w:val="center"/>
          </w:tcPr>
          <w:p>
            <w:pPr>
              <w:jc w:val="center"/>
              <w:rPr>
                <w:rFonts w:hint="eastAsia" w:eastAsia="宋体"/>
                <w:sz w:val="24"/>
                <w:szCs w:val="24"/>
                <w:lang w:val="en-US" w:eastAsia="zh-CN"/>
              </w:rPr>
            </w:pPr>
            <w:r>
              <w:rPr>
                <w:rFonts w:hint="eastAsia"/>
                <w:sz w:val="24"/>
                <w:szCs w:val="24"/>
                <w:lang w:val="en-US" w:eastAsia="zh-CN"/>
              </w:rPr>
              <w:t>0</w:t>
            </w:r>
          </w:p>
        </w:tc>
        <w:tc>
          <w:tcPr>
            <w:tcW w:w="2222" w:type="dxa"/>
            <w:noWrap w:val="0"/>
            <w:vAlign w:val="center"/>
          </w:tcPr>
          <w:p>
            <w:pPr>
              <w:jc w:val="center"/>
              <w:rPr>
                <w:rFonts w:hint="default" w:eastAsia="宋体"/>
                <w:sz w:val="24"/>
                <w:szCs w:val="24"/>
                <w:lang w:val="en-US" w:eastAsia="zh-CN"/>
              </w:rPr>
            </w:pPr>
            <w:r>
              <w:rPr>
                <w:rFonts w:hint="eastAsia"/>
                <w:sz w:val="24"/>
                <w:szCs w:val="24"/>
                <w:lang w:val="en-US" w:eastAsia="zh-CN"/>
              </w:rPr>
              <w:t>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noWrap w:val="0"/>
            <w:vAlign w:val="center"/>
          </w:tcPr>
          <w:p>
            <w:pPr>
              <w:jc w:val="center"/>
              <w:rPr>
                <w:rFonts w:hint="eastAsia"/>
                <w:sz w:val="24"/>
                <w:szCs w:val="24"/>
              </w:rPr>
            </w:pPr>
            <w:r>
              <w:rPr>
                <w:rFonts w:hint="eastAsia"/>
                <w:sz w:val="24"/>
                <w:szCs w:val="24"/>
              </w:rPr>
              <w:t>行政强制</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146</w:t>
            </w:r>
          </w:p>
        </w:tc>
        <w:tc>
          <w:tcPr>
            <w:tcW w:w="2030" w:type="dxa"/>
            <w:noWrap w:val="0"/>
            <w:vAlign w:val="center"/>
          </w:tcPr>
          <w:p>
            <w:pPr>
              <w:jc w:val="center"/>
              <w:rPr>
                <w:rFonts w:hint="eastAsia" w:eastAsia="宋体"/>
                <w:sz w:val="24"/>
                <w:szCs w:val="24"/>
                <w:lang w:val="en-US" w:eastAsia="zh-CN"/>
              </w:rPr>
            </w:pPr>
            <w:r>
              <w:rPr>
                <w:rFonts w:hint="eastAsia"/>
                <w:sz w:val="24"/>
                <w:szCs w:val="24"/>
                <w:lang w:val="en-US" w:eastAsia="zh-CN"/>
              </w:rPr>
              <w:t>0</w:t>
            </w:r>
          </w:p>
        </w:tc>
        <w:tc>
          <w:tcPr>
            <w:tcW w:w="2222" w:type="dxa"/>
            <w:noWrap w:val="0"/>
            <w:vAlign w:val="center"/>
          </w:tcPr>
          <w:p>
            <w:pPr>
              <w:jc w:val="center"/>
              <w:rPr>
                <w:rFonts w:hint="default" w:eastAsia="宋体"/>
                <w:sz w:val="24"/>
                <w:szCs w:val="24"/>
                <w:lang w:val="en-US" w:eastAsia="zh-CN"/>
              </w:rPr>
            </w:pPr>
            <w:r>
              <w:rPr>
                <w:rFonts w:hint="eastAsia"/>
                <w:sz w:val="24"/>
                <w:szCs w:val="24"/>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noWrap w:val="0"/>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noWrap w:val="0"/>
            <w:vAlign w:val="center"/>
          </w:tcPr>
          <w:p>
            <w:pPr>
              <w:jc w:val="center"/>
              <w:rPr>
                <w:rFonts w:hint="eastAsia"/>
                <w:sz w:val="24"/>
                <w:szCs w:val="24"/>
              </w:rPr>
            </w:pPr>
            <w:r>
              <w:rPr>
                <w:rFonts w:hint="eastAsia"/>
                <w:sz w:val="24"/>
                <w:szCs w:val="24"/>
              </w:rPr>
              <w:t>信息内容</w:t>
            </w:r>
          </w:p>
        </w:tc>
        <w:tc>
          <w:tcPr>
            <w:tcW w:w="1985" w:type="dxa"/>
            <w:noWrap w:val="0"/>
            <w:vAlign w:val="center"/>
          </w:tcPr>
          <w:p>
            <w:pPr>
              <w:rPr>
                <w:rFonts w:hint="eastAsia"/>
                <w:sz w:val="24"/>
                <w:szCs w:val="24"/>
              </w:rPr>
            </w:pPr>
            <w:r>
              <w:rPr>
                <w:rFonts w:hint="eastAsia"/>
                <w:sz w:val="24"/>
                <w:szCs w:val="24"/>
              </w:rPr>
              <w:t>上一年项目数量</w:t>
            </w:r>
          </w:p>
        </w:tc>
        <w:tc>
          <w:tcPr>
            <w:tcW w:w="4252" w:type="dxa"/>
            <w:gridSpan w:val="2"/>
            <w:noWrap w:val="0"/>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noWrap w:val="0"/>
            <w:vAlign w:val="center"/>
          </w:tcPr>
          <w:p>
            <w:pPr>
              <w:jc w:val="center"/>
              <w:rPr>
                <w:rFonts w:hint="eastAsia"/>
                <w:sz w:val="24"/>
                <w:szCs w:val="24"/>
              </w:rPr>
            </w:pPr>
            <w:r>
              <w:rPr>
                <w:rFonts w:hint="eastAsia"/>
                <w:sz w:val="24"/>
                <w:szCs w:val="24"/>
              </w:rPr>
              <w:t>行政事业性收费</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71</w:t>
            </w:r>
          </w:p>
        </w:tc>
        <w:tc>
          <w:tcPr>
            <w:tcW w:w="4252" w:type="dxa"/>
            <w:gridSpan w:val="2"/>
            <w:noWrap w:val="0"/>
            <w:vAlign w:val="center"/>
          </w:tcPr>
          <w:p>
            <w:pPr>
              <w:jc w:val="cente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noWrap w:val="0"/>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noWrap w:val="0"/>
            <w:vAlign w:val="center"/>
          </w:tcPr>
          <w:p>
            <w:pPr>
              <w:jc w:val="center"/>
              <w:rPr>
                <w:rFonts w:hint="eastAsia"/>
                <w:sz w:val="24"/>
                <w:szCs w:val="24"/>
              </w:rPr>
            </w:pPr>
            <w:r>
              <w:rPr>
                <w:rFonts w:hint="eastAsia"/>
                <w:sz w:val="24"/>
                <w:szCs w:val="24"/>
              </w:rPr>
              <w:t>信息内容</w:t>
            </w:r>
          </w:p>
        </w:tc>
        <w:tc>
          <w:tcPr>
            <w:tcW w:w="1985" w:type="dxa"/>
            <w:noWrap w:val="0"/>
            <w:vAlign w:val="center"/>
          </w:tcPr>
          <w:p>
            <w:pPr>
              <w:jc w:val="center"/>
              <w:rPr>
                <w:rFonts w:hint="eastAsia"/>
                <w:sz w:val="24"/>
                <w:szCs w:val="24"/>
              </w:rPr>
            </w:pPr>
            <w:r>
              <w:rPr>
                <w:rFonts w:hint="eastAsia"/>
                <w:sz w:val="24"/>
                <w:szCs w:val="24"/>
              </w:rPr>
              <w:t>采购项目数量</w:t>
            </w:r>
          </w:p>
        </w:tc>
        <w:tc>
          <w:tcPr>
            <w:tcW w:w="4252" w:type="dxa"/>
            <w:gridSpan w:val="2"/>
            <w:noWrap w:val="0"/>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noWrap w:val="0"/>
            <w:vAlign w:val="center"/>
          </w:tcPr>
          <w:p>
            <w:pPr>
              <w:jc w:val="center"/>
              <w:rPr>
                <w:rFonts w:hint="eastAsia"/>
                <w:sz w:val="24"/>
                <w:szCs w:val="24"/>
              </w:rPr>
            </w:pPr>
            <w:r>
              <w:rPr>
                <w:rFonts w:hint="eastAsia"/>
                <w:sz w:val="24"/>
                <w:szCs w:val="24"/>
              </w:rPr>
              <w:t>政府集中采购</w:t>
            </w:r>
          </w:p>
        </w:tc>
        <w:tc>
          <w:tcPr>
            <w:tcW w:w="1985" w:type="dxa"/>
            <w:noWrap w:val="0"/>
            <w:vAlign w:val="center"/>
          </w:tcPr>
          <w:p>
            <w:pPr>
              <w:jc w:val="center"/>
              <w:rPr>
                <w:rFonts w:hint="default" w:eastAsia="宋体"/>
                <w:sz w:val="24"/>
                <w:szCs w:val="24"/>
                <w:lang w:val="en-US" w:eastAsia="zh-CN"/>
              </w:rPr>
            </w:pPr>
            <w:r>
              <w:rPr>
                <w:rFonts w:hint="eastAsia"/>
                <w:sz w:val="24"/>
                <w:szCs w:val="24"/>
                <w:lang w:val="en-US" w:eastAsia="zh-CN"/>
              </w:rPr>
              <w:t>412</w:t>
            </w:r>
          </w:p>
        </w:tc>
        <w:tc>
          <w:tcPr>
            <w:tcW w:w="4252" w:type="dxa"/>
            <w:gridSpan w:val="2"/>
            <w:noWrap w:val="0"/>
            <w:vAlign w:val="center"/>
          </w:tcPr>
          <w:p>
            <w:pPr>
              <w:jc w:val="center"/>
              <w:rPr>
                <w:rFonts w:hint="eastAsia"/>
                <w:sz w:val="24"/>
                <w:szCs w:val="24"/>
              </w:rPr>
            </w:pPr>
            <w:r>
              <w:rPr>
                <w:rFonts w:hint="eastAsia"/>
                <w:sz w:val="24"/>
                <w:szCs w:val="24"/>
                <w:lang w:val="en-US" w:eastAsia="zh-CN"/>
              </w:rPr>
              <w:t>44633.15</w:t>
            </w:r>
            <w:r>
              <w:rPr>
                <w:rFonts w:hint="eastAsia"/>
                <w:sz w:val="24"/>
                <w:szCs w:val="24"/>
              </w:rPr>
              <w:t>万元</w:t>
            </w:r>
          </w:p>
        </w:tc>
      </w:tr>
    </w:tbl>
    <w:p>
      <w:pPr>
        <w:rPr>
          <w:sz w:val="21"/>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r>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t>三、收到和处理政府信息公开申请情况</w:t>
      </w:r>
    </w:p>
    <w:p>
      <w:pPr>
        <w:rPr>
          <w:rFonts w:hint="eastAsia" w:eastAsia="宋体"/>
          <w:sz w:val="21"/>
          <w:lang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noWrap w:val="0"/>
            <w:vAlign w:val="center"/>
          </w:tcPr>
          <w:p>
            <w:pPr>
              <w:rPr>
                <w:rFonts w:hint="eastAsia"/>
              </w:rPr>
            </w:pPr>
            <w:r>
              <w:rPr>
                <w:rFonts w:hint="eastAsia"/>
              </w:rPr>
              <w:t>（本列数据的勾稽关系为：第一项加第二项之和，等于第三项加第四项之和）</w:t>
            </w:r>
          </w:p>
        </w:tc>
        <w:tc>
          <w:tcPr>
            <w:tcW w:w="4961" w:type="dxa"/>
            <w:gridSpan w:val="7"/>
            <w:noWrap w:val="0"/>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noWrap w:val="0"/>
            <w:vAlign w:val="top"/>
          </w:tcPr>
          <w:p>
            <w:pPr>
              <w:rPr>
                <w:rFonts w:hint="eastAsia"/>
              </w:rPr>
            </w:pPr>
          </w:p>
        </w:tc>
        <w:tc>
          <w:tcPr>
            <w:tcW w:w="567" w:type="dxa"/>
            <w:vMerge w:val="restart"/>
            <w:noWrap w:val="0"/>
            <w:vAlign w:val="center"/>
          </w:tcPr>
          <w:p>
            <w:pPr>
              <w:jc w:val="center"/>
              <w:rPr>
                <w:rFonts w:hint="eastAsia"/>
                <w:sz w:val="18"/>
                <w:szCs w:val="18"/>
              </w:rPr>
            </w:pPr>
            <w:r>
              <w:rPr>
                <w:rFonts w:hint="eastAsia"/>
                <w:szCs w:val="21"/>
              </w:rPr>
              <w:t>自然人</w:t>
            </w:r>
          </w:p>
        </w:tc>
        <w:tc>
          <w:tcPr>
            <w:tcW w:w="3544" w:type="dxa"/>
            <w:gridSpan w:val="5"/>
            <w:noWrap w:val="0"/>
            <w:vAlign w:val="center"/>
          </w:tcPr>
          <w:p>
            <w:pPr>
              <w:jc w:val="center"/>
              <w:rPr>
                <w:rFonts w:hint="eastAsia"/>
                <w:szCs w:val="21"/>
              </w:rPr>
            </w:pPr>
            <w:r>
              <w:rPr>
                <w:rFonts w:hint="eastAsia"/>
                <w:szCs w:val="21"/>
              </w:rPr>
              <w:t>法人或其他组织</w:t>
            </w:r>
          </w:p>
        </w:tc>
        <w:tc>
          <w:tcPr>
            <w:tcW w:w="850" w:type="dxa"/>
            <w:vMerge w:val="restart"/>
            <w:noWrap w:val="0"/>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4820" w:type="dxa"/>
            <w:gridSpan w:val="3"/>
            <w:vMerge w:val="continue"/>
            <w:noWrap w:val="0"/>
            <w:vAlign w:val="top"/>
          </w:tcPr>
          <w:p>
            <w:pPr>
              <w:rPr>
                <w:rFonts w:hint="eastAsia"/>
              </w:rPr>
            </w:pPr>
          </w:p>
        </w:tc>
        <w:tc>
          <w:tcPr>
            <w:tcW w:w="567" w:type="dxa"/>
            <w:vMerge w:val="continue"/>
            <w:noWrap w:val="0"/>
            <w:vAlign w:val="top"/>
          </w:tcPr>
          <w:p>
            <w:pPr>
              <w:rPr>
                <w:rFonts w:hint="eastAsia"/>
                <w:sz w:val="18"/>
                <w:szCs w:val="18"/>
              </w:rPr>
            </w:pPr>
          </w:p>
        </w:tc>
        <w:tc>
          <w:tcPr>
            <w:tcW w:w="709" w:type="dxa"/>
            <w:noWrap w:val="0"/>
            <w:vAlign w:val="center"/>
          </w:tcPr>
          <w:p>
            <w:pPr>
              <w:rPr>
                <w:rFonts w:hint="eastAsia"/>
                <w:szCs w:val="21"/>
              </w:rPr>
            </w:pPr>
            <w:r>
              <w:rPr>
                <w:rFonts w:hint="eastAsia"/>
                <w:szCs w:val="21"/>
              </w:rPr>
              <w:t>商业企业</w:t>
            </w:r>
          </w:p>
        </w:tc>
        <w:tc>
          <w:tcPr>
            <w:tcW w:w="708" w:type="dxa"/>
            <w:noWrap w:val="0"/>
            <w:vAlign w:val="center"/>
          </w:tcPr>
          <w:p>
            <w:pPr>
              <w:rPr>
                <w:rFonts w:hint="eastAsia"/>
                <w:szCs w:val="21"/>
              </w:rPr>
            </w:pPr>
            <w:r>
              <w:rPr>
                <w:rFonts w:hint="eastAsia"/>
                <w:szCs w:val="21"/>
              </w:rPr>
              <w:t>科研机构</w:t>
            </w:r>
          </w:p>
        </w:tc>
        <w:tc>
          <w:tcPr>
            <w:tcW w:w="709" w:type="dxa"/>
            <w:noWrap w:val="0"/>
            <w:vAlign w:val="center"/>
          </w:tcPr>
          <w:p>
            <w:pPr>
              <w:rPr>
                <w:rFonts w:hint="eastAsia"/>
                <w:szCs w:val="21"/>
              </w:rPr>
            </w:pPr>
            <w:r>
              <w:rPr>
                <w:rFonts w:hint="eastAsia"/>
                <w:szCs w:val="21"/>
              </w:rPr>
              <w:t>社会公益组织</w:t>
            </w:r>
          </w:p>
        </w:tc>
        <w:tc>
          <w:tcPr>
            <w:tcW w:w="709" w:type="dxa"/>
            <w:noWrap w:val="0"/>
            <w:vAlign w:val="center"/>
          </w:tcPr>
          <w:p>
            <w:pPr>
              <w:rPr>
                <w:rFonts w:hint="eastAsia"/>
                <w:szCs w:val="21"/>
              </w:rPr>
            </w:pPr>
            <w:r>
              <w:rPr>
                <w:rFonts w:hint="eastAsia"/>
                <w:szCs w:val="21"/>
              </w:rPr>
              <w:t>法律服务机构</w:t>
            </w:r>
          </w:p>
        </w:tc>
        <w:tc>
          <w:tcPr>
            <w:tcW w:w="709" w:type="dxa"/>
            <w:noWrap w:val="0"/>
            <w:vAlign w:val="center"/>
          </w:tcPr>
          <w:p>
            <w:pPr>
              <w:rPr>
                <w:rFonts w:hint="eastAsia"/>
                <w:szCs w:val="21"/>
              </w:rPr>
            </w:pPr>
            <w:r>
              <w:rPr>
                <w:rFonts w:hint="eastAsia"/>
                <w:szCs w:val="21"/>
              </w:rPr>
              <w:t>其他</w:t>
            </w:r>
          </w:p>
        </w:tc>
        <w:tc>
          <w:tcPr>
            <w:tcW w:w="850" w:type="dxa"/>
            <w:vMerge w:val="continue"/>
            <w:noWrap w:val="0"/>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820" w:type="dxa"/>
            <w:gridSpan w:val="3"/>
            <w:noWrap w:val="0"/>
            <w:vAlign w:val="top"/>
          </w:tcPr>
          <w:p>
            <w:pPr>
              <w:jc w:val="center"/>
              <w:rPr>
                <w:rFonts w:hint="eastAsia"/>
              </w:rPr>
            </w:pPr>
            <w:r>
              <w:rPr>
                <w:rFonts w:hint="eastAsia"/>
              </w:rPr>
              <w:t>一、本年新收政府信息公开申请数量</w:t>
            </w:r>
          </w:p>
        </w:tc>
        <w:tc>
          <w:tcPr>
            <w:tcW w:w="567" w:type="dxa"/>
            <w:noWrap w:val="0"/>
            <w:vAlign w:val="center"/>
          </w:tcPr>
          <w:p>
            <w:pPr>
              <w:jc w:val="center"/>
              <w:rPr>
                <w:rFonts w:hint="default"/>
                <w:lang w:val="en-US"/>
              </w:rPr>
            </w:pPr>
            <w:r>
              <w:rPr>
                <w:rFonts w:hint="eastAsia"/>
                <w:lang w:val="en-US" w:eastAsia="zh-CN"/>
              </w:rPr>
              <w:t>70</w:t>
            </w:r>
          </w:p>
        </w:tc>
        <w:tc>
          <w:tcPr>
            <w:tcW w:w="709" w:type="dxa"/>
            <w:noWrap w:val="0"/>
            <w:vAlign w:val="center"/>
          </w:tcPr>
          <w:p>
            <w:pPr>
              <w:jc w:val="center"/>
              <w:rPr>
                <w:rFonts w:hint="eastAsia"/>
                <w:szCs w:val="21"/>
              </w:rPr>
            </w:pPr>
            <w:r>
              <w:rPr>
                <w:rFonts w:hint="eastAsia"/>
                <w:szCs w:val="21"/>
                <w:lang w:val="en-US" w:eastAsia="zh-CN"/>
              </w:rPr>
              <w:t>1</w:t>
            </w:r>
          </w:p>
        </w:tc>
        <w:tc>
          <w:tcPr>
            <w:tcW w:w="708" w:type="dxa"/>
            <w:noWrap w:val="0"/>
            <w:vAlign w:val="center"/>
          </w:tcPr>
          <w:p>
            <w:pPr>
              <w:jc w:val="center"/>
              <w:rPr>
                <w:rFonts w:hint="eastAsia"/>
                <w:szCs w:val="21"/>
              </w:rPr>
            </w:pPr>
            <w:r>
              <w:rPr>
                <w:rFonts w:hint="eastAsia"/>
                <w:szCs w:val="21"/>
                <w:lang w:val="en-US" w:eastAsia="zh-CN"/>
              </w:rPr>
              <w:t>0</w:t>
            </w:r>
          </w:p>
        </w:tc>
        <w:tc>
          <w:tcPr>
            <w:tcW w:w="709" w:type="dxa"/>
            <w:noWrap w:val="0"/>
            <w:vAlign w:val="center"/>
          </w:tcPr>
          <w:p>
            <w:pPr>
              <w:jc w:val="center"/>
              <w:rPr>
                <w:rFonts w:hint="eastAsia"/>
                <w:szCs w:val="21"/>
              </w:rPr>
            </w:pPr>
            <w:r>
              <w:rPr>
                <w:rFonts w:hint="eastAsia"/>
                <w:szCs w:val="21"/>
                <w:lang w:val="en-US" w:eastAsia="zh-CN"/>
              </w:rPr>
              <w:t>0</w:t>
            </w:r>
          </w:p>
        </w:tc>
        <w:tc>
          <w:tcPr>
            <w:tcW w:w="709" w:type="dxa"/>
            <w:noWrap w:val="0"/>
            <w:vAlign w:val="center"/>
          </w:tcPr>
          <w:p>
            <w:pPr>
              <w:jc w:val="center"/>
              <w:rPr>
                <w:rFonts w:hint="eastAsia"/>
                <w:szCs w:val="21"/>
              </w:rPr>
            </w:pPr>
            <w:r>
              <w:rPr>
                <w:rFonts w:hint="eastAsia"/>
                <w:szCs w:val="21"/>
                <w:lang w:val="en-US" w:eastAsia="zh-CN"/>
              </w:rPr>
              <w:t>0</w:t>
            </w:r>
          </w:p>
        </w:tc>
        <w:tc>
          <w:tcPr>
            <w:tcW w:w="709" w:type="dxa"/>
            <w:noWrap w:val="0"/>
            <w:vAlign w:val="center"/>
          </w:tcPr>
          <w:p>
            <w:pPr>
              <w:jc w:val="center"/>
              <w:rPr>
                <w:rFonts w:hint="eastAsia"/>
                <w:szCs w:val="21"/>
              </w:rPr>
            </w:pPr>
            <w:r>
              <w:rPr>
                <w:rFonts w:hint="eastAsia"/>
                <w:szCs w:val="21"/>
                <w:lang w:val="en-US" w:eastAsia="zh-CN"/>
              </w:rPr>
              <w:t>0</w:t>
            </w:r>
          </w:p>
        </w:tc>
        <w:tc>
          <w:tcPr>
            <w:tcW w:w="850" w:type="dxa"/>
            <w:noWrap w:val="0"/>
            <w:vAlign w:val="center"/>
          </w:tcPr>
          <w:p>
            <w:pPr>
              <w:jc w:val="center"/>
              <w:rPr>
                <w:rFonts w:hint="default"/>
                <w:szCs w:val="21"/>
                <w:lang w:val="en-US"/>
              </w:rPr>
            </w:pPr>
            <w:r>
              <w:rPr>
                <w:rFonts w:hint="eastAsia"/>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820" w:type="dxa"/>
            <w:gridSpan w:val="3"/>
            <w:noWrap w:val="0"/>
            <w:vAlign w:val="top"/>
          </w:tcPr>
          <w:p>
            <w:pPr>
              <w:jc w:val="center"/>
              <w:rPr>
                <w:rFonts w:hint="eastAsia"/>
              </w:rPr>
            </w:pPr>
            <w:r>
              <w:rPr>
                <w:rFonts w:hint="eastAsia"/>
              </w:rPr>
              <w:t>二、上年结转政府信息公开申请数量</w:t>
            </w:r>
          </w:p>
        </w:tc>
        <w:tc>
          <w:tcPr>
            <w:tcW w:w="567" w:type="dxa"/>
            <w:noWrap w:val="0"/>
            <w:vAlign w:val="center"/>
          </w:tcPr>
          <w:p>
            <w:pPr>
              <w:jc w:val="center"/>
              <w:rPr>
                <w:rFonts w:hint="eastAsia"/>
              </w:rPr>
            </w:pPr>
            <w:r>
              <w:rPr>
                <w:rFonts w:hint="eastAsia"/>
                <w:lang w:val="en-US" w:eastAsia="zh-CN"/>
              </w:rPr>
              <w:t>12</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restart"/>
            <w:noWrap w:val="0"/>
            <w:vAlign w:val="center"/>
          </w:tcPr>
          <w:p>
            <w:pPr>
              <w:jc w:val="both"/>
              <w:rPr>
                <w:rFonts w:hint="eastAsia"/>
              </w:rPr>
            </w:pPr>
            <w:r>
              <w:rPr>
                <w:rFonts w:hint="eastAsia"/>
              </w:rPr>
              <w:t>三、本年度办理结果</w:t>
            </w:r>
          </w:p>
        </w:tc>
        <w:tc>
          <w:tcPr>
            <w:tcW w:w="4253" w:type="dxa"/>
            <w:gridSpan w:val="2"/>
            <w:noWrap w:val="0"/>
            <w:vAlign w:val="top"/>
          </w:tcPr>
          <w:p>
            <w:pPr>
              <w:jc w:val="center"/>
              <w:rPr>
                <w:rFonts w:ascii="宋体" w:hAnsi="宋体"/>
                <w:sz w:val="18"/>
                <w:szCs w:val="18"/>
              </w:rPr>
            </w:pPr>
            <w:r>
              <w:rPr>
                <w:rFonts w:hint="eastAsia" w:ascii="宋体" w:hAnsi="宋体"/>
                <w:sz w:val="18"/>
                <w:szCs w:val="18"/>
              </w:rPr>
              <w:t>（一）予以公开</w:t>
            </w:r>
          </w:p>
        </w:tc>
        <w:tc>
          <w:tcPr>
            <w:tcW w:w="567" w:type="dxa"/>
            <w:noWrap w:val="0"/>
            <w:vAlign w:val="center"/>
          </w:tcPr>
          <w:p>
            <w:pPr>
              <w:jc w:val="center"/>
              <w:rPr>
                <w:rFonts w:hint="default"/>
                <w:lang w:val="en-US"/>
              </w:rPr>
            </w:pPr>
            <w:r>
              <w:rPr>
                <w:rFonts w:hint="eastAsia"/>
                <w:lang w:val="en-US" w:eastAsia="zh-CN"/>
              </w:rPr>
              <w:t>77</w:t>
            </w:r>
          </w:p>
        </w:tc>
        <w:tc>
          <w:tcPr>
            <w:tcW w:w="709" w:type="dxa"/>
            <w:noWrap w:val="0"/>
            <w:vAlign w:val="center"/>
          </w:tcPr>
          <w:p>
            <w:pPr>
              <w:jc w:val="center"/>
              <w:rPr>
                <w:rFonts w:hint="eastAsia"/>
              </w:rPr>
            </w:pPr>
            <w:r>
              <w:rPr>
                <w:rFonts w:hint="eastAsia"/>
                <w:lang w:val="en-US" w:eastAsia="zh-CN"/>
              </w:rPr>
              <w:t>1</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default"/>
                <w:lang w:val="en-US"/>
              </w:rPr>
            </w:pPr>
            <w:r>
              <w:rPr>
                <w:rFonts w:hint="eastAsia"/>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rPr>
                <w:rFonts w:hint="eastAsia"/>
              </w:rPr>
            </w:pPr>
          </w:p>
        </w:tc>
        <w:tc>
          <w:tcPr>
            <w:tcW w:w="4253" w:type="dxa"/>
            <w:gridSpan w:val="2"/>
            <w:noWrap w:val="0"/>
            <w:vAlign w:val="top"/>
          </w:tcPr>
          <w:p>
            <w:pPr>
              <w:rPr>
                <w:rFonts w:ascii="宋体" w:hAnsi="宋体"/>
                <w:sz w:val="18"/>
                <w:szCs w:val="18"/>
              </w:rPr>
            </w:pPr>
            <w:r>
              <w:rPr>
                <w:rFonts w:hint="eastAsia" w:ascii="宋体" w:hAnsi="宋体"/>
                <w:sz w:val="18"/>
                <w:szCs w:val="18"/>
              </w:rPr>
              <w:t>（二）部分公开（区分处理的，只计这一情形，不计其他情形）</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67" w:type="dxa"/>
            <w:vMerge w:val="continue"/>
            <w:noWrap w:val="0"/>
            <w:vAlign w:val="top"/>
          </w:tcPr>
          <w:p>
            <w:pPr>
              <w:rPr>
                <w:rFonts w:hint="eastAsia"/>
              </w:rPr>
            </w:pPr>
          </w:p>
        </w:tc>
        <w:tc>
          <w:tcPr>
            <w:tcW w:w="1560" w:type="dxa"/>
            <w:vMerge w:val="restart"/>
            <w:noWrap w:val="0"/>
            <w:vAlign w:val="center"/>
          </w:tcPr>
          <w:p>
            <w:pPr>
              <w:rPr>
                <w:rFonts w:ascii="宋体" w:hAnsi="宋体"/>
                <w:sz w:val="18"/>
                <w:szCs w:val="18"/>
              </w:rPr>
            </w:pPr>
            <w:r>
              <w:rPr>
                <w:rFonts w:hint="eastAsia" w:ascii="宋体" w:hAnsi="宋体"/>
                <w:sz w:val="18"/>
                <w:szCs w:val="18"/>
              </w:rPr>
              <w:t>（三）不予公开</w:t>
            </w:r>
          </w:p>
        </w:tc>
        <w:tc>
          <w:tcPr>
            <w:tcW w:w="2693" w:type="dxa"/>
            <w:noWrap w:val="0"/>
            <w:vAlign w:val="top"/>
          </w:tcPr>
          <w:p>
            <w:pPr>
              <w:rPr>
                <w:rFonts w:ascii="宋体" w:hAnsi="宋体"/>
                <w:sz w:val="18"/>
                <w:szCs w:val="18"/>
              </w:rPr>
            </w:pPr>
            <w:r>
              <w:rPr>
                <w:rFonts w:ascii="宋体" w:hAnsi="宋体"/>
                <w:sz w:val="18"/>
                <w:szCs w:val="18"/>
              </w:rPr>
              <w:t>1</w:t>
            </w:r>
            <w:r>
              <w:rPr>
                <w:rFonts w:hint="eastAsia" w:ascii="宋体" w:hAnsi="宋体"/>
                <w:sz w:val="18"/>
                <w:szCs w:val="18"/>
              </w:rPr>
              <w:t>．属于国家秘密</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ascii="宋体" w:hAnsi="宋体"/>
                <w:sz w:val="18"/>
                <w:szCs w:val="18"/>
              </w:rPr>
            </w:pPr>
          </w:p>
        </w:tc>
        <w:tc>
          <w:tcPr>
            <w:tcW w:w="2693" w:type="dxa"/>
            <w:noWrap w:val="0"/>
            <w:vAlign w:val="top"/>
          </w:tcPr>
          <w:p>
            <w:pPr>
              <w:rPr>
                <w:rFonts w:ascii="宋体" w:hAnsi="宋体"/>
                <w:sz w:val="18"/>
                <w:szCs w:val="18"/>
              </w:rPr>
            </w:pPr>
            <w:r>
              <w:rPr>
                <w:rFonts w:hint="eastAsia" w:ascii="宋体" w:hAnsi="宋体"/>
                <w:sz w:val="18"/>
                <w:szCs w:val="18"/>
              </w:rPr>
              <w:t>2．其他法律行政法规禁止公开</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3．危及“三安全一稳定”</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4．保护第三方合法权益</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5．属于三类内部事务信息</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6．属于四类过程性信息</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7．属于行政执法案卷</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8．属于行政查询事项</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67" w:type="dxa"/>
            <w:vMerge w:val="continue"/>
            <w:noWrap w:val="0"/>
            <w:vAlign w:val="top"/>
          </w:tcPr>
          <w:p>
            <w:pPr>
              <w:rPr>
                <w:rFonts w:hint="eastAsia"/>
              </w:rPr>
            </w:pPr>
          </w:p>
        </w:tc>
        <w:tc>
          <w:tcPr>
            <w:tcW w:w="1560" w:type="dxa"/>
            <w:vMerge w:val="restart"/>
            <w:noWrap w:val="0"/>
            <w:vAlign w:val="center"/>
          </w:tcPr>
          <w:p>
            <w:pPr>
              <w:rPr>
                <w:rFonts w:hint="eastAsia"/>
                <w:sz w:val="18"/>
                <w:szCs w:val="18"/>
              </w:rPr>
            </w:pPr>
            <w:r>
              <w:rPr>
                <w:rFonts w:hint="eastAsia"/>
                <w:sz w:val="18"/>
                <w:szCs w:val="18"/>
              </w:rPr>
              <w:t>（四）无法提供</w:t>
            </w:r>
          </w:p>
        </w:tc>
        <w:tc>
          <w:tcPr>
            <w:tcW w:w="2693" w:type="dxa"/>
            <w:noWrap w:val="0"/>
            <w:vAlign w:val="top"/>
          </w:tcPr>
          <w:p>
            <w:pPr>
              <w:rPr>
                <w:rFonts w:ascii="宋体" w:hAnsi="宋体"/>
                <w:sz w:val="18"/>
                <w:szCs w:val="18"/>
              </w:rPr>
            </w:pPr>
            <w:r>
              <w:rPr>
                <w:rFonts w:hint="eastAsia" w:ascii="宋体" w:hAnsi="宋体"/>
                <w:sz w:val="18"/>
                <w:szCs w:val="18"/>
              </w:rPr>
              <w:t>1．本机关不掌握相关政府信息</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2．没有现成信息需要另行制作</w:t>
            </w:r>
          </w:p>
        </w:tc>
        <w:tc>
          <w:tcPr>
            <w:tcW w:w="567" w:type="dxa"/>
            <w:noWrap w:val="0"/>
            <w:vAlign w:val="center"/>
          </w:tcPr>
          <w:p>
            <w:pPr>
              <w:jc w:val="center"/>
              <w:rPr>
                <w:rFonts w:hint="eastAsia"/>
              </w:rPr>
            </w:pPr>
            <w:r>
              <w:rPr>
                <w:rFonts w:hint="eastAsia"/>
                <w:lang w:val="en-US" w:eastAsia="zh-CN"/>
              </w:rPr>
              <w:t>2</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rPr>
                <w:rFonts w:hint="eastAsia"/>
              </w:rPr>
            </w:pPr>
          </w:p>
        </w:tc>
        <w:tc>
          <w:tcPr>
            <w:tcW w:w="1560" w:type="dxa"/>
            <w:vMerge w:val="continue"/>
            <w:noWrap w:val="0"/>
            <w:vAlign w:val="center"/>
          </w:tcPr>
          <w:p>
            <w:pPr>
              <w:rPr>
                <w:rFonts w:hint="eastAsia"/>
                <w:sz w:val="18"/>
                <w:szCs w:val="18"/>
              </w:rPr>
            </w:pPr>
          </w:p>
        </w:tc>
        <w:tc>
          <w:tcPr>
            <w:tcW w:w="2693" w:type="dxa"/>
            <w:noWrap w:val="0"/>
            <w:vAlign w:val="top"/>
          </w:tcPr>
          <w:p>
            <w:pPr>
              <w:rPr>
                <w:rFonts w:ascii="宋体" w:hAnsi="宋体"/>
                <w:sz w:val="18"/>
                <w:szCs w:val="18"/>
              </w:rPr>
            </w:pPr>
            <w:r>
              <w:rPr>
                <w:rFonts w:hint="eastAsia" w:ascii="宋体" w:hAnsi="宋体"/>
                <w:sz w:val="18"/>
                <w:szCs w:val="18"/>
              </w:rPr>
              <w:t>3．补正后申请内容仍不明确</w:t>
            </w:r>
          </w:p>
        </w:tc>
        <w:tc>
          <w:tcPr>
            <w:tcW w:w="567" w:type="dxa"/>
            <w:noWrap w:val="0"/>
            <w:vAlign w:val="center"/>
          </w:tcPr>
          <w:p>
            <w:pPr>
              <w:jc w:val="center"/>
              <w:rPr>
                <w:rFonts w:hint="eastAsia"/>
              </w:rPr>
            </w:pPr>
            <w:r>
              <w:rPr>
                <w:rFonts w:hint="eastAsia"/>
                <w:lang w:val="en-US" w:eastAsia="zh-CN"/>
              </w:rPr>
              <w:t>3</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67" w:type="dxa"/>
            <w:vMerge w:val="continue"/>
            <w:noWrap w:val="0"/>
            <w:vAlign w:val="top"/>
          </w:tcPr>
          <w:p>
            <w:pPr>
              <w:rPr>
                <w:rFonts w:hint="eastAsia"/>
              </w:rPr>
            </w:pPr>
          </w:p>
        </w:tc>
        <w:tc>
          <w:tcPr>
            <w:tcW w:w="1560" w:type="dxa"/>
            <w:vMerge w:val="restart"/>
            <w:noWrap w:val="0"/>
            <w:vAlign w:val="center"/>
          </w:tcPr>
          <w:p>
            <w:pPr>
              <w:rPr>
                <w:rFonts w:hint="eastAsia"/>
                <w:sz w:val="18"/>
                <w:szCs w:val="18"/>
              </w:rPr>
            </w:pPr>
            <w:r>
              <w:rPr>
                <w:rFonts w:hint="eastAsia"/>
                <w:sz w:val="18"/>
                <w:szCs w:val="18"/>
              </w:rPr>
              <w:t>（五）</w:t>
            </w:r>
            <w:r>
              <w:rPr>
                <w:rFonts w:hint="eastAsia" w:ascii="宋体" w:hAnsi="宋体"/>
                <w:sz w:val="18"/>
                <w:szCs w:val="18"/>
              </w:rPr>
              <w:t>不予处理</w:t>
            </w:r>
          </w:p>
        </w:tc>
        <w:tc>
          <w:tcPr>
            <w:tcW w:w="2693" w:type="dxa"/>
            <w:noWrap w:val="0"/>
            <w:vAlign w:val="top"/>
          </w:tcPr>
          <w:p>
            <w:pPr>
              <w:rPr>
                <w:rFonts w:ascii="宋体" w:hAnsi="宋体"/>
                <w:sz w:val="18"/>
                <w:szCs w:val="18"/>
              </w:rPr>
            </w:pPr>
            <w:r>
              <w:rPr>
                <w:rFonts w:hint="eastAsia" w:ascii="宋体" w:hAnsi="宋体"/>
                <w:sz w:val="18"/>
                <w:szCs w:val="18"/>
              </w:rPr>
              <w:t>1．信访举报投诉类申请</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rPr>
                <w:rFonts w:hint="eastAsia"/>
              </w:rPr>
            </w:pPr>
          </w:p>
        </w:tc>
        <w:tc>
          <w:tcPr>
            <w:tcW w:w="1560" w:type="dxa"/>
            <w:vMerge w:val="continue"/>
            <w:noWrap w:val="0"/>
            <w:vAlign w:val="top"/>
          </w:tcPr>
          <w:p>
            <w:pPr>
              <w:rPr>
                <w:rFonts w:hint="eastAsia"/>
              </w:rPr>
            </w:pPr>
          </w:p>
        </w:tc>
        <w:tc>
          <w:tcPr>
            <w:tcW w:w="2693" w:type="dxa"/>
            <w:noWrap w:val="0"/>
            <w:vAlign w:val="top"/>
          </w:tcPr>
          <w:p>
            <w:pPr>
              <w:rPr>
                <w:rFonts w:ascii="宋体" w:hAnsi="宋体"/>
                <w:sz w:val="18"/>
                <w:szCs w:val="18"/>
              </w:rPr>
            </w:pPr>
            <w:r>
              <w:rPr>
                <w:rFonts w:hint="eastAsia" w:ascii="宋体" w:hAnsi="宋体"/>
                <w:sz w:val="18"/>
                <w:szCs w:val="18"/>
              </w:rPr>
              <w:t>2．重复申请</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67" w:type="dxa"/>
            <w:vMerge w:val="continue"/>
            <w:noWrap w:val="0"/>
            <w:vAlign w:val="top"/>
          </w:tcPr>
          <w:p>
            <w:pPr>
              <w:rPr>
                <w:rFonts w:hint="eastAsia"/>
              </w:rPr>
            </w:pPr>
          </w:p>
        </w:tc>
        <w:tc>
          <w:tcPr>
            <w:tcW w:w="1560" w:type="dxa"/>
            <w:vMerge w:val="continue"/>
            <w:noWrap w:val="0"/>
            <w:vAlign w:val="top"/>
          </w:tcPr>
          <w:p>
            <w:pPr>
              <w:rPr>
                <w:rFonts w:hint="eastAsia"/>
              </w:rPr>
            </w:pPr>
          </w:p>
        </w:tc>
        <w:tc>
          <w:tcPr>
            <w:tcW w:w="2693" w:type="dxa"/>
            <w:noWrap w:val="0"/>
            <w:vAlign w:val="top"/>
          </w:tcPr>
          <w:p>
            <w:pPr>
              <w:rPr>
                <w:rFonts w:ascii="宋体" w:hAnsi="宋体"/>
                <w:sz w:val="18"/>
                <w:szCs w:val="18"/>
              </w:rPr>
            </w:pPr>
            <w:r>
              <w:rPr>
                <w:rFonts w:ascii="宋体" w:hAnsi="宋体"/>
                <w:sz w:val="18"/>
                <w:szCs w:val="18"/>
              </w:rPr>
              <w:t>3</w:t>
            </w:r>
            <w:r>
              <w:rPr>
                <w:rFonts w:hint="eastAsia" w:ascii="宋体" w:hAnsi="宋体"/>
                <w:sz w:val="18"/>
                <w:szCs w:val="18"/>
              </w:rPr>
              <w:t>．要求提供公开出版物</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noWrap w:val="0"/>
            <w:vAlign w:val="top"/>
          </w:tcPr>
          <w:p>
            <w:pPr>
              <w:rPr>
                <w:rFonts w:hint="eastAsia"/>
              </w:rPr>
            </w:pPr>
          </w:p>
        </w:tc>
        <w:tc>
          <w:tcPr>
            <w:tcW w:w="1560" w:type="dxa"/>
            <w:vMerge w:val="continue"/>
            <w:noWrap w:val="0"/>
            <w:vAlign w:val="top"/>
          </w:tcPr>
          <w:p>
            <w:pPr>
              <w:rPr>
                <w:rFonts w:hint="eastAsia"/>
              </w:rPr>
            </w:pPr>
          </w:p>
        </w:tc>
        <w:tc>
          <w:tcPr>
            <w:tcW w:w="2693" w:type="dxa"/>
            <w:noWrap w:val="0"/>
            <w:vAlign w:val="top"/>
          </w:tcPr>
          <w:p>
            <w:pPr>
              <w:rPr>
                <w:rFonts w:ascii="宋体" w:hAnsi="宋体"/>
                <w:sz w:val="18"/>
                <w:szCs w:val="18"/>
              </w:rPr>
            </w:pPr>
            <w:r>
              <w:rPr>
                <w:rFonts w:hint="eastAsia" w:ascii="宋体" w:hAnsi="宋体"/>
                <w:sz w:val="18"/>
                <w:szCs w:val="18"/>
              </w:rPr>
              <w:t>4．无正当理由大量反复申请</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rPr>
                <w:rFonts w:hint="eastAsia"/>
              </w:rPr>
            </w:pPr>
          </w:p>
        </w:tc>
        <w:tc>
          <w:tcPr>
            <w:tcW w:w="1560" w:type="dxa"/>
            <w:vMerge w:val="continue"/>
            <w:noWrap w:val="0"/>
            <w:vAlign w:val="top"/>
          </w:tcPr>
          <w:p>
            <w:pPr>
              <w:rPr>
                <w:rFonts w:hint="eastAsia"/>
              </w:rPr>
            </w:pPr>
          </w:p>
        </w:tc>
        <w:tc>
          <w:tcPr>
            <w:tcW w:w="2693" w:type="dxa"/>
            <w:noWrap w:val="0"/>
            <w:vAlign w:val="top"/>
          </w:tcPr>
          <w:p>
            <w:pPr>
              <w:ind w:left="180" w:leftChars="0" w:hanging="180" w:hangingChars="100"/>
              <w:rPr>
                <w:rFonts w:ascii="宋体" w:hAnsi="宋体"/>
                <w:sz w:val="18"/>
                <w:szCs w:val="18"/>
              </w:rPr>
            </w:pPr>
            <w:r>
              <w:rPr>
                <w:rFonts w:hint="eastAsia" w:ascii="宋体" w:hAnsi="宋体"/>
                <w:sz w:val="18"/>
                <w:szCs w:val="18"/>
              </w:rPr>
              <w:t>5．要求行政机关确认或重新出具已获取信息</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67" w:type="dxa"/>
            <w:noWrap w:val="0"/>
            <w:vAlign w:val="top"/>
          </w:tcPr>
          <w:p>
            <w:pPr>
              <w:rPr>
                <w:rFonts w:hint="eastAsia"/>
              </w:rPr>
            </w:pPr>
          </w:p>
        </w:tc>
        <w:tc>
          <w:tcPr>
            <w:tcW w:w="4253" w:type="dxa"/>
            <w:gridSpan w:val="2"/>
            <w:noWrap w:val="0"/>
            <w:vAlign w:val="center"/>
          </w:tcPr>
          <w:p>
            <w:pPr>
              <w:rPr>
                <w:rFonts w:hint="eastAsia"/>
                <w:sz w:val="18"/>
                <w:szCs w:val="18"/>
              </w:rPr>
            </w:pPr>
            <w:r>
              <w:rPr>
                <w:rFonts w:hint="eastAsia"/>
                <w:sz w:val="18"/>
                <w:szCs w:val="18"/>
              </w:rPr>
              <w:t>（六）其他处理</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noWrap w:val="0"/>
            <w:vAlign w:val="top"/>
          </w:tcPr>
          <w:p>
            <w:pPr>
              <w:rPr>
                <w:rFonts w:hint="eastAsia"/>
              </w:rPr>
            </w:pPr>
          </w:p>
        </w:tc>
        <w:tc>
          <w:tcPr>
            <w:tcW w:w="4253" w:type="dxa"/>
            <w:gridSpan w:val="2"/>
            <w:noWrap w:val="0"/>
            <w:vAlign w:val="center"/>
          </w:tcPr>
          <w:p>
            <w:pPr>
              <w:rPr>
                <w:rFonts w:hint="eastAsia"/>
                <w:sz w:val="18"/>
                <w:szCs w:val="18"/>
              </w:rPr>
            </w:pPr>
            <w:r>
              <w:rPr>
                <w:rFonts w:hint="eastAsia"/>
                <w:sz w:val="18"/>
                <w:szCs w:val="18"/>
              </w:rPr>
              <w:t>（七）总计</w:t>
            </w:r>
          </w:p>
        </w:tc>
        <w:tc>
          <w:tcPr>
            <w:tcW w:w="567" w:type="dxa"/>
            <w:noWrap w:val="0"/>
            <w:vAlign w:val="center"/>
          </w:tcPr>
          <w:p>
            <w:pPr>
              <w:jc w:val="center"/>
              <w:rPr>
                <w:rFonts w:hint="default"/>
                <w:lang w:val="en-US"/>
              </w:rPr>
            </w:pPr>
            <w:r>
              <w:rPr>
                <w:rFonts w:hint="eastAsia"/>
                <w:lang w:val="en-US" w:eastAsia="zh-CN"/>
              </w:rPr>
              <w:t>82</w:t>
            </w:r>
          </w:p>
        </w:tc>
        <w:tc>
          <w:tcPr>
            <w:tcW w:w="709" w:type="dxa"/>
            <w:noWrap w:val="0"/>
            <w:vAlign w:val="center"/>
          </w:tcPr>
          <w:p>
            <w:pPr>
              <w:jc w:val="center"/>
              <w:rPr>
                <w:rFonts w:hint="eastAsia"/>
              </w:rPr>
            </w:pPr>
            <w:r>
              <w:rPr>
                <w:rFonts w:hint="eastAsia"/>
                <w:lang w:val="en-US" w:eastAsia="zh-CN"/>
              </w:rPr>
              <w:t>1</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default"/>
                <w:lang w:val="en-US"/>
              </w:rPr>
            </w:pPr>
            <w:r>
              <w:rPr>
                <w:rFonts w:hint="eastAsia"/>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0" w:type="dxa"/>
            <w:gridSpan w:val="3"/>
            <w:noWrap w:val="0"/>
            <w:vAlign w:val="center"/>
          </w:tcPr>
          <w:p>
            <w:pPr>
              <w:rPr>
                <w:rFonts w:hint="eastAsia"/>
              </w:rPr>
            </w:pPr>
            <w:r>
              <w:rPr>
                <w:rFonts w:hint="eastAsia"/>
              </w:rPr>
              <w:t>四、结转下年度继续办理</w:t>
            </w:r>
          </w:p>
        </w:tc>
        <w:tc>
          <w:tcPr>
            <w:tcW w:w="567"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8"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709" w:type="dxa"/>
            <w:noWrap w:val="0"/>
            <w:vAlign w:val="center"/>
          </w:tcPr>
          <w:p>
            <w:pPr>
              <w:jc w:val="center"/>
              <w:rPr>
                <w:rFonts w:hint="eastAsia"/>
              </w:rPr>
            </w:pPr>
            <w:r>
              <w:rPr>
                <w:rFonts w:hint="eastAsia"/>
                <w:szCs w:val="21"/>
                <w:lang w:val="en-US" w:eastAsia="zh-CN"/>
              </w:rPr>
              <w:t>0</w:t>
            </w:r>
          </w:p>
        </w:tc>
        <w:tc>
          <w:tcPr>
            <w:tcW w:w="850" w:type="dxa"/>
            <w:noWrap w:val="0"/>
            <w:vAlign w:val="center"/>
          </w:tcPr>
          <w:p>
            <w:pPr>
              <w:jc w:val="center"/>
              <w:rPr>
                <w:rFonts w:hint="eastAsia"/>
              </w:rPr>
            </w:pPr>
            <w:r>
              <w:rPr>
                <w:rFonts w:hint="eastAsia"/>
                <w:szCs w:val="21"/>
                <w:lang w:val="en-US" w:eastAsia="zh-CN"/>
              </w:rPr>
              <w:t>0</w:t>
            </w:r>
          </w:p>
        </w:tc>
      </w:tr>
    </w:tbl>
    <w:p>
      <w:pPr>
        <w:rPr>
          <w:rFonts w:hint="eastAsia" w:eastAsia="宋体"/>
          <w:lang w:eastAsia="zh-CN"/>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r>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t>四、政府信息公开行政复议、行政诉讼情况</w:t>
      </w:r>
    </w:p>
    <w:p>
      <w:pPr>
        <w:rPr>
          <w:rFonts w:hint="eastAsia" w:eastAsia="宋体"/>
          <w:lang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402" w:type="dxa"/>
            <w:gridSpan w:val="5"/>
            <w:noWrap w:val="0"/>
            <w:vAlign w:val="center"/>
          </w:tcPr>
          <w:p>
            <w:pPr>
              <w:jc w:val="center"/>
              <w:rPr>
                <w:rFonts w:hint="eastAsia"/>
                <w:szCs w:val="21"/>
              </w:rPr>
            </w:pPr>
            <w:r>
              <w:rPr>
                <w:rFonts w:hint="eastAsia"/>
                <w:szCs w:val="21"/>
              </w:rPr>
              <w:t>行政复议</w:t>
            </w:r>
          </w:p>
        </w:tc>
        <w:tc>
          <w:tcPr>
            <w:tcW w:w="6804" w:type="dxa"/>
            <w:gridSpan w:val="10"/>
            <w:noWrap w:val="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vMerge w:val="restart"/>
            <w:noWrap w:val="0"/>
            <w:vAlign w:val="center"/>
          </w:tcPr>
          <w:p>
            <w:pPr>
              <w:jc w:val="center"/>
              <w:rPr>
                <w:rFonts w:hint="eastAsia"/>
                <w:szCs w:val="21"/>
              </w:rPr>
            </w:pPr>
            <w:r>
              <w:rPr>
                <w:rFonts w:hint="eastAsia"/>
                <w:szCs w:val="21"/>
              </w:rPr>
              <w:t>结果维持</w:t>
            </w:r>
          </w:p>
        </w:tc>
        <w:tc>
          <w:tcPr>
            <w:tcW w:w="708" w:type="dxa"/>
            <w:vMerge w:val="restart"/>
            <w:noWrap w:val="0"/>
            <w:vAlign w:val="center"/>
          </w:tcPr>
          <w:p>
            <w:pPr>
              <w:jc w:val="center"/>
              <w:rPr>
                <w:rFonts w:hint="eastAsia"/>
                <w:szCs w:val="21"/>
              </w:rPr>
            </w:pPr>
            <w:r>
              <w:rPr>
                <w:rFonts w:hint="eastAsia"/>
                <w:szCs w:val="21"/>
              </w:rPr>
              <w:t>结果纠正</w:t>
            </w:r>
          </w:p>
        </w:tc>
        <w:tc>
          <w:tcPr>
            <w:tcW w:w="709" w:type="dxa"/>
            <w:vMerge w:val="restart"/>
            <w:noWrap w:val="0"/>
            <w:vAlign w:val="center"/>
          </w:tcPr>
          <w:p>
            <w:pPr>
              <w:jc w:val="center"/>
              <w:rPr>
                <w:rFonts w:hint="eastAsia"/>
                <w:szCs w:val="21"/>
              </w:rPr>
            </w:pPr>
            <w:r>
              <w:rPr>
                <w:rFonts w:hint="eastAsia"/>
                <w:szCs w:val="21"/>
              </w:rPr>
              <w:t>其他结果</w:t>
            </w:r>
          </w:p>
        </w:tc>
        <w:tc>
          <w:tcPr>
            <w:tcW w:w="682" w:type="dxa"/>
            <w:vMerge w:val="restart"/>
            <w:noWrap w:val="0"/>
            <w:vAlign w:val="center"/>
          </w:tcPr>
          <w:p>
            <w:pPr>
              <w:jc w:val="center"/>
              <w:rPr>
                <w:rFonts w:hint="eastAsia"/>
                <w:szCs w:val="21"/>
              </w:rPr>
            </w:pPr>
            <w:r>
              <w:rPr>
                <w:rFonts w:hint="eastAsia"/>
                <w:szCs w:val="21"/>
              </w:rPr>
              <w:t>尚未审结</w:t>
            </w:r>
          </w:p>
        </w:tc>
        <w:tc>
          <w:tcPr>
            <w:tcW w:w="594" w:type="dxa"/>
            <w:vMerge w:val="restart"/>
            <w:noWrap w:val="0"/>
            <w:vAlign w:val="center"/>
          </w:tcPr>
          <w:p>
            <w:pPr>
              <w:jc w:val="center"/>
              <w:rPr>
                <w:rFonts w:hint="eastAsia"/>
                <w:szCs w:val="21"/>
              </w:rPr>
            </w:pPr>
            <w:r>
              <w:rPr>
                <w:rFonts w:hint="eastAsia"/>
                <w:szCs w:val="21"/>
              </w:rPr>
              <w:t>总计</w:t>
            </w:r>
          </w:p>
        </w:tc>
        <w:tc>
          <w:tcPr>
            <w:tcW w:w="3402" w:type="dxa"/>
            <w:gridSpan w:val="5"/>
            <w:noWrap w:val="0"/>
            <w:vAlign w:val="center"/>
          </w:tcPr>
          <w:p>
            <w:pPr>
              <w:jc w:val="center"/>
              <w:rPr>
                <w:rFonts w:hint="eastAsia"/>
                <w:szCs w:val="21"/>
              </w:rPr>
            </w:pPr>
            <w:r>
              <w:rPr>
                <w:rFonts w:hint="eastAsia"/>
                <w:szCs w:val="21"/>
              </w:rPr>
              <w:t>未经复议直接起诉</w:t>
            </w:r>
          </w:p>
        </w:tc>
        <w:tc>
          <w:tcPr>
            <w:tcW w:w="3402" w:type="dxa"/>
            <w:gridSpan w:val="5"/>
            <w:noWrap w:val="0"/>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noWrap w:val="0"/>
            <w:vAlign w:val="center"/>
          </w:tcPr>
          <w:p>
            <w:pPr>
              <w:jc w:val="center"/>
              <w:rPr>
                <w:rFonts w:hint="eastAsia"/>
                <w:sz w:val="18"/>
                <w:szCs w:val="18"/>
              </w:rPr>
            </w:pPr>
          </w:p>
        </w:tc>
        <w:tc>
          <w:tcPr>
            <w:tcW w:w="708" w:type="dxa"/>
            <w:vMerge w:val="continue"/>
            <w:noWrap w:val="0"/>
            <w:vAlign w:val="center"/>
          </w:tcPr>
          <w:p>
            <w:pPr>
              <w:jc w:val="center"/>
              <w:rPr>
                <w:rFonts w:hint="eastAsia"/>
                <w:sz w:val="18"/>
                <w:szCs w:val="18"/>
              </w:rPr>
            </w:pPr>
          </w:p>
        </w:tc>
        <w:tc>
          <w:tcPr>
            <w:tcW w:w="709" w:type="dxa"/>
            <w:vMerge w:val="continue"/>
            <w:noWrap w:val="0"/>
            <w:vAlign w:val="center"/>
          </w:tcPr>
          <w:p>
            <w:pPr>
              <w:jc w:val="center"/>
              <w:rPr>
                <w:rFonts w:hint="eastAsia"/>
                <w:sz w:val="18"/>
                <w:szCs w:val="18"/>
              </w:rPr>
            </w:pPr>
          </w:p>
        </w:tc>
        <w:tc>
          <w:tcPr>
            <w:tcW w:w="682" w:type="dxa"/>
            <w:vMerge w:val="continue"/>
            <w:noWrap w:val="0"/>
            <w:vAlign w:val="center"/>
          </w:tcPr>
          <w:p>
            <w:pPr>
              <w:jc w:val="center"/>
              <w:rPr>
                <w:rFonts w:hint="eastAsia"/>
                <w:szCs w:val="21"/>
              </w:rPr>
            </w:pPr>
          </w:p>
        </w:tc>
        <w:tc>
          <w:tcPr>
            <w:tcW w:w="594" w:type="dxa"/>
            <w:vMerge w:val="continue"/>
            <w:noWrap w:val="0"/>
            <w:vAlign w:val="center"/>
          </w:tcPr>
          <w:p>
            <w:pPr>
              <w:jc w:val="center"/>
              <w:rPr>
                <w:rFonts w:hint="eastAsia"/>
                <w:szCs w:val="21"/>
              </w:rPr>
            </w:pPr>
          </w:p>
        </w:tc>
        <w:tc>
          <w:tcPr>
            <w:tcW w:w="709" w:type="dxa"/>
            <w:noWrap w:val="0"/>
            <w:vAlign w:val="center"/>
          </w:tcPr>
          <w:p>
            <w:pPr>
              <w:jc w:val="center"/>
              <w:rPr>
                <w:rFonts w:hint="eastAsia"/>
                <w:szCs w:val="21"/>
              </w:rPr>
            </w:pPr>
            <w:r>
              <w:rPr>
                <w:rFonts w:hint="eastAsia"/>
                <w:szCs w:val="21"/>
              </w:rPr>
              <w:t>结果维持</w:t>
            </w:r>
          </w:p>
        </w:tc>
        <w:tc>
          <w:tcPr>
            <w:tcW w:w="709" w:type="dxa"/>
            <w:noWrap w:val="0"/>
            <w:vAlign w:val="center"/>
          </w:tcPr>
          <w:p>
            <w:pPr>
              <w:jc w:val="center"/>
              <w:rPr>
                <w:rFonts w:hint="eastAsia"/>
                <w:szCs w:val="21"/>
              </w:rPr>
            </w:pPr>
            <w:r>
              <w:rPr>
                <w:rFonts w:hint="eastAsia"/>
                <w:szCs w:val="21"/>
              </w:rPr>
              <w:t>结果纠正</w:t>
            </w:r>
          </w:p>
        </w:tc>
        <w:tc>
          <w:tcPr>
            <w:tcW w:w="709" w:type="dxa"/>
            <w:noWrap w:val="0"/>
            <w:vAlign w:val="center"/>
          </w:tcPr>
          <w:p>
            <w:pPr>
              <w:jc w:val="center"/>
              <w:rPr>
                <w:rFonts w:hint="eastAsia"/>
                <w:szCs w:val="21"/>
              </w:rPr>
            </w:pPr>
            <w:r>
              <w:rPr>
                <w:rFonts w:hint="eastAsia"/>
                <w:szCs w:val="21"/>
              </w:rPr>
              <w:t>其他结果</w:t>
            </w:r>
          </w:p>
        </w:tc>
        <w:tc>
          <w:tcPr>
            <w:tcW w:w="708" w:type="dxa"/>
            <w:noWrap w:val="0"/>
            <w:vAlign w:val="center"/>
          </w:tcPr>
          <w:p>
            <w:pPr>
              <w:jc w:val="center"/>
              <w:rPr>
                <w:rFonts w:hint="eastAsia"/>
                <w:szCs w:val="21"/>
              </w:rPr>
            </w:pPr>
            <w:r>
              <w:rPr>
                <w:rFonts w:hint="eastAsia"/>
                <w:szCs w:val="21"/>
              </w:rPr>
              <w:t>尚未审结</w:t>
            </w:r>
          </w:p>
        </w:tc>
        <w:tc>
          <w:tcPr>
            <w:tcW w:w="567" w:type="dxa"/>
            <w:noWrap w:val="0"/>
            <w:vAlign w:val="center"/>
          </w:tcPr>
          <w:p>
            <w:pPr>
              <w:jc w:val="center"/>
              <w:rPr>
                <w:rFonts w:hint="eastAsia"/>
                <w:szCs w:val="21"/>
              </w:rPr>
            </w:pPr>
            <w:r>
              <w:rPr>
                <w:rFonts w:hint="eastAsia"/>
                <w:szCs w:val="21"/>
              </w:rPr>
              <w:t>总计</w:t>
            </w:r>
          </w:p>
        </w:tc>
        <w:tc>
          <w:tcPr>
            <w:tcW w:w="851" w:type="dxa"/>
            <w:noWrap w:val="0"/>
            <w:vAlign w:val="center"/>
          </w:tcPr>
          <w:p>
            <w:pPr>
              <w:jc w:val="center"/>
              <w:rPr>
                <w:rFonts w:hint="eastAsia"/>
                <w:szCs w:val="21"/>
              </w:rPr>
            </w:pPr>
            <w:r>
              <w:rPr>
                <w:rFonts w:hint="eastAsia"/>
                <w:szCs w:val="21"/>
              </w:rPr>
              <w:t>结果维持</w:t>
            </w:r>
          </w:p>
        </w:tc>
        <w:tc>
          <w:tcPr>
            <w:tcW w:w="650" w:type="dxa"/>
            <w:noWrap w:val="0"/>
            <w:vAlign w:val="center"/>
          </w:tcPr>
          <w:p>
            <w:pPr>
              <w:jc w:val="center"/>
              <w:rPr>
                <w:rFonts w:hint="eastAsia"/>
                <w:szCs w:val="21"/>
              </w:rPr>
            </w:pPr>
            <w:r>
              <w:rPr>
                <w:rFonts w:hint="eastAsia"/>
                <w:szCs w:val="21"/>
              </w:rPr>
              <w:t>结果纠正</w:t>
            </w:r>
          </w:p>
        </w:tc>
        <w:tc>
          <w:tcPr>
            <w:tcW w:w="767" w:type="dxa"/>
            <w:noWrap w:val="0"/>
            <w:vAlign w:val="center"/>
          </w:tcPr>
          <w:p>
            <w:pPr>
              <w:jc w:val="center"/>
              <w:rPr>
                <w:rFonts w:hint="eastAsia"/>
                <w:szCs w:val="21"/>
              </w:rPr>
            </w:pPr>
            <w:r>
              <w:rPr>
                <w:rFonts w:hint="eastAsia"/>
                <w:szCs w:val="21"/>
              </w:rPr>
              <w:t>其他结果</w:t>
            </w:r>
          </w:p>
        </w:tc>
        <w:tc>
          <w:tcPr>
            <w:tcW w:w="709" w:type="dxa"/>
            <w:noWrap w:val="0"/>
            <w:vAlign w:val="center"/>
          </w:tcPr>
          <w:p>
            <w:pPr>
              <w:jc w:val="center"/>
              <w:rPr>
                <w:rFonts w:hint="eastAsia"/>
                <w:szCs w:val="21"/>
              </w:rPr>
            </w:pPr>
            <w:r>
              <w:rPr>
                <w:rFonts w:hint="eastAsia"/>
                <w:szCs w:val="21"/>
              </w:rPr>
              <w:t>尚未审结</w:t>
            </w:r>
          </w:p>
        </w:tc>
        <w:tc>
          <w:tcPr>
            <w:tcW w:w="425" w:type="dxa"/>
            <w:noWrap w:val="0"/>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noWrap w:val="0"/>
            <w:vAlign w:val="center"/>
          </w:tcPr>
          <w:p>
            <w:pPr>
              <w:jc w:val="center"/>
              <w:rPr>
                <w:rFonts w:hint="eastAsia"/>
                <w:sz w:val="18"/>
                <w:szCs w:val="18"/>
              </w:rPr>
            </w:pPr>
            <w:r>
              <w:rPr>
                <w:rFonts w:hint="eastAsia"/>
                <w:szCs w:val="21"/>
              </w:rPr>
              <w:t>2</w:t>
            </w:r>
          </w:p>
        </w:tc>
        <w:tc>
          <w:tcPr>
            <w:tcW w:w="708" w:type="dxa"/>
            <w:noWrap w:val="0"/>
            <w:vAlign w:val="center"/>
          </w:tcPr>
          <w:p>
            <w:pPr>
              <w:jc w:val="center"/>
              <w:rPr>
                <w:rFonts w:hint="eastAsia"/>
                <w:sz w:val="18"/>
                <w:szCs w:val="18"/>
              </w:rPr>
            </w:pPr>
            <w:r>
              <w:rPr>
                <w:rFonts w:hint="eastAsia"/>
                <w:szCs w:val="21"/>
                <w:lang w:val="en-US" w:eastAsia="zh-CN"/>
              </w:rPr>
              <w:t>0</w:t>
            </w:r>
          </w:p>
        </w:tc>
        <w:tc>
          <w:tcPr>
            <w:tcW w:w="709" w:type="dxa"/>
            <w:noWrap w:val="0"/>
            <w:vAlign w:val="center"/>
          </w:tcPr>
          <w:p>
            <w:pPr>
              <w:jc w:val="center"/>
              <w:rPr>
                <w:rFonts w:hint="eastAsia"/>
                <w:sz w:val="18"/>
                <w:szCs w:val="18"/>
              </w:rPr>
            </w:pPr>
            <w:r>
              <w:rPr>
                <w:rFonts w:hint="eastAsia"/>
                <w:szCs w:val="21"/>
                <w:lang w:val="en-US" w:eastAsia="zh-CN"/>
              </w:rPr>
              <w:t>0</w:t>
            </w:r>
          </w:p>
        </w:tc>
        <w:tc>
          <w:tcPr>
            <w:tcW w:w="682" w:type="dxa"/>
            <w:noWrap w:val="0"/>
            <w:vAlign w:val="center"/>
          </w:tcPr>
          <w:p>
            <w:pPr>
              <w:jc w:val="center"/>
              <w:rPr>
                <w:rFonts w:hint="eastAsia"/>
                <w:szCs w:val="21"/>
              </w:rPr>
            </w:pPr>
            <w:r>
              <w:rPr>
                <w:rFonts w:hint="eastAsia"/>
                <w:szCs w:val="21"/>
                <w:lang w:val="en-US" w:eastAsia="zh-CN"/>
              </w:rPr>
              <w:t>0</w:t>
            </w:r>
          </w:p>
        </w:tc>
        <w:tc>
          <w:tcPr>
            <w:tcW w:w="594" w:type="dxa"/>
            <w:noWrap w:val="0"/>
            <w:vAlign w:val="center"/>
          </w:tcPr>
          <w:p>
            <w:pPr>
              <w:jc w:val="center"/>
              <w:rPr>
                <w:rFonts w:hint="eastAsia"/>
                <w:szCs w:val="21"/>
              </w:rPr>
            </w:pPr>
            <w:r>
              <w:rPr>
                <w:rFonts w:hint="eastAsia"/>
                <w:szCs w:val="21"/>
              </w:rPr>
              <w:t>2</w:t>
            </w:r>
          </w:p>
        </w:tc>
        <w:tc>
          <w:tcPr>
            <w:tcW w:w="709" w:type="dxa"/>
            <w:noWrap w:val="0"/>
            <w:vAlign w:val="center"/>
          </w:tcPr>
          <w:p>
            <w:pPr>
              <w:jc w:val="center"/>
              <w:rPr>
                <w:rFonts w:hint="eastAsia"/>
                <w:szCs w:val="21"/>
              </w:rPr>
            </w:pPr>
            <w:r>
              <w:rPr>
                <w:rFonts w:hint="eastAsia"/>
                <w:szCs w:val="21"/>
                <w:lang w:val="en-US" w:eastAsia="zh-CN"/>
              </w:rPr>
              <w:t>11</w:t>
            </w:r>
          </w:p>
        </w:tc>
        <w:tc>
          <w:tcPr>
            <w:tcW w:w="709" w:type="dxa"/>
            <w:noWrap w:val="0"/>
            <w:vAlign w:val="center"/>
          </w:tcPr>
          <w:p>
            <w:pPr>
              <w:jc w:val="center"/>
              <w:rPr>
                <w:rFonts w:hint="eastAsia"/>
                <w:szCs w:val="21"/>
              </w:rPr>
            </w:pPr>
            <w:r>
              <w:rPr>
                <w:rFonts w:hint="eastAsia"/>
                <w:szCs w:val="21"/>
                <w:lang w:val="en-US" w:eastAsia="zh-CN"/>
              </w:rPr>
              <w:t>0</w:t>
            </w:r>
          </w:p>
        </w:tc>
        <w:tc>
          <w:tcPr>
            <w:tcW w:w="709" w:type="dxa"/>
            <w:noWrap w:val="0"/>
            <w:vAlign w:val="center"/>
          </w:tcPr>
          <w:p>
            <w:pPr>
              <w:jc w:val="center"/>
              <w:rPr>
                <w:rFonts w:hint="eastAsia"/>
                <w:szCs w:val="21"/>
              </w:rPr>
            </w:pPr>
            <w:r>
              <w:rPr>
                <w:rFonts w:hint="eastAsia"/>
                <w:szCs w:val="21"/>
                <w:lang w:val="en-US" w:eastAsia="zh-CN"/>
              </w:rPr>
              <w:t>0</w:t>
            </w:r>
          </w:p>
        </w:tc>
        <w:tc>
          <w:tcPr>
            <w:tcW w:w="708" w:type="dxa"/>
            <w:noWrap w:val="0"/>
            <w:vAlign w:val="center"/>
          </w:tcPr>
          <w:p>
            <w:pPr>
              <w:jc w:val="center"/>
              <w:rPr>
                <w:rFonts w:hint="eastAsia"/>
                <w:szCs w:val="21"/>
              </w:rPr>
            </w:pPr>
            <w:r>
              <w:rPr>
                <w:rFonts w:hint="eastAsia"/>
                <w:szCs w:val="21"/>
              </w:rPr>
              <w:t>2</w:t>
            </w:r>
          </w:p>
        </w:tc>
        <w:tc>
          <w:tcPr>
            <w:tcW w:w="567" w:type="dxa"/>
            <w:noWrap w:val="0"/>
            <w:vAlign w:val="center"/>
          </w:tcPr>
          <w:p>
            <w:pPr>
              <w:tabs>
                <w:tab w:val="left" w:pos="236"/>
              </w:tabs>
              <w:jc w:val="center"/>
              <w:rPr>
                <w:rFonts w:hint="eastAsia"/>
                <w:szCs w:val="21"/>
              </w:rPr>
            </w:pPr>
            <w:r>
              <w:rPr>
                <w:rFonts w:hint="eastAsia"/>
                <w:szCs w:val="21"/>
                <w:lang w:val="en-US" w:eastAsia="zh-CN"/>
              </w:rPr>
              <w:t>13</w:t>
            </w:r>
          </w:p>
        </w:tc>
        <w:tc>
          <w:tcPr>
            <w:tcW w:w="851" w:type="dxa"/>
            <w:noWrap w:val="0"/>
            <w:vAlign w:val="center"/>
          </w:tcPr>
          <w:p>
            <w:pPr>
              <w:jc w:val="center"/>
              <w:rPr>
                <w:rFonts w:hint="eastAsia"/>
                <w:szCs w:val="21"/>
              </w:rPr>
            </w:pPr>
            <w:r>
              <w:rPr>
                <w:rFonts w:hint="eastAsia"/>
                <w:szCs w:val="21"/>
                <w:lang w:val="en-US" w:eastAsia="zh-CN"/>
              </w:rPr>
              <w:t>0</w:t>
            </w:r>
          </w:p>
        </w:tc>
        <w:tc>
          <w:tcPr>
            <w:tcW w:w="650" w:type="dxa"/>
            <w:noWrap w:val="0"/>
            <w:vAlign w:val="center"/>
          </w:tcPr>
          <w:p>
            <w:pPr>
              <w:jc w:val="center"/>
              <w:rPr>
                <w:rFonts w:hint="eastAsia"/>
                <w:szCs w:val="21"/>
              </w:rPr>
            </w:pPr>
            <w:r>
              <w:rPr>
                <w:rFonts w:hint="eastAsia"/>
                <w:szCs w:val="21"/>
                <w:lang w:val="en-US" w:eastAsia="zh-CN"/>
              </w:rPr>
              <w:t>0</w:t>
            </w:r>
          </w:p>
        </w:tc>
        <w:tc>
          <w:tcPr>
            <w:tcW w:w="767" w:type="dxa"/>
            <w:noWrap w:val="0"/>
            <w:vAlign w:val="center"/>
          </w:tcPr>
          <w:p>
            <w:pPr>
              <w:jc w:val="center"/>
              <w:rPr>
                <w:rFonts w:hint="eastAsia"/>
                <w:szCs w:val="21"/>
              </w:rPr>
            </w:pPr>
            <w:r>
              <w:rPr>
                <w:rFonts w:hint="eastAsia"/>
                <w:szCs w:val="21"/>
                <w:lang w:val="en-US" w:eastAsia="zh-CN"/>
              </w:rPr>
              <w:t>0</w:t>
            </w:r>
          </w:p>
        </w:tc>
        <w:tc>
          <w:tcPr>
            <w:tcW w:w="709" w:type="dxa"/>
            <w:noWrap w:val="0"/>
            <w:vAlign w:val="center"/>
          </w:tcPr>
          <w:p>
            <w:pPr>
              <w:jc w:val="center"/>
              <w:rPr>
                <w:rFonts w:hint="eastAsia"/>
                <w:szCs w:val="21"/>
              </w:rPr>
            </w:pPr>
            <w:r>
              <w:rPr>
                <w:rFonts w:hint="eastAsia"/>
                <w:szCs w:val="21"/>
              </w:rPr>
              <w:t>1</w:t>
            </w:r>
          </w:p>
        </w:tc>
        <w:tc>
          <w:tcPr>
            <w:tcW w:w="425" w:type="dxa"/>
            <w:noWrap w:val="0"/>
            <w:vAlign w:val="center"/>
          </w:tcPr>
          <w:p>
            <w:pPr>
              <w:jc w:val="center"/>
              <w:rPr>
                <w:rFonts w:hint="eastAsia"/>
                <w:szCs w:val="21"/>
              </w:rPr>
            </w:pPr>
            <w:r>
              <w:rPr>
                <w:rFonts w:hint="eastAsia"/>
                <w:szCs w:val="21"/>
              </w:rPr>
              <w:t>1</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仿宋_GB2312" w:hAnsi="仿宋_GB2312" w:eastAsia="仿宋_GB2312"/>
          <w:sz w:val="24"/>
          <w:lang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ascii="仿宋_GB2312" w:hAnsi="仿宋_GB2312" w:eastAsia="仿宋_GB2312"/>
          <w:sz w:val="24"/>
          <w:szCs w:val="24"/>
          <w:lang w:eastAsia="zh-CN"/>
        </w:rPr>
      </w:pPr>
      <w:r>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t>五、政存在的主要问题及改进情况</w:t>
      </w:r>
    </w:p>
    <w:p>
      <w:pPr>
        <w:pStyle w:val="5"/>
        <w:keepNext w:val="0"/>
        <w:keepLines w:val="0"/>
        <w:widowControl/>
        <w:suppressLineNumbers w:val="0"/>
        <w:spacing w:before="0" w:beforeAutospacing="0" w:after="180" w:afterAutospacing="0" w:line="450" w:lineRule="atLeast"/>
        <w:ind w:right="0" w:firstLine="480" w:firstLineChars="200"/>
        <w:rPr>
          <w:rFonts w:hint="eastAsia" w:ascii="仿宋_GB2312" w:hAnsi="Calibri" w:eastAsia="仿宋_GB2312" w:cs="黑体"/>
          <w:kern w:val="2"/>
          <w:sz w:val="24"/>
          <w:szCs w:val="32"/>
          <w:lang w:val="en-US" w:eastAsia="zh-CN"/>
        </w:rPr>
      </w:pPr>
      <w:r>
        <w:rPr>
          <w:rFonts w:hint="eastAsia" w:ascii="仿宋_GB2312" w:hAnsi="Calibri" w:eastAsia="仿宋_GB2312" w:cs="黑体"/>
          <w:kern w:val="2"/>
          <w:sz w:val="24"/>
          <w:szCs w:val="32"/>
          <w:lang w:val="en-US" w:eastAsia="zh-CN"/>
        </w:rPr>
        <w:t xml:space="preserve">在推进桓台县政府信息公开工作过程中发现，桓台县政府信息公开工作还存在一些问题。主要体现在认识及措施不到位，公开信息要素缺失，监督需加强等三方面。针对工作中出现的新问题，未来将采取如下措施：          </w:t>
      </w:r>
    </w:p>
    <w:p>
      <w:pPr>
        <w:pStyle w:val="5"/>
        <w:keepNext w:val="0"/>
        <w:keepLines w:val="0"/>
        <w:widowControl/>
        <w:suppressLineNumbers w:val="0"/>
        <w:spacing w:before="0" w:beforeAutospacing="0" w:after="180" w:afterAutospacing="0" w:line="450" w:lineRule="atLeast"/>
        <w:ind w:left="0" w:right="0" w:firstLine="420"/>
        <w:rPr>
          <w:rFonts w:hint="eastAsia" w:ascii="仿宋_GB2312" w:hAnsi="Calibri" w:eastAsia="仿宋_GB2312" w:cs="黑体"/>
          <w:kern w:val="2"/>
          <w:sz w:val="24"/>
          <w:szCs w:val="32"/>
          <w:lang w:val="en-US" w:eastAsia="zh-CN"/>
        </w:rPr>
      </w:pPr>
      <w:r>
        <w:rPr>
          <w:rFonts w:hint="eastAsia" w:ascii="仿宋_GB2312" w:hAnsi="Calibri" w:eastAsia="仿宋_GB2312" w:cs="黑体"/>
          <w:kern w:val="2"/>
          <w:sz w:val="24"/>
          <w:szCs w:val="32"/>
          <w:lang w:val="en-US" w:eastAsia="zh-CN"/>
        </w:rPr>
        <w:t>一是提高政府信息公开参与者的重视程度，主要包括提高各部门政府信息公开的积极性和增强公众参与意识。</w:t>
      </w:r>
    </w:p>
    <w:p>
      <w:pPr>
        <w:pStyle w:val="5"/>
        <w:keepNext w:val="0"/>
        <w:keepLines w:val="0"/>
        <w:widowControl/>
        <w:suppressLineNumbers w:val="0"/>
        <w:spacing w:before="0" w:beforeAutospacing="0" w:after="180" w:afterAutospacing="0" w:line="450" w:lineRule="atLeast"/>
        <w:ind w:left="0" w:right="0" w:firstLine="420"/>
        <w:rPr>
          <w:rFonts w:hint="eastAsia" w:ascii="仿宋_GB2312" w:hAnsi="Calibri" w:eastAsia="仿宋_GB2312" w:cs="黑体"/>
          <w:kern w:val="2"/>
          <w:sz w:val="24"/>
          <w:szCs w:val="32"/>
          <w:lang w:val="en-US" w:eastAsia="zh-CN"/>
        </w:rPr>
      </w:pPr>
      <w:r>
        <w:rPr>
          <w:rFonts w:hint="eastAsia" w:ascii="仿宋_GB2312" w:hAnsi="Calibri" w:eastAsia="仿宋_GB2312" w:cs="黑体"/>
          <w:kern w:val="2"/>
          <w:sz w:val="24"/>
          <w:szCs w:val="32"/>
          <w:lang w:val="en-US" w:eastAsia="zh-CN"/>
        </w:rPr>
        <w:t>二是增强政府信息公开的内容规范化，主要包括加强顶层设计，制定规范的政府信息公开目录和狠抓政府信息公开重点，建立动态调整机制。</w:t>
      </w:r>
    </w:p>
    <w:p>
      <w:pPr>
        <w:pStyle w:val="5"/>
        <w:keepNext w:val="0"/>
        <w:keepLines w:val="0"/>
        <w:widowControl/>
        <w:suppressLineNumbers w:val="0"/>
        <w:spacing w:before="0" w:beforeAutospacing="0" w:after="180" w:afterAutospacing="0" w:line="450" w:lineRule="atLeast"/>
        <w:ind w:left="0" w:right="0" w:firstLine="420"/>
        <w:rPr>
          <w:rFonts w:hint="eastAsia" w:ascii="仿宋_GB2312" w:hAnsi="Calibri" w:eastAsia="仿宋_GB2312" w:cs="黑体"/>
          <w:kern w:val="2"/>
          <w:sz w:val="24"/>
          <w:szCs w:val="32"/>
          <w:lang w:val="en-US" w:eastAsia="zh-CN"/>
        </w:rPr>
      </w:pPr>
      <w:r>
        <w:rPr>
          <w:rFonts w:hint="eastAsia" w:ascii="仿宋_GB2312" w:hAnsi="Calibri" w:eastAsia="仿宋_GB2312" w:cs="黑体"/>
          <w:kern w:val="2"/>
          <w:sz w:val="24"/>
          <w:szCs w:val="32"/>
          <w:lang w:val="en-US" w:eastAsia="zh-CN"/>
        </w:rPr>
        <w:t>三是创新和完善政府信息公开的形式和手段，既要加强政府网站平台建设和信息维护，又要加强政府与公众的对话体制。</w:t>
      </w:r>
    </w:p>
    <w:p>
      <w:pPr>
        <w:pStyle w:val="5"/>
        <w:keepNext w:val="0"/>
        <w:keepLines w:val="0"/>
        <w:widowControl/>
        <w:suppressLineNumbers w:val="0"/>
        <w:spacing w:before="0" w:beforeAutospacing="0" w:after="180" w:afterAutospacing="0" w:line="450" w:lineRule="atLeast"/>
        <w:ind w:left="0" w:right="0" w:firstLine="420"/>
        <w:rPr>
          <w:rFonts w:hint="eastAsia" w:ascii="仿宋_GB2312" w:hAnsi="Calibri" w:eastAsia="仿宋_GB2312" w:cs="黑体"/>
          <w:kern w:val="2"/>
          <w:sz w:val="24"/>
          <w:szCs w:val="32"/>
          <w:lang w:val="en-US" w:eastAsia="zh-CN"/>
        </w:rPr>
      </w:pPr>
      <w:r>
        <w:rPr>
          <w:rFonts w:hint="eastAsia" w:ascii="仿宋_GB2312" w:hAnsi="Calibri" w:eastAsia="仿宋_GB2312" w:cs="黑体"/>
          <w:kern w:val="2"/>
          <w:sz w:val="24"/>
          <w:szCs w:val="32"/>
          <w:lang w:val="en-US" w:eastAsia="zh-CN"/>
        </w:rPr>
        <w:t>四是健全政府信息公开的监督保障机制，主要是完善政府信息公开的工作的考核监督机制和法律监督机制。</w:t>
      </w:r>
    </w:p>
    <w:p>
      <w:pPr>
        <w:pStyle w:val="5"/>
        <w:keepNext w:val="0"/>
        <w:keepLines w:val="0"/>
        <w:widowControl/>
        <w:suppressLineNumbers w:val="0"/>
        <w:spacing w:before="0" w:beforeAutospacing="0" w:after="180" w:afterAutospacing="0" w:line="450" w:lineRule="atLeast"/>
        <w:ind w:right="0" w:firstLine="480" w:firstLineChars="200"/>
        <w:rPr>
          <w:rFonts w:hint="eastAsia" w:ascii="仿宋_GB2312" w:hAnsi="Calibri" w:eastAsia="仿宋_GB2312" w:cs="黑体"/>
          <w:kern w:val="2"/>
          <w:sz w:val="24"/>
          <w:szCs w:val="32"/>
          <w:lang w:val="en-US" w:eastAsia="zh-CN"/>
        </w:rPr>
      </w:pPr>
      <w:r>
        <w:rPr>
          <w:rFonts w:hint="eastAsia" w:ascii="仿宋_GB2312" w:hAnsi="Calibri" w:eastAsia="仿宋_GB2312" w:cs="黑体"/>
          <w:kern w:val="2"/>
          <w:sz w:val="24"/>
          <w:szCs w:val="32"/>
          <w:lang w:val="en-US" w:eastAsia="zh-CN"/>
        </w:rPr>
        <w:t>政府信息公开是深入贯彻“放管服”改革的重要组成部分，是人民当家作主的重要体现。桓台县将持续坚持首善标准，积极探索创新，围绕权力运行全流程、政务服务全过程，深入推进基层政务公开标准化规范化，全面提升桓台县基层政府信息公开工作水平，加快建设法治政府、服务型政府。</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pPr>
      <w:r>
        <w:rPr>
          <w:rFonts w:hint="eastAsia" w:ascii="黑体" w:hAnsi="黑体" w:eastAsia="黑体"/>
          <w:sz w:val="28"/>
          <w:szCs w:val="28"/>
          <w:lang w:val="en-US" w:eastAsia="zh-CN"/>
          <w14:shadow w14:blurRad="50800" w14:dist="38100" w14:dir="2700000" w14:sx="100000" w14:sy="100000" w14:kx="0" w14:ky="0" w14:algn="tl">
            <w14:srgbClr w14:val="000000">
              <w14:alpha w14:val="60000"/>
            </w14:srgbClr>
          </w14:shadow>
        </w:rPr>
        <w:t>其他需要报告的事项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kern w:val="2"/>
          <w:sz w:val="24"/>
          <w:szCs w:val="24"/>
          <w:lang w:val="en-US" w:eastAsia="zh-CN"/>
        </w:rPr>
      </w:pPr>
      <w:r>
        <w:rPr>
          <w:rFonts w:hint="eastAsia" w:ascii="仿宋_GB2312" w:hAnsi="仿宋_GB2312" w:eastAsia="仿宋_GB2312"/>
          <w:kern w:val="2"/>
          <w:sz w:val="24"/>
          <w:szCs w:val="24"/>
          <w:lang w:val="en-US" w:eastAsia="zh-CN"/>
        </w:rPr>
        <w:t>一是推动涉农涉企事项全部进驻便民中心。加快推行“互联网+政务服务”，提高“最 多跑一次”“一次不用跑”事项办理比重。推动政务信息开放共享， 加大“12345”政务服务热线办理力度， 全面落实服务绩效“好差评”制度，最大限度利企便民。</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hint="eastAsia"/>
        </w:rPr>
      </w:pPr>
      <w:r>
        <w:rPr>
          <w:rFonts w:hint="eastAsia" w:ascii="仿宋_GB2312" w:hAnsi="仿宋_GB2312" w:eastAsia="仿宋_GB2312"/>
          <w:kern w:val="2"/>
          <w:sz w:val="24"/>
          <w:szCs w:val="24"/>
          <w:lang w:val="en-US" w:eastAsia="zh-CN"/>
        </w:rPr>
        <w:t xml:space="preserve">    二是县长信箱与人民网留言办理情况。今年以来，我县进一步强化宗旨意识，对各类投诉、咨询的受理、转批、办理、反馈等，必须在规定时限内及时快速完成。</w:t>
      </w:r>
    </w:p>
    <w:p/>
    <w:sectPr>
      <w:headerReference r:id="rId3" w:type="default"/>
      <w:footerReference r:id="rId5" w:type="default"/>
      <w:headerReference r:id="rId4" w:type="even"/>
      <w:footerReference r:id="rId6" w:type="even"/>
      <w:pgSz w:w="11906" w:h="16838"/>
      <w:pgMar w:top="1928" w:right="1304" w:bottom="1588" w:left="1304" w:header="1247" w:footer="130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rFonts w:hint="eastAsia" w:ascii="方正黑体简体" w:eastAsia="方正黑体简体"/>
                              <w:sz w:val="24"/>
                              <w:szCs w:val="24"/>
                            </w:rPr>
                          </w:pPr>
                          <w:r>
                            <w:rPr>
                              <w:rFonts w:hint="eastAsia" w:ascii="方正黑体简体" w:eastAsia="方正黑体简体"/>
                              <w:sz w:val="24"/>
                              <w:szCs w:val="24"/>
                            </w:rPr>
                            <w:fldChar w:fldCharType="begin"/>
                          </w:r>
                          <w:r>
                            <w:rPr>
                              <w:rStyle w:val="10"/>
                              <w:rFonts w:hint="eastAsia" w:ascii="方正黑体简体" w:eastAsia="方正黑体简体"/>
                              <w:sz w:val="24"/>
                              <w:szCs w:val="24"/>
                            </w:rPr>
                            <w:instrText xml:space="preserve">PAGE  </w:instrText>
                          </w:r>
                          <w:r>
                            <w:rPr>
                              <w:rFonts w:hint="eastAsia" w:ascii="方正黑体简体" w:eastAsia="方正黑体简体"/>
                              <w:sz w:val="24"/>
                              <w:szCs w:val="24"/>
                            </w:rPr>
                            <w:fldChar w:fldCharType="separate"/>
                          </w:r>
                          <w:r>
                            <w:rPr>
                              <w:rStyle w:val="10"/>
                              <w:rFonts w:hint="eastAsia" w:ascii="方正黑体简体" w:eastAsia="方正黑体简体"/>
                              <w:sz w:val="24"/>
                              <w:szCs w:val="24"/>
                            </w:rPr>
                            <w:t>1</w:t>
                          </w:r>
                          <w:r>
                            <w:rPr>
                              <w:rFonts w:hint="eastAsia" w:ascii="方正黑体简体" w:eastAsia="方正黑体简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5R+da4BAABN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flH51rgEAAE0D&#10;AAAOAAAAAAAAAAEAIAAAAB4BAABkcnMvZTJvRG9jLnhtbFBLBQYAAAAABgAGAFkBAAA+BQAAAAA=&#10;">
              <v:fill on="f" focussize="0,0"/>
              <v:stroke on="f"/>
              <v:imagedata o:title=""/>
              <o:lock v:ext="edit" aspectratio="f"/>
              <v:textbox inset="0mm,0mm,0mm,0mm" style="mso-fit-shape-to-text:t;">
                <w:txbxContent>
                  <w:p>
                    <w:pPr>
                      <w:pStyle w:val="3"/>
                      <w:rPr>
                        <w:rStyle w:val="10"/>
                        <w:rFonts w:hint="eastAsia" w:ascii="方正黑体简体" w:eastAsia="方正黑体简体"/>
                        <w:sz w:val="24"/>
                        <w:szCs w:val="24"/>
                      </w:rPr>
                    </w:pPr>
                    <w:r>
                      <w:rPr>
                        <w:rFonts w:hint="eastAsia" w:ascii="方正黑体简体" w:eastAsia="方正黑体简体"/>
                        <w:sz w:val="24"/>
                        <w:szCs w:val="24"/>
                      </w:rPr>
                      <w:fldChar w:fldCharType="begin"/>
                    </w:r>
                    <w:r>
                      <w:rPr>
                        <w:rStyle w:val="10"/>
                        <w:rFonts w:hint="eastAsia" w:ascii="方正黑体简体" w:eastAsia="方正黑体简体"/>
                        <w:sz w:val="24"/>
                        <w:szCs w:val="24"/>
                      </w:rPr>
                      <w:instrText xml:space="preserve">PAGE  </w:instrText>
                    </w:r>
                    <w:r>
                      <w:rPr>
                        <w:rFonts w:hint="eastAsia" w:ascii="方正黑体简体" w:eastAsia="方正黑体简体"/>
                        <w:sz w:val="24"/>
                        <w:szCs w:val="24"/>
                      </w:rPr>
                      <w:fldChar w:fldCharType="separate"/>
                    </w:r>
                    <w:r>
                      <w:rPr>
                        <w:rStyle w:val="10"/>
                        <w:rFonts w:hint="eastAsia" w:ascii="方正黑体简体" w:eastAsia="方正黑体简体"/>
                        <w:sz w:val="24"/>
                        <w:szCs w:val="24"/>
                      </w:rPr>
                      <w:t>1</w:t>
                    </w:r>
                    <w:r>
                      <w:rPr>
                        <w:rFonts w:hint="eastAsia" w:ascii="方正黑体简体" w:eastAsia="方正黑体简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rFonts w:hint="eastAsia" w:ascii="方正黑体简体" w:eastAsia="方正黑体简体"/>
                              <w:sz w:val="24"/>
                              <w:szCs w:val="24"/>
                            </w:rPr>
                          </w:pPr>
                          <w:r>
                            <w:rPr>
                              <w:rFonts w:hint="eastAsia" w:ascii="方正黑体简体" w:eastAsia="方正黑体简体"/>
                              <w:sz w:val="24"/>
                              <w:szCs w:val="24"/>
                            </w:rPr>
                            <w:fldChar w:fldCharType="begin"/>
                          </w:r>
                          <w:r>
                            <w:rPr>
                              <w:rStyle w:val="10"/>
                              <w:rFonts w:hint="eastAsia" w:ascii="方正黑体简体" w:eastAsia="方正黑体简体"/>
                              <w:sz w:val="24"/>
                              <w:szCs w:val="24"/>
                            </w:rPr>
                            <w:instrText xml:space="preserve">PAGE  </w:instrText>
                          </w:r>
                          <w:r>
                            <w:rPr>
                              <w:rFonts w:hint="eastAsia" w:ascii="方正黑体简体" w:eastAsia="方正黑体简体"/>
                              <w:sz w:val="24"/>
                              <w:szCs w:val="24"/>
                            </w:rPr>
                            <w:fldChar w:fldCharType="separate"/>
                          </w:r>
                          <w:r>
                            <w:rPr>
                              <w:rStyle w:val="10"/>
                              <w:rFonts w:hint="eastAsia" w:ascii="方正黑体简体" w:eastAsia="方正黑体简体"/>
                              <w:sz w:val="24"/>
                              <w:szCs w:val="24"/>
                            </w:rPr>
                            <w:t>2</w:t>
                          </w:r>
                          <w:r>
                            <w:rPr>
                              <w:rFonts w:hint="eastAsia" w:ascii="方正黑体简体" w:eastAsia="方正黑体简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XsxK4BAABNAwAADgAAAGRycy9lMm9Eb2MueG1srVNLjhMxEN0jcQfL&#10;e+KeLFBo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p1ezErgEAAE0D&#10;AAAOAAAAAAAAAAEAIAAAAB4BAABkcnMvZTJvRG9jLnhtbFBLBQYAAAAABgAGAFkBAAA+BQAAAAA=&#10;">
              <v:fill on="f" focussize="0,0"/>
              <v:stroke on="f"/>
              <v:imagedata o:title=""/>
              <o:lock v:ext="edit" aspectratio="f"/>
              <v:textbox inset="0mm,0mm,0mm,0mm" style="mso-fit-shape-to-text:t;">
                <w:txbxContent>
                  <w:p>
                    <w:pPr>
                      <w:pStyle w:val="3"/>
                      <w:rPr>
                        <w:rStyle w:val="10"/>
                        <w:rFonts w:hint="eastAsia" w:ascii="方正黑体简体" w:eastAsia="方正黑体简体"/>
                        <w:sz w:val="24"/>
                        <w:szCs w:val="24"/>
                      </w:rPr>
                    </w:pPr>
                    <w:r>
                      <w:rPr>
                        <w:rFonts w:hint="eastAsia" w:ascii="方正黑体简体" w:eastAsia="方正黑体简体"/>
                        <w:sz w:val="24"/>
                        <w:szCs w:val="24"/>
                      </w:rPr>
                      <w:fldChar w:fldCharType="begin"/>
                    </w:r>
                    <w:r>
                      <w:rPr>
                        <w:rStyle w:val="10"/>
                        <w:rFonts w:hint="eastAsia" w:ascii="方正黑体简体" w:eastAsia="方正黑体简体"/>
                        <w:sz w:val="24"/>
                        <w:szCs w:val="24"/>
                      </w:rPr>
                      <w:instrText xml:space="preserve">PAGE  </w:instrText>
                    </w:r>
                    <w:r>
                      <w:rPr>
                        <w:rFonts w:hint="eastAsia" w:ascii="方正黑体简体" w:eastAsia="方正黑体简体"/>
                        <w:sz w:val="24"/>
                        <w:szCs w:val="24"/>
                      </w:rPr>
                      <w:fldChar w:fldCharType="separate"/>
                    </w:r>
                    <w:r>
                      <w:rPr>
                        <w:rStyle w:val="10"/>
                        <w:rFonts w:hint="eastAsia" w:ascii="方正黑体简体" w:eastAsia="方正黑体简体"/>
                        <w:sz w:val="24"/>
                        <w:szCs w:val="24"/>
                      </w:rPr>
                      <w:t>2</w:t>
                    </w:r>
                    <w:r>
                      <w:rPr>
                        <w:rFonts w:hint="eastAsia" w:ascii="方正黑体简体" w:eastAsia="方正黑体简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315" w:leftChars="-150" w:right="-420" w:rightChars="-200"/>
      <w:jc w:val="center"/>
      <w:rPr>
        <w:rFonts w:hint="default" w:ascii="方正黑体简体" w:hAnsi="黑体" w:eastAsia="方正黑体简体"/>
        <w:lang w:val="en-US"/>
      </w:rPr>
    </w:pPr>
    <w:r>
      <w:rPr>
        <w:rFonts w:hint="eastAsia" w:ascii="方正黑体简体" w:hAnsi="黑体" w:eastAsia="方正黑体简体"/>
        <w:lang w:val="en-US" w:eastAsia="zh-CN"/>
      </w:rPr>
      <w:t xml:space="preserve">                                                              </w:t>
    </w:r>
  </w:p>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420" w:leftChars="-200"/>
      <w:jc w:val="both"/>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-255905</wp:posOffset>
          </wp:positionV>
          <wp:extent cx="6991350" cy="464820"/>
          <wp:effectExtent l="0" t="0" r="3810" b="7620"/>
          <wp:wrapNone/>
          <wp:docPr id="28"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descr="01"/>
                  <pic:cNvPicPr>
                    <a:picLocks noChangeAspect="1"/>
                  </pic:cNvPicPr>
                </pic:nvPicPr>
                <pic:blipFill>
                  <a:blip r:embed="rId1"/>
                  <a:stretch>
                    <a:fillRect/>
                  </a:stretch>
                </pic:blipFill>
                <pic:spPr>
                  <a:xfrm>
                    <a:off x="0" y="0"/>
                    <a:ext cx="6991350" cy="4648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EB9B4"/>
    <w:multiLevelType w:val="singleLevel"/>
    <w:tmpl w:val="8C1EB9B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95AA8"/>
    <w:rsid w:val="019E0851"/>
    <w:rsid w:val="060D7B51"/>
    <w:rsid w:val="0F432847"/>
    <w:rsid w:val="16043859"/>
    <w:rsid w:val="164270BB"/>
    <w:rsid w:val="17CB4362"/>
    <w:rsid w:val="18B27088"/>
    <w:rsid w:val="193D5913"/>
    <w:rsid w:val="1B3F3DC5"/>
    <w:rsid w:val="24D31BA7"/>
    <w:rsid w:val="2610550C"/>
    <w:rsid w:val="26DC06D6"/>
    <w:rsid w:val="275E2E77"/>
    <w:rsid w:val="29B95AA8"/>
    <w:rsid w:val="2AD3748A"/>
    <w:rsid w:val="2CF81922"/>
    <w:rsid w:val="2D207535"/>
    <w:rsid w:val="31067604"/>
    <w:rsid w:val="31D27214"/>
    <w:rsid w:val="3841405E"/>
    <w:rsid w:val="3850705A"/>
    <w:rsid w:val="3CC3393B"/>
    <w:rsid w:val="3D594508"/>
    <w:rsid w:val="49DE283D"/>
    <w:rsid w:val="49EB2EF0"/>
    <w:rsid w:val="4A04165F"/>
    <w:rsid w:val="4B2F082F"/>
    <w:rsid w:val="4C374420"/>
    <w:rsid w:val="4C4A1EE7"/>
    <w:rsid w:val="4F0E7E09"/>
    <w:rsid w:val="51AC4265"/>
    <w:rsid w:val="5441729B"/>
    <w:rsid w:val="550C137E"/>
    <w:rsid w:val="577921BB"/>
    <w:rsid w:val="5E8B67D7"/>
    <w:rsid w:val="5FC70F31"/>
    <w:rsid w:val="6551079B"/>
    <w:rsid w:val="66933EFB"/>
    <w:rsid w:val="7216486D"/>
    <w:rsid w:val="77791C0F"/>
    <w:rsid w:val="78DB5EA1"/>
    <w:rsid w:val="7BE2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link w:val="9"/>
    <w:semiHidden/>
    <w:qFormat/>
    <w:uiPriority w:val="0"/>
    <w:rPr>
      <w:rFonts w:ascii="Verdana" w:hAnsi="Verdana" w:eastAsia="仿宋_GB2312"/>
      <w:kern w:val="0"/>
      <w:sz w:val="20"/>
      <w:szCs w:val="20"/>
      <w:lang w:eastAsia="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04"/>
    </w:pPr>
    <w:rPr>
      <w:rFonts w:ascii="仿宋_GB2312" w:hAnsi="仿宋_GB2312" w:eastAsia="仿宋_GB2312" w:cs="仿宋_GB2312"/>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 Char1"/>
    <w:basedOn w:val="1"/>
    <w:link w:val="8"/>
    <w:qFormat/>
    <w:uiPriority w:val="0"/>
    <w:pPr>
      <w:widowControl/>
      <w:spacing w:after="160" w:line="240" w:lineRule="exact"/>
      <w:jc w:val="left"/>
    </w:pPr>
    <w:rPr>
      <w:rFonts w:ascii="Verdana" w:hAnsi="Verdana" w:eastAsia="仿宋_GB2312"/>
      <w:kern w:val="0"/>
      <w:sz w:val="20"/>
      <w:szCs w:val="20"/>
      <w:lang w:eastAsia="en-US"/>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rPr>
  </w:style>
  <w:style w:type="paragraph" w:customStyle="1" w:styleId="13">
    <w:name w:val="普通(网站) New"/>
    <w:basedOn w:val="14"/>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
    <w:name w:val="正文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正文 New New New New New New New New New New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2020-07-08T03:45:00Z</dcterms:created>
  <dc:creator>╆小兔崽儿ゞ</dc:creator>
  <cp:lastModifiedBy>╆小兔崽儿ゞ</cp:lastModifiedBy>
  <dcterms:modified xsi:type="dcterms:W3CDTF">2020-07-23T00:58:21Z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