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color w:val="000000"/>
          <w:sz w:val="44"/>
          <w:szCs w:val="44"/>
          <w:lang w:val="en-US" w:eastAsia="zh-CN"/>
        </w:rPr>
      </w:pPr>
      <w:r>
        <w:rPr>
          <w:rFonts w:hint="eastAsia" w:ascii="Times New Roman" w:hAnsi="Times New Roman" w:eastAsia="方正小标宋简体" w:cs="Times New Roman"/>
          <w:color w:val="000000"/>
          <w:sz w:val="44"/>
          <w:szCs w:val="44"/>
          <w:lang w:val="en-US" w:eastAsia="zh-CN"/>
        </w:rPr>
        <w:t>桓台县人民政府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color w:val="000000"/>
          <w:sz w:val="44"/>
          <w:szCs w:val="44"/>
          <w:lang w:val="en-US" w:eastAsia="zh-CN"/>
        </w:rPr>
      </w:pPr>
      <w:r>
        <w:rPr>
          <w:rFonts w:hint="eastAsia" w:ascii="Times New Roman" w:hAnsi="Times New Roman" w:eastAsia="方正小标宋简体" w:cs="Times New Roman"/>
          <w:color w:val="000000"/>
          <w:sz w:val="44"/>
          <w:szCs w:val="44"/>
          <w:lang w:val="en-US" w:eastAsia="zh-CN"/>
        </w:rPr>
        <w:t>2023年度政府信息公开工作年度报告</w:t>
      </w:r>
    </w:p>
    <w:p>
      <w:pPr>
        <w:pStyle w:val="9"/>
        <w:rPr>
          <w:rFonts w:hint="eastAsia"/>
          <w:lang w:val="en-US" w:eastAsia="zh-CN"/>
        </w:rPr>
      </w:pP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本年度报告根据《中华人民共和国政府信息公开条例》（国务院令第711号）规定以及《国务院办公厅政府信息与政务公开办公室关于印发〈中华人民共和国政府信息公开工作年度报告格式〉的通知》（国办公开办函〔2021〕30号）的要求编制。全文包括总体情况、主动公开政府信息情况、收到和处理政府信息公开申请情况、政府信息公开行政复议和行政诉讼情况、政府信息公开工作存在的主要问题及改进情况，以及其他需要报告的事项。本报告中所列数据的统计期限为2023年1月1日——2023年12月31日。本报告的电子版可在桓台县人民政府网站信息公开页面公开年报栏下载（http://www.huantai.gov.cn/）。如对本年度报告有疑问，请与桓台县人民政府办公室联系（通信地址：桓台县中心大街766号；邮政编码：256400；联系电话：0533-8180102；电子邮箱：htxzfbgs@zb.shandong.cn）。</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t>一、总体情况</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2023年桓台县人民政府坚持以习近平新时代中国特色社会主义思想为指导，深入学习贯彻党的二十大精神，坚持围绕中心、服务大局，持续提升政务公开标准化、规范化和信息化水平，</w:t>
      </w:r>
      <w:r>
        <w:rPr>
          <w:rFonts w:hint="eastAsia" w:ascii="Times New Roman" w:hAnsi="Times New Roman" w:eastAsia="仿宋_GB2312" w:cs="仿宋_GB2312"/>
          <w:i w:val="0"/>
          <w:iCs w:val="0"/>
          <w:caps w:val="0"/>
          <w:spacing w:val="7"/>
          <w:sz w:val="32"/>
          <w:szCs w:val="32"/>
          <w:shd w:val="clear" w:color="auto" w:fill="FFFFFF"/>
        </w:rPr>
        <w:t>将政务公开与经济</w:t>
      </w:r>
      <w:r>
        <w:rPr>
          <w:rFonts w:hint="eastAsia" w:ascii="Times New Roman" w:hAnsi="Times New Roman" w:eastAsia="仿宋_GB2312" w:cs="仿宋_GB2312"/>
          <w:i w:val="0"/>
          <w:iCs w:val="0"/>
          <w:caps w:val="0"/>
          <w:spacing w:val="7"/>
          <w:sz w:val="32"/>
          <w:szCs w:val="32"/>
          <w:shd w:val="clear" w:color="auto" w:fill="FFFFFF"/>
          <w:lang w:eastAsia="zh-CN"/>
        </w:rPr>
        <w:t>社会</w:t>
      </w:r>
      <w:r>
        <w:rPr>
          <w:rFonts w:hint="eastAsia" w:ascii="Times New Roman" w:hAnsi="Times New Roman" w:eastAsia="仿宋_GB2312" w:cs="仿宋_GB2312"/>
          <w:i w:val="0"/>
          <w:iCs w:val="0"/>
          <w:caps w:val="0"/>
          <w:spacing w:val="7"/>
          <w:sz w:val="32"/>
          <w:szCs w:val="32"/>
          <w:shd w:val="clear" w:color="auto" w:fill="FFFFFF"/>
        </w:rPr>
        <w:t>发展相结合，围绕</w:t>
      </w:r>
      <w:r>
        <w:rPr>
          <w:rFonts w:hint="eastAsia" w:ascii="Times New Roman" w:hAnsi="Times New Roman" w:eastAsia="仿宋_GB2312" w:cs="仿宋_GB2312"/>
          <w:i w:val="0"/>
          <w:iCs w:val="0"/>
          <w:caps w:val="0"/>
          <w:spacing w:val="7"/>
          <w:sz w:val="32"/>
          <w:szCs w:val="32"/>
          <w:shd w:val="clear" w:color="auto" w:fill="FFFFFF"/>
          <w:lang w:eastAsia="zh-CN"/>
        </w:rPr>
        <w:t>政策宣传</w:t>
      </w:r>
      <w:r>
        <w:rPr>
          <w:rFonts w:hint="eastAsia" w:ascii="Times New Roman" w:hAnsi="Times New Roman" w:eastAsia="仿宋_GB2312" w:cs="仿宋_GB2312"/>
          <w:i w:val="0"/>
          <w:iCs w:val="0"/>
          <w:caps w:val="0"/>
          <w:spacing w:val="7"/>
          <w:sz w:val="32"/>
          <w:szCs w:val="32"/>
          <w:shd w:val="clear" w:color="auto" w:fill="FFFFFF"/>
        </w:rPr>
        <w:t>、平台建设、优化</w:t>
      </w:r>
      <w:r>
        <w:rPr>
          <w:rFonts w:hint="eastAsia" w:ascii="Times New Roman" w:hAnsi="Times New Roman" w:eastAsia="仿宋_GB2312" w:cs="仿宋_GB2312"/>
          <w:i w:val="0"/>
          <w:iCs w:val="0"/>
          <w:caps w:val="0"/>
          <w:spacing w:val="7"/>
          <w:sz w:val="32"/>
          <w:szCs w:val="32"/>
          <w:shd w:val="clear" w:color="auto" w:fill="FFFFFF"/>
          <w:lang w:eastAsia="zh-CN"/>
        </w:rPr>
        <w:t>政务</w:t>
      </w:r>
      <w:r>
        <w:rPr>
          <w:rFonts w:hint="eastAsia" w:ascii="Times New Roman" w:hAnsi="Times New Roman" w:eastAsia="仿宋_GB2312" w:cs="仿宋_GB2312"/>
          <w:i w:val="0"/>
          <w:iCs w:val="0"/>
          <w:caps w:val="0"/>
          <w:spacing w:val="7"/>
          <w:sz w:val="32"/>
          <w:szCs w:val="32"/>
          <w:shd w:val="clear" w:color="auto" w:fill="FFFFFF"/>
        </w:rPr>
        <w:t>服务等领域，不断加强政务公开</w:t>
      </w:r>
      <w:r>
        <w:rPr>
          <w:rFonts w:hint="eastAsia" w:ascii="Times New Roman" w:hAnsi="Times New Roman" w:eastAsia="仿宋_GB2312" w:cs="仿宋_GB2312"/>
          <w:i w:val="0"/>
          <w:iCs w:val="0"/>
          <w:caps w:val="0"/>
          <w:spacing w:val="7"/>
          <w:sz w:val="32"/>
          <w:szCs w:val="32"/>
          <w:shd w:val="clear" w:color="auto" w:fill="FFFFFF"/>
          <w:lang w:eastAsia="zh-CN"/>
        </w:rPr>
        <w:t>工作</w:t>
      </w:r>
      <w:r>
        <w:rPr>
          <w:rFonts w:hint="eastAsia" w:ascii="Times New Roman" w:hAnsi="Times New Roman" w:eastAsia="仿宋_GB2312" w:cs="仿宋_GB2312"/>
          <w:i w:val="0"/>
          <w:iCs w:val="0"/>
          <w:caps w:val="0"/>
          <w:spacing w:val="7"/>
          <w:sz w:val="32"/>
          <w:szCs w:val="32"/>
          <w:shd w:val="clear" w:color="auto" w:fill="FFFFFF"/>
        </w:rPr>
        <w:t>规范化、透明化，以高水平政务公开</w:t>
      </w:r>
      <w:r>
        <w:rPr>
          <w:rFonts w:hint="eastAsia" w:ascii="Times New Roman" w:hAnsi="Times New Roman" w:eastAsia="仿宋_GB2312" w:cs="仿宋_GB2312"/>
          <w:i w:val="0"/>
          <w:iCs w:val="0"/>
          <w:caps w:val="0"/>
          <w:spacing w:val="7"/>
          <w:sz w:val="32"/>
          <w:szCs w:val="32"/>
          <w:shd w:val="clear" w:color="auto" w:fill="FFFFFF"/>
          <w:lang w:eastAsia="zh-CN"/>
        </w:rPr>
        <w:t>工作</w:t>
      </w:r>
      <w:r>
        <w:rPr>
          <w:rFonts w:hint="eastAsia" w:ascii="Times New Roman" w:hAnsi="Times New Roman" w:eastAsia="仿宋_GB2312" w:cs="仿宋_GB2312"/>
          <w:i w:val="0"/>
          <w:iCs w:val="0"/>
          <w:caps w:val="0"/>
          <w:spacing w:val="7"/>
          <w:sz w:val="32"/>
          <w:szCs w:val="32"/>
          <w:shd w:val="clear" w:color="auto" w:fill="FFFFFF"/>
        </w:rPr>
        <w:t>助力营商环境优化提升。</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3" w:firstLineChars="200"/>
        <w:jc w:val="both"/>
        <w:textAlignment w:val="auto"/>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（一）主动公开方面</w:t>
      </w:r>
    </w:p>
    <w:p>
      <w:pPr>
        <w:keepNext w:val="0"/>
        <w:keepLines w:val="0"/>
        <w:pageBreakBefore w:val="0"/>
        <w:widowControl/>
        <w:suppressLineNumbers w:val="0"/>
        <w:kinsoku/>
        <w:overflowPunct/>
        <w:topLinePunct w:val="0"/>
        <w:autoSpaceDN/>
        <w:bidi w:val="0"/>
        <w:adjustRightInd/>
        <w:snapToGrid/>
        <w:spacing w:line="560" w:lineRule="exact"/>
        <w:ind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1.优化主动公开内容。</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2023年桓台县通过政府网站主动公开政府信息共5708条，其中政策文件96条，县政府人事任免文件9件。全年共编发政府公报12期。回应公众关注热点和舆情3次，开展调查征集3期。</w:t>
      </w:r>
    </w:p>
    <w:p>
      <w:pPr>
        <w:pStyle w:val="9"/>
        <w:ind w:left="0" w:leftChars="0" w:firstLine="0" w:firstLineChars="0"/>
        <w:jc w:val="center"/>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5259705" cy="2891155"/>
            <wp:effectExtent l="0" t="0" r="13335" b="0"/>
            <wp:docPr id="1" name="图片 1" descr="2023年桓台县政府网站信息更新数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年桓台县政府网站信息更新数量"/>
                    <pic:cNvPicPr>
                      <a:picLocks noChangeAspect="1"/>
                    </pic:cNvPicPr>
                  </pic:nvPicPr>
                  <pic:blipFill>
                    <a:blip r:embed="rId4"/>
                    <a:stretch>
                      <a:fillRect/>
                    </a:stretch>
                  </pic:blipFill>
                  <pic:spPr>
                    <a:xfrm>
                      <a:off x="0" y="0"/>
                      <a:ext cx="5259705" cy="2891155"/>
                    </a:xfrm>
                    <a:prstGeom prst="rect">
                      <a:avLst/>
                    </a:prstGeom>
                  </pic:spPr>
                </pic:pic>
              </a:graphicData>
            </a:graphic>
          </wp:inline>
        </w:drawing>
      </w:r>
    </w:p>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right="0" w:rightChars="0"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2.创新政策宣传形式。</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桓台县围绕激发市场活力、绿色转型、稳就业保就业和社会事业等方面，合理选择解读形式，讲明讲透政策内涵。2023年桓台县通过动漫、图片、音视频等多形式以及领导、媒体、专家、简明问答等多角度，发布政策解读71篇，会议图解21篇，新闻报道21篇，议题解读37篇。</w:t>
      </w:r>
    </w:p>
    <w:p>
      <w:pPr>
        <w:pStyle w:val="9"/>
        <w:numPr>
          <w:ilvl w:val="0"/>
          <w:numId w:val="0"/>
        </w:numPr>
        <w:jc w:val="center"/>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4728210" cy="2760980"/>
            <wp:effectExtent l="0" t="0" r="11430" b="12700"/>
            <wp:docPr id="11" name="图片 11" descr="2023年度桓台县政策解读发布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3年度桓台县政策解读发布情况"/>
                    <pic:cNvPicPr>
                      <a:picLocks noChangeAspect="1"/>
                    </pic:cNvPicPr>
                  </pic:nvPicPr>
                  <pic:blipFill>
                    <a:blip r:embed="rId5"/>
                    <a:stretch>
                      <a:fillRect/>
                    </a:stretch>
                  </pic:blipFill>
                  <pic:spPr>
                    <a:xfrm>
                      <a:off x="0" y="0"/>
                      <a:ext cx="4728210" cy="276098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3.积极回应社会关切。</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2023年县政府共召开全体会议2次，常务会议20次，邀请利益相关方、公众代表、专家、媒体、法律顾问等列席会议20次。县政府市民投诉中心共办结市 12345政务服务便民热线转办工单100003件，服务过程满意率99.07%，全口径办理结果满意率 91.57%。</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4.深化重点信息公开。</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桓台县聚焦财政信息、扩大有效投资、重点民生、社会保障、公共资源配置等重点领域，突出专题设置并在政务公开首页开设专栏集中展示。2023年桓台县主动公开财政信息238条；扩大有效投资信息42条；重点民生、社会保障、公共资源配置等信息792条。</w:t>
      </w:r>
    </w:p>
    <w:p>
      <w:pPr>
        <w:pStyle w:val="9"/>
        <w:ind w:left="0" w:leftChars="0" w:firstLine="0" w:firstLineChars="0"/>
        <w:jc w:val="both"/>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5697220" cy="2350770"/>
            <wp:effectExtent l="0" t="0" r="2540" b="11430"/>
            <wp:docPr id="12" name="图片 12" descr="重点领域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点领域信息"/>
                    <pic:cNvPicPr>
                      <a:picLocks noChangeAspect="1"/>
                    </pic:cNvPicPr>
                  </pic:nvPicPr>
                  <pic:blipFill>
                    <a:blip r:embed="rId6"/>
                    <a:stretch>
                      <a:fillRect/>
                    </a:stretch>
                  </pic:blipFill>
                  <pic:spPr>
                    <a:xfrm>
                      <a:off x="0" y="0"/>
                      <a:ext cx="5697220" cy="235077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3" w:firstLineChars="200"/>
        <w:jc w:val="both"/>
        <w:textAlignment w:val="auto"/>
        <w:rPr>
          <w:rFonts w:hint="eastAsia" w:ascii="楷体_GB2312" w:hAnsi="楷体_GB2312" w:eastAsia="楷体_GB2312" w:cs="楷体_GB2312"/>
          <w:b/>
          <w:bCs/>
          <w:kern w:val="0"/>
          <w:sz w:val="32"/>
          <w:szCs w:val="32"/>
          <w:lang w:val="en-US" w:eastAsia="zh-CN" w:bidi="ar"/>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（二）</w:t>
      </w:r>
      <w:r>
        <w:rPr>
          <w:rFonts w:hint="eastAsia" w:ascii="楷体_GB2312" w:hAnsi="楷体_GB2312" w:eastAsia="楷体_GB2312" w:cs="楷体_GB2312"/>
          <w:b/>
          <w:bCs/>
          <w:kern w:val="0"/>
          <w:sz w:val="32"/>
          <w:szCs w:val="32"/>
          <w:lang w:val="en-US" w:eastAsia="zh-CN" w:bidi="ar"/>
        </w:rPr>
        <w:t>依申请公开工作方面</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桓台县在依申请公开工作中强化服务理念，加强与申请人的沟通，准确了解申请人诉求，提高答复的及时性和针对性。</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240" w:lineRule="auto"/>
        <w:ind w:right="0"/>
        <w:jc w:val="center"/>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drawing>
          <wp:inline distT="0" distB="0" distL="114300" distR="114300">
            <wp:extent cx="5260975" cy="2914015"/>
            <wp:effectExtent l="0" t="0" r="15875" b="635"/>
            <wp:docPr id="9" name="图片 9" descr="历年桓台县政府公开信息申请数量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历年桓台县政府公开信息申请数量分析"/>
                    <pic:cNvPicPr>
                      <a:picLocks noChangeAspect="1"/>
                    </pic:cNvPicPr>
                  </pic:nvPicPr>
                  <pic:blipFill>
                    <a:blip r:embed="rId7"/>
                    <a:stretch>
                      <a:fillRect/>
                    </a:stretch>
                  </pic:blipFill>
                  <pic:spPr>
                    <a:xfrm>
                      <a:off x="0" y="0"/>
                      <a:ext cx="5260975" cy="2914015"/>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bCs/>
          <w:color w:val="5C7441" w:themeColor="accent3" w:themeShade="BF"/>
          <w:kern w:val="2"/>
          <w:sz w:val="32"/>
          <w:szCs w:val="32"/>
          <w:lang w:val="en-US" w:eastAsia="zh-CN" w:bidi="ar"/>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2023年，桓台县共收到政府信息公开申请67件，申请数量同比减少28.72%；本年度共办结</w:t>
      </w:r>
      <w:bookmarkStart w:id="0" w:name="_GoBack"/>
      <w:bookmarkEnd w:id="0"/>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65件，结转下年度继续办理2件。其中，予以公开及部分公开38件，占40.01%；不予公开7件，占10.76%；无法提供14件，占21.53%；不予处理4件，占6.15%；其他2件，占3.08%。申请内容主要集中在集体土地征收、土地补偿安置等领域。行政复议5件，均获维持；行政诉讼3件，其中结果维持1件，尚未审结2件。</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240" w:lineRule="auto"/>
        <w:ind w:right="0"/>
        <w:jc w:val="center"/>
        <w:textAlignment w:val="auto"/>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drawing>
          <wp:inline distT="0" distB="0" distL="114300" distR="114300">
            <wp:extent cx="5320030" cy="3112770"/>
            <wp:effectExtent l="0" t="0" r="13970" b="11430"/>
            <wp:docPr id="13" name="图片 13" descr="2023年度桓台县政府信息公开申请办理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3年度桓台县政府信息公开申请办理结果"/>
                    <pic:cNvPicPr>
                      <a:picLocks noChangeAspect="1"/>
                    </pic:cNvPicPr>
                  </pic:nvPicPr>
                  <pic:blipFill>
                    <a:blip r:embed="rId8"/>
                    <a:stretch>
                      <a:fillRect/>
                    </a:stretch>
                  </pic:blipFill>
                  <pic:spPr>
                    <a:xfrm>
                      <a:off x="0" y="0"/>
                      <a:ext cx="5320030" cy="311277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（三）政府信息管理方面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建设政府信息公开专栏，确保法定主动公开内容规范发布。加强主动公开基本目录动态管理，并实时调整更新。</w:t>
      </w:r>
      <w:r>
        <w:rPr>
          <w:rFonts w:hint="eastAsia" w:ascii="Times New Roman" w:hAnsi="Times New Roman" w:eastAsia="仿宋_GB2312" w:cs="仿宋_GB2312"/>
          <w:spacing w:val="0"/>
          <w:kern w:val="0"/>
          <w:sz w:val="32"/>
          <w:szCs w:val="32"/>
          <w:lang w:val="en-US" w:eastAsia="zh-CN" w:bidi="ar"/>
        </w:rPr>
        <w:t>按照“管业务就要管公开机制”、“权责一致”原则将各项任务进一步具体化，明确职责，提出完成时限，强化工作措施，确定工作任务清单</w:t>
      </w:r>
      <w:r>
        <w:rPr>
          <w:rFonts w:hint="eastAsia" w:ascii="Times New Roman" w:hAnsi="Times New Roman"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对政府信息的制作、审核、公开等方面进行全生命周期管理，为深化政府信息公开、优化政务服务提供制度保障。完善政府信息发布机制、信息公开保密审查制度，继续严格做好公文公开属性源头认定和发布审查工作。</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lang w:val="en-US" w:eastAsia="zh-CN"/>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完成省政府政策文件库文件汇集及上传工作，实现公开文件数据资源标准化、电子化和规范化，使公众查询信息更为便捷。</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（四）平台建设方面</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加强网站规范化建设。按照“统一规划、统一部署、统一管理”的原则，持续整合网站政务信息、服务信息，不断推进平台集约化建设。</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高标准完成政务公开模块改版工作。桓台县人民政府网站政务公开模块根据实际情况适时更新，新模块更加便于向市民展现桓台政务公开成果，便于市民查询政务公开信息。</w:t>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做好《桓台县人民政府公报》编辑和赠阅工作。政府公报全年共编辑12期，已在县政府门户网站同步发布电子版，其中，刊登县政府（县政府办公室）文件92件，政策解读24篇。</w:t>
      </w:r>
    </w:p>
    <w:p>
      <w:pPr>
        <w:pStyle w:val="9"/>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3522345" cy="4017645"/>
            <wp:effectExtent l="0" t="0" r="13335" b="5715"/>
            <wp:docPr id="16" name="图片 16" descr="政府公报-政务公开-桓台县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政府公报-政务公开-桓台县人民政府"/>
                    <pic:cNvPicPr>
                      <a:picLocks noChangeAspect="1"/>
                    </pic:cNvPicPr>
                  </pic:nvPicPr>
                  <pic:blipFill>
                    <a:blip r:embed="rId9"/>
                    <a:stretch>
                      <a:fillRect/>
                    </a:stretch>
                  </pic:blipFill>
                  <pic:spPr>
                    <a:xfrm>
                      <a:off x="0" y="0"/>
                      <a:ext cx="3522345" cy="4017645"/>
                    </a:xfrm>
                    <a:prstGeom prst="rect">
                      <a:avLst/>
                    </a:prstGeom>
                  </pic:spPr>
                </pic:pic>
              </a:graphicData>
            </a:graphic>
          </wp:inline>
        </w:drawing>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积极宣传桓台县政务公开工作亮点和创新成果，2023年被“市政务公开在行动栏目”采纳稿件60余篇，稿件采纳数量位列区县首位。继续扩大政务新媒体影响力和传播力，及时发布最新政务信息、相关政策及配套解读，不断提升群众获取政府信息的便利性。</w:t>
      </w:r>
    </w:p>
    <w:p>
      <w:pPr>
        <w:pStyle w:val="9"/>
        <w:jc w:val="center"/>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3664585" cy="3634105"/>
            <wp:effectExtent l="0" t="0" r="8255" b="8255"/>
            <wp:docPr id="17" name="图片 17" descr="淄博市人民政府 进展成效 桓台政务公开在行动：社保政策”摆地摊，夜市推出新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淄博市人民政府 进展成效 桓台政务公开在行动：社保政策”摆地摊，夜市推出新菜单"/>
                    <pic:cNvPicPr>
                      <a:picLocks noChangeAspect="1"/>
                    </pic:cNvPicPr>
                  </pic:nvPicPr>
                  <pic:blipFill>
                    <a:blip r:embed="rId10"/>
                    <a:stretch>
                      <a:fillRect/>
                    </a:stretch>
                  </pic:blipFill>
                  <pic:spPr>
                    <a:xfrm>
                      <a:off x="0" y="0"/>
                      <a:ext cx="3664585" cy="3634105"/>
                    </a:xfrm>
                    <a:prstGeom prst="rect">
                      <a:avLst/>
                    </a:prstGeom>
                  </pic:spPr>
                </pic:pic>
              </a:graphicData>
            </a:graphic>
          </wp:inline>
        </w:drawing>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立足镇（街道）直接联系服务群众的实际，在便民服务中心设立政务公开专区，提供政府信息查询、信息公开申请、办事咨询、政府信息打印复印等相关服务。</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（五）监督保障方面</w:t>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加强纵向指导和业务培训，2023年桓台县人民政府办公室共组织召开4次政务公开工作会议，各镇（街道）及县有关部门、单位的分管负责人和具体工作人员70余人积极参会。通过学习、考核和讨论，使各部门的政务公开工作做到有制可循、有制可依、依制办事、违制必究。</w:t>
      </w:r>
    </w:p>
    <w:p>
      <w:pPr>
        <w:keepNext w:val="0"/>
        <w:keepLines w:val="0"/>
        <w:pageBreakBefore w:val="0"/>
        <w:widowControl/>
        <w:suppressLineNumbers w:val="0"/>
        <w:kinsoku/>
        <w:overflowPunct/>
        <w:topLinePunct w:val="0"/>
        <w:autoSpaceDN/>
        <w:bidi w:val="0"/>
        <w:adjustRightInd/>
        <w:snapToGrid/>
        <w:spacing w:line="240" w:lineRule="auto"/>
        <w:jc w:val="center"/>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drawing>
          <wp:inline distT="0" distB="0" distL="114300" distR="114300">
            <wp:extent cx="4064635" cy="3048635"/>
            <wp:effectExtent l="0" t="0" r="4445" b="14605"/>
            <wp:docPr id="3" name="图片 3" descr="微信图片_2023041115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411150948"/>
                    <pic:cNvPicPr>
                      <a:picLocks noChangeAspect="1"/>
                    </pic:cNvPicPr>
                  </pic:nvPicPr>
                  <pic:blipFill>
                    <a:blip r:embed="rId11"/>
                    <a:stretch>
                      <a:fillRect/>
                    </a:stretch>
                  </pic:blipFill>
                  <pic:spPr>
                    <a:xfrm>
                      <a:off x="0" y="0"/>
                      <a:ext cx="4064635" cy="3048635"/>
                    </a:xfrm>
                    <a:prstGeom prst="rect">
                      <a:avLst/>
                    </a:prstGeom>
                  </pic:spPr>
                </pic:pic>
              </a:graphicData>
            </a:graphic>
          </wp:inline>
        </w:drawing>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持续将政务公开工作列入2023年全县高质量发展综合绩效考核。加强优化考核评估，围绕政务公开年度工作要点，及时向相关单位反馈，督促其限期整改，并作为专项检查和调研的重点。</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color w:val="auto"/>
          <w:kern w:val="2"/>
          <w:sz w:val="32"/>
          <w:szCs w:val="32"/>
        </w:rPr>
      </w:pPr>
      <w:r>
        <w:rPr>
          <w:rFonts w:hint="eastAsia" w:ascii="Times New Roman" w:hAnsi="Times New Roman" w:eastAsia="黑体" w:cs="黑体"/>
          <w:b w:val="0"/>
          <w:bCs w:val="0"/>
          <w:color w:val="auto"/>
          <w:kern w:val="2"/>
          <w:sz w:val="32"/>
          <w:szCs w:val="32"/>
          <w:lang w:val="en-US" w:eastAsia="zh-CN" w:bidi="ar"/>
        </w:rPr>
        <w:t xml:space="preserve">二、主动公开政府信息情况 </w:t>
      </w:r>
    </w:p>
    <w:tbl>
      <w:tblPr>
        <w:tblStyle w:val="10"/>
        <w:tblW w:w="99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682"/>
        <w:gridCol w:w="2272"/>
        <w:gridCol w:w="2480"/>
        <w:gridCol w:w="24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l2br w:val="nil"/>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227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本年制发件数</w:t>
            </w:r>
          </w:p>
        </w:tc>
        <w:tc>
          <w:tcPr>
            <w:tcW w:w="2480"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本年废止件数</w:t>
            </w:r>
          </w:p>
        </w:tc>
        <w:tc>
          <w:tcPr>
            <w:tcW w:w="2486"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规章</w:t>
            </w:r>
          </w:p>
        </w:tc>
        <w:tc>
          <w:tcPr>
            <w:tcW w:w="227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0"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行政规范性文件</w:t>
            </w:r>
          </w:p>
        </w:tc>
        <w:tc>
          <w:tcPr>
            <w:tcW w:w="227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0"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行政许可</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rPr>
            </w:pPr>
            <w:r>
              <w:rPr>
                <w:rFonts w:hint="eastAsia" w:ascii="Times New Roman" w:hAnsi="Times New Roman" w:eastAsia="仿宋_GB2312" w:cs="仿宋_GB2312"/>
                <w:b w:val="0"/>
                <w:color w:val="000000"/>
                <w:kern w:val="2"/>
                <w:sz w:val="32"/>
                <w:szCs w:val="32"/>
                <w:lang w:val="en-US" w:eastAsia="zh-CN"/>
              </w:rPr>
              <w:t>30877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行政处罚</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行政强制</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行政事业性收费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rPr>
              <w:t>3958.18602</w:t>
            </w:r>
          </w:p>
        </w:tc>
      </w:tr>
    </w:tbl>
    <w:p>
      <w:pPr>
        <w:keepNext w:val="0"/>
        <w:keepLines w:val="0"/>
        <w:pageBreakBefore w:val="0"/>
        <w:widowControl w:val="0"/>
        <w:suppressLineNumbers w:val="0"/>
        <w:shd w:val="clear"/>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黑体" w:cs="黑体"/>
          <w:b w:val="0"/>
          <w:bCs w:val="0"/>
          <w:color w:val="auto"/>
          <w:kern w:val="2"/>
          <w:sz w:val="32"/>
          <w:szCs w:val="32"/>
        </w:rPr>
      </w:pPr>
      <w:r>
        <w:rPr>
          <w:rFonts w:hint="eastAsia" w:ascii="Times New Roman" w:hAnsi="Times New Roman" w:eastAsia="黑体" w:cs="黑体"/>
          <w:b w:val="0"/>
          <w:bCs w:val="0"/>
          <w:color w:val="auto"/>
          <w:kern w:val="2"/>
          <w:sz w:val="32"/>
          <w:szCs w:val="32"/>
          <w:lang w:val="en-US" w:eastAsia="zh-CN" w:bidi="ar"/>
        </w:rPr>
        <w:t>三、收到和处理政府信息公开申请情况</w:t>
      </w:r>
    </w:p>
    <w:tbl>
      <w:tblPr>
        <w:tblStyle w:val="10"/>
        <w:tblpPr w:leftFromText="180" w:rightFromText="180" w:vertAnchor="text" w:horzAnchor="page" w:tblpXSpec="center" w:tblpY="49"/>
        <w:tblOverlap w:val="never"/>
        <w:tblW w:w="1001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457"/>
        <w:gridCol w:w="977"/>
        <w:gridCol w:w="3937"/>
        <w:gridCol w:w="491"/>
        <w:gridCol w:w="764"/>
        <w:gridCol w:w="818"/>
        <w:gridCol w:w="805"/>
        <w:gridCol w:w="818"/>
        <w:gridCol w:w="491"/>
        <w:gridCol w:w="461"/>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634" w:hRule="atLeast"/>
          <w:jc w:val="center"/>
        </w:trPr>
        <w:tc>
          <w:tcPr>
            <w:tcW w:w="5371" w:type="dxa"/>
            <w:gridSpan w:val="3"/>
            <w:vMerge w:val="restart"/>
            <w:tcBorders>
              <w:top w:val="single" w:color="000000" w:sz="4" w:space="0"/>
              <w:left w:val="single" w:color="000000" w:sz="4" w:space="0"/>
              <w:bottom w:val="single" w:color="000000" w:sz="4" w:space="0"/>
              <w:right w:val="single" w:color="000000" w:sz="4" w:space="0"/>
              <w:tl2br w:val="nil"/>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（本列数据的勾稽关系为：第一项加第二项之和，等于第三项加第四项之和）</w:t>
            </w:r>
          </w:p>
        </w:tc>
        <w:tc>
          <w:tcPr>
            <w:tcW w:w="4648" w:type="dxa"/>
            <w:gridSpan w:val="7"/>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申请人情况</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5371"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自然人</w:t>
            </w:r>
          </w:p>
        </w:tc>
        <w:tc>
          <w:tcPr>
            <w:tcW w:w="3696" w:type="dxa"/>
            <w:gridSpan w:val="5"/>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法人或其他组织</w:t>
            </w:r>
          </w:p>
        </w:tc>
        <w:tc>
          <w:tcPr>
            <w:tcW w:w="461"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787" w:hRule="atLeast"/>
          <w:jc w:val="center"/>
        </w:trPr>
        <w:tc>
          <w:tcPr>
            <w:tcW w:w="5371"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商业</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企业</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科研</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机构</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社会公益组织</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法律服务机构</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p>
        </w:tc>
        <w:tc>
          <w:tcPr>
            <w:tcW w:w="461"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22" w:hRule="atLeast"/>
          <w:jc w:val="center"/>
        </w:trPr>
        <w:tc>
          <w:tcPr>
            <w:tcW w:w="5371"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一、本年新收政府信息公开申请数量</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default"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default"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44" w:hRule="atLeast"/>
          <w:jc w:val="center"/>
        </w:trPr>
        <w:tc>
          <w:tcPr>
            <w:tcW w:w="5371"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二、上年结转政府信息公开申请数量</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三</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本年度办理结果</w:t>
            </w:r>
          </w:p>
        </w:tc>
        <w:tc>
          <w:tcPr>
            <w:tcW w:w="4914" w:type="dxa"/>
            <w:gridSpan w:val="2"/>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（一）予以公开</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25</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4" w:type="dxa"/>
            <w:gridSpan w:val="2"/>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（二）部分公开（区分处理的，只计这一情形，不计其他情形）</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7</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（三）</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不予</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公开</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1.属于国家秘密</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2.其他法律行政法规禁止公开</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3.危及“三安全一稳定”</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4.保护第三方合法权益</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5.属于三类内部事务信息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6.属于四类过程性信息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7.属于行政执法案卷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8.属于行政查询事项</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（四）</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无法</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提供</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1.本机关不掌握相关政府信息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2.没有现成信息需要另行制作</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146"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3.补正后申请内容仍不明确</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（五）不予</w:t>
            </w:r>
          </w:p>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处理</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1.信访举报投诉类申请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2.重复申请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3.要求提供公开出版物</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146"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4.无正当理由大量反复申请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5.要求行政机关确认或重新出具已获取信息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86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（六）其他</w:t>
            </w:r>
          </w:p>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处理</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1.申请人无正当理由逾期不补正、行政机关不再处理其政府信息公开申请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472"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2.申请人逾期未按收费通知要求缴纳费用、行政机关不再处理其政府信息公开申请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3.其他</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default"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4" w:type="dxa"/>
            <w:gridSpan w:val="2"/>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（七）总计</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59</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54" w:hRule="atLeast"/>
          <w:jc w:val="center"/>
        </w:trPr>
        <w:tc>
          <w:tcPr>
            <w:tcW w:w="5371"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四、结转下年度继续办理</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bl>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黑体" w:cs="黑体"/>
          <w:b w:val="0"/>
          <w:bCs w:val="0"/>
          <w:color w:val="000000"/>
          <w:kern w:val="2"/>
          <w:sz w:val="32"/>
          <w:szCs w:val="32"/>
          <w:lang w:val="en-US" w:eastAsia="zh-CN" w:bidi="ar"/>
        </w:rPr>
      </w:pPr>
      <w:r>
        <w:rPr>
          <w:rFonts w:hint="eastAsia" w:ascii="Times New Roman" w:hAnsi="Times New Roman" w:eastAsia="黑体" w:cs="黑体"/>
          <w:b w:val="0"/>
          <w:bCs w:val="0"/>
          <w:color w:val="000000"/>
          <w:kern w:val="2"/>
          <w:sz w:val="32"/>
          <w:szCs w:val="32"/>
          <w:lang w:val="en-US" w:eastAsia="zh-CN" w:bidi="ar"/>
        </w:rPr>
        <w:t>四、政府信息公开行政复议、行政诉讼情况</w:t>
      </w:r>
    </w:p>
    <w:tbl>
      <w:tblPr>
        <w:tblStyle w:val="10"/>
        <w:tblW w:w="999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5"/>
        <w:gridCol w:w="665"/>
        <w:gridCol w:w="665"/>
        <w:gridCol w:w="665"/>
        <w:gridCol w:w="668"/>
        <w:gridCol w:w="665"/>
        <w:gridCol w:w="665"/>
        <w:gridCol w:w="666"/>
        <w:gridCol w:w="666"/>
        <w:gridCol w:w="669"/>
        <w:gridCol w:w="667"/>
        <w:gridCol w:w="667"/>
        <w:gridCol w:w="667"/>
        <w:gridCol w:w="667"/>
        <w:gridCol w:w="67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606" w:hRule="atLeast"/>
          <w:jc w:val="center"/>
        </w:trPr>
        <w:tc>
          <w:tcPr>
            <w:tcW w:w="3328" w:type="dxa"/>
            <w:gridSpan w:val="5"/>
            <w:tcBorders>
              <w:top w:val="single" w:color="000000" w:sz="4" w:space="0"/>
              <w:left w:val="single" w:color="000000" w:sz="4" w:space="0"/>
              <w:bottom w:val="single" w:color="000000" w:sz="4" w:space="0"/>
              <w:right w:val="single" w:color="000000" w:sz="4" w:space="0"/>
              <w:tl2br w:val="nil"/>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行政复议</w:t>
            </w:r>
          </w:p>
        </w:tc>
        <w:tc>
          <w:tcPr>
            <w:tcW w:w="6671" w:type="dxa"/>
            <w:gridSpan w:val="10"/>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行政诉讼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06"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结果维持</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纠正</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结果</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尚未</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审结</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c>
          <w:tcPr>
            <w:tcW w:w="3331"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未经复议直接起诉</w:t>
            </w:r>
          </w:p>
        </w:tc>
        <w:tc>
          <w:tcPr>
            <w:tcW w:w="3340"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复议后起诉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64"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维持</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纠正</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结果</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尚未</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审结</w:t>
            </w:r>
          </w:p>
        </w:tc>
        <w:tc>
          <w:tcPr>
            <w:tcW w:w="6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维持</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纠正</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结果</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尚未</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审结</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4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6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bl>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i w:val="0"/>
          <w:iCs w:val="0"/>
          <w:caps w:val="0"/>
          <w:color w:val="000000" w:themeColor="text1"/>
          <w:spacing w:val="0"/>
          <w:sz w:val="32"/>
          <w:szCs w:val="32"/>
          <w:shd w:val="clear" w:fill="FFFFFF"/>
          <w14:textFill>
            <w14:solidFill>
              <w14:schemeClr w14:val="tx1"/>
            </w14:solidFill>
          </w14:textFill>
        </w:rPr>
      </w:pPr>
      <w:r>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t>五、存在的主要问题及改进情况</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2023年，桓台县人民政府信息公开工作虽然取得了积极成效，但在主动公开机制、信息公开保密审查等方面仍存在一些问题和不足。2024年，将继续深入贯彻落实《条例》，一是优化主动公开机制，形成主动公开目录，依法依规推动政府信息公开。二是对新进工作人员进行培训，严格落实信息公开保密审查制度，科学设置公开范围、方式和渠道。</w:t>
      </w:r>
    </w:p>
    <w:p>
      <w:pPr>
        <w:pStyle w:val="9"/>
        <w:jc w:val="both"/>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4146550" cy="4146550"/>
            <wp:effectExtent l="0" t="0" r="13970" b="13970"/>
            <wp:docPr id="6" name="图片 6" descr="s_3a5285fdd19f4782a66744987a6b7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_3a5285fdd19f4782a66744987a6b77b7"/>
                    <pic:cNvPicPr>
                      <a:picLocks noChangeAspect="1"/>
                    </pic:cNvPicPr>
                  </pic:nvPicPr>
                  <pic:blipFill>
                    <a:blip r:embed="rId12"/>
                    <a:stretch>
                      <a:fillRect/>
                    </a:stretch>
                  </pic:blipFill>
                  <pic:spPr>
                    <a:xfrm>
                      <a:off x="0" y="0"/>
                      <a:ext cx="4146550" cy="414655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t>六、其他需要报告的事项</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（一）信息处理费收取情况</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根据《国务院办公厅关于印发&lt;政府信息公开信息处理费管理办法&gt;的通知》（国办函〔2020〕109号）规定，桓台县人民政府本年度未收取政府信息公开信息处理费。</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（二）建议提案办理公开情况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仿宋_GB2312"/>
          <w:color w:val="5C7441" w:themeColor="accent3" w:themeShade="BF"/>
          <w:kern w:val="2"/>
          <w:sz w:val="32"/>
          <w:szCs w:val="32"/>
          <w:lang w:val="en-US" w:eastAsia="zh-CN" w:bidi="ar"/>
        </w:rPr>
      </w:pP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2023年县政府共收到县第十九届人大二次会议代表所提建议44件，涉及4个镇（街道）、17个部门（单位）。其中政治建设类3件，经济建设类8件，社会建设类26件，文化建设类3件，生态文明建设类4件。从办理结果看，代表们所提建议绝大部分已被采纳。其中，已经解决的24件，占54.5%；正在解决和列入计划拟解决的16件，占36.4%；留作参考的4件，占9.1%。县政府共收到县政协十五届二次会议委员提案151件，涉及51个部门、单位和镇（街道），其中经济建设类31件，政治建设类10件，文化建设类15件，社会建设类84件，生态建设类11件。从办理结果看，委员提案大部分已被采纳。其中，已经解决的84件，占55.6%；正在解决和列入计划拟解决的42件，占27.8%；留作参考的25件，占16.6%。</w:t>
      </w:r>
    </w:p>
    <w:p>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pPr>
      <w:r>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t>（三）政务公开创新实践情况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3" w:firstLineChars="200"/>
        <w:jc w:val="both"/>
        <w:textAlignment w:val="auto"/>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t>1.持续加强专题专栏建设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参考省、市人民政府网站及国内先进地区政务公开模块，结合桓台实际，继续开展政府网站政务公开模块的改版工作，完善政府信息公开专题，突出桓台特色。今年完善了公共企事业信息公开专题及基层政务公开标准化规范化专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3" w:firstLineChars="200"/>
        <w:jc w:val="both"/>
        <w:textAlignment w:val="auto"/>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t>2.定期测评，加强督导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仿宋_GB2312"/>
          <w:b/>
          <w:bCs/>
          <w:color w:val="5C7441" w:themeColor="accent3" w:themeShade="BF"/>
          <w:kern w:val="2"/>
          <w:sz w:val="32"/>
          <w:szCs w:val="32"/>
          <w:lang w:val="en-US" w:eastAsia="zh-CN" w:bidi="ar"/>
        </w:rPr>
      </w:pP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对各镇街道、县直各部门单位政务公开工作开展定期测评考核，进行排名通报，对工作开展不力的单位加大督导力度。聘请第三方评估机构对桓台县各部门政务公开工作完成情况进行评估，并根据评估情况，组织精准培训，推进整改完善，力求在省、市评估中取得优异成绩。</w:t>
      </w:r>
    </w:p>
    <w:p>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pPr>
      <w:r>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t>（四）落实上级工作情况</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2023年桓台县深入学习《山东省人民政府办公厅关于印发2023年山东省政务公开工作要点的通知》、《淄博市人民政府办公室关于印发2023年淄博市政务公开工作方案的通知》部署的工作任务和要求，编制《2023年度桓台县政务公开工作具体实施计划》，完善政府信息发布机制、信息公开保密审查制度，为深化政府信息公开、优化政务服务提供制度保障。下一步，桓台县会更好地发挥以公开促落实、助监督、强监管、防风险作用，努力打造法治政府、服务型政府、效能政府、数字政府、廉洁政府。</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0" w:firstLineChars="200"/>
        <w:jc w:val="both"/>
        <w:textAlignment w:val="auto"/>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0" w:firstLineChars="200"/>
        <w:jc w:val="both"/>
        <w:textAlignment w:val="auto"/>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pPr>
    </w:p>
    <w:sectPr>
      <w:pgSz w:w="11906" w:h="16838"/>
      <w:pgMar w:top="1984" w:right="1474" w:bottom="198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BD5794-836B-492E-A8C7-9B3248FC12E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华文楷体">
    <w:panose1 w:val="02010600040101010101"/>
    <w:charset w:val="86"/>
    <w:family w:val="auto"/>
    <w:pitch w:val="default"/>
    <w:sig w:usb0="00000287" w:usb1="080F0000" w:usb2="00000000" w:usb3="00000000" w:csb0="0004009F" w:csb1="DFD70000"/>
    <w:embedRegular r:id="rId2" w:fontKey="{8CFA0668-3FA8-47BA-9D84-0A3787BEA513}"/>
  </w:font>
  <w:font w:name="仿宋_GB2312">
    <w:panose1 w:val="02010609030101010101"/>
    <w:charset w:val="86"/>
    <w:family w:val="modern"/>
    <w:pitch w:val="default"/>
    <w:sig w:usb0="00000001" w:usb1="080E0000" w:usb2="00000000" w:usb3="00000000" w:csb0="00040000" w:csb1="00000000"/>
    <w:embedRegular r:id="rId3" w:fontKey="{5FEA6461-1CB8-4E84-A348-1D9829014591}"/>
  </w:font>
  <w:font w:name="方正小标宋简体">
    <w:panose1 w:val="03000509000000000000"/>
    <w:charset w:val="86"/>
    <w:family w:val="script"/>
    <w:pitch w:val="default"/>
    <w:sig w:usb0="00000001" w:usb1="080E0000" w:usb2="00000000" w:usb3="00000000" w:csb0="00040000" w:csb1="00000000"/>
    <w:embedRegular r:id="rId4" w:fontKey="{5B3459EA-2DFB-4597-A458-DFE99E90D8B7}"/>
  </w:font>
  <w:font w:name="楷体_GB2312">
    <w:panose1 w:val="02010609030101010101"/>
    <w:charset w:val="86"/>
    <w:family w:val="auto"/>
    <w:pitch w:val="default"/>
    <w:sig w:usb0="00000001" w:usb1="080E0000" w:usb2="00000000" w:usb3="00000000" w:csb0="00040000" w:csb1="00000000"/>
    <w:embedRegular r:id="rId5" w:fontKey="{2E99D900-E652-4873-83EE-1296D0EDBD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3MTA5YWRiZDBiNDAwYTFjNThiZjVlZTRlZWEyZWQifQ=="/>
  </w:docVars>
  <w:rsids>
    <w:rsidRoot w:val="63A07357"/>
    <w:rsid w:val="01C7267B"/>
    <w:rsid w:val="01EE19B6"/>
    <w:rsid w:val="023B4F39"/>
    <w:rsid w:val="02B624D2"/>
    <w:rsid w:val="034E3683"/>
    <w:rsid w:val="03BF4AF2"/>
    <w:rsid w:val="03D3038A"/>
    <w:rsid w:val="03E03B7F"/>
    <w:rsid w:val="04082AD7"/>
    <w:rsid w:val="04370F33"/>
    <w:rsid w:val="043E70F5"/>
    <w:rsid w:val="04455AD9"/>
    <w:rsid w:val="045556A5"/>
    <w:rsid w:val="047D0965"/>
    <w:rsid w:val="05D2339D"/>
    <w:rsid w:val="05D435B9"/>
    <w:rsid w:val="06712DC2"/>
    <w:rsid w:val="06BF06FF"/>
    <w:rsid w:val="06C114B7"/>
    <w:rsid w:val="078D2435"/>
    <w:rsid w:val="0937776C"/>
    <w:rsid w:val="094D0FB9"/>
    <w:rsid w:val="09D27E0F"/>
    <w:rsid w:val="09E87633"/>
    <w:rsid w:val="09FC6C3A"/>
    <w:rsid w:val="0AC51722"/>
    <w:rsid w:val="0AD57BB7"/>
    <w:rsid w:val="0B004B69"/>
    <w:rsid w:val="0C944FF3"/>
    <w:rsid w:val="0CCA745A"/>
    <w:rsid w:val="0D222E5C"/>
    <w:rsid w:val="0DA246BB"/>
    <w:rsid w:val="0EC14C41"/>
    <w:rsid w:val="0ED81C72"/>
    <w:rsid w:val="0F16079E"/>
    <w:rsid w:val="0F1D7D7F"/>
    <w:rsid w:val="0F2A0301"/>
    <w:rsid w:val="0F2F17A5"/>
    <w:rsid w:val="0F355F2C"/>
    <w:rsid w:val="103A7F8B"/>
    <w:rsid w:val="120B0362"/>
    <w:rsid w:val="12951051"/>
    <w:rsid w:val="12AE6B32"/>
    <w:rsid w:val="13C94CE3"/>
    <w:rsid w:val="14BE4B9D"/>
    <w:rsid w:val="15431BC1"/>
    <w:rsid w:val="155C2C5F"/>
    <w:rsid w:val="15A67EF2"/>
    <w:rsid w:val="15D8055B"/>
    <w:rsid w:val="164A6A22"/>
    <w:rsid w:val="176C203A"/>
    <w:rsid w:val="18354417"/>
    <w:rsid w:val="189C6494"/>
    <w:rsid w:val="18E50C46"/>
    <w:rsid w:val="19651B2C"/>
    <w:rsid w:val="199944A6"/>
    <w:rsid w:val="1AF9160D"/>
    <w:rsid w:val="1B304996"/>
    <w:rsid w:val="1C012842"/>
    <w:rsid w:val="1C5B3C94"/>
    <w:rsid w:val="1D4F1A4B"/>
    <w:rsid w:val="1D983C21"/>
    <w:rsid w:val="1FEA5A5B"/>
    <w:rsid w:val="21333432"/>
    <w:rsid w:val="22804455"/>
    <w:rsid w:val="22AE6016"/>
    <w:rsid w:val="23045086"/>
    <w:rsid w:val="234B4A63"/>
    <w:rsid w:val="23C8189F"/>
    <w:rsid w:val="244D0A9B"/>
    <w:rsid w:val="24975A86"/>
    <w:rsid w:val="24D464C7"/>
    <w:rsid w:val="25095901"/>
    <w:rsid w:val="25341526"/>
    <w:rsid w:val="255816B9"/>
    <w:rsid w:val="25923978"/>
    <w:rsid w:val="25DA6B8B"/>
    <w:rsid w:val="25F74A2E"/>
    <w:rsid w:val="260C44AF"/>
    <w:rsid w:val="261B6962"/>
    <w:rsid w:val="275925BC"/>
    <w:rsid w:val="275A1718"/>
    <w:rsid w:val="286E6460"/>
    <w:rsid w:val="28846321"/>
    <w:rsid w:val="28EF40E2"/>
    <w:rsid w:val="298B383A"/>
    <w:rsid w:val="2A757804"/>
    <w:rsid w:val="2AEF3F25"/>
    <w:rsid w:val="2AF43C32"/>
    <w:rsid w:val="2B894C74"/>
    <w:rsid w:val="2B8A00F2"/>
    <w:rsid w:val="2CA70830"/>
    <w:rsid w:val="2DA15ABF"/>
    <w:rsid w:val="2DC7118A"/>
    <w:rsid w:val="2E074505"/>
    <w:rsid w:val="2E47642F"/>
    <w:rsid w:val="2E50690A"/>
    <w:rsid w:val="2E68541B"/>
    <w:rsid w:val="2E9D1D53"/>
    <w:rsid w:val="2EDA313F"/>
    <w:rsid w:val="2F2F5238"/>
    <w:rsid w:val="2F8159E6"/>
    <w:rsid w:val="30BF25EC"/>
    <w:rsid w:val="30E3142E"/>
    <w:rsid w:val="30E341B3"/>
    <w:rsid w:val="32910782"/>
    <w:rsid w:val="32A85615"/>
    <w:rsid w:val="32DC6465"/>
    <w:rsid w:val="332A6417"/>
    <w:rsid w:val="33532B2D"/>
    <w:rsid w:val="33700136"/>
    <w:rsid w:val="33997993"/>
    <w:rsid w:val="33C44B42"/>
    <w:rsid w:val="34146CF2"/>
    <w:rsid w:val="342C61EA"/>
    <w:rsid w:val="34F73C96"/>
    <w:rsid w:val="351F72F4"/>
    <w:rsid w:val="35AA386B"/>
    <w:rsid w:val="379A790F"/>
    <w:rsid w:val="37B564F7"/>
    <w:rsid w:val="37EE37B7"/>
    <w:rsid w:val="380247DE"/>
    <w:rsid w:val="38F8434B"/>
    <w:rsid w:val="3A0E06F6"/>
    <w:rsid w:val="3A2B763C"/>
    <w:rsid w:val="3AB93F41"/>
    <w:rsid w:val="3ACA291E"/>
    <w:rsid w:val="3B374E9C"/>
    <w:rsid w:val="3BC46D08"/>
    <w:rsid w:val="3C470797"/>
    <w:rsid w:val="3C664263"/>
    <w:rsid w:val="3CCA034E"/>
    <w:rsid w:val="3D197528"/>
    <w:rsid w:val="3D7053F0"/>
    <w:rsid w:val="3D87090D"/>
    <w:rsid w:val="3D956E3B"/>
    <w:rsid w:val="3DF5764D"/>
    <w:rsid w:val="3E1A5306"/>
    <w:rsid w:val="3E8D1F7B"/>
    <w:rsid w:val="3EA93780"/>
    <w:rsid w:val="3EBF7C5B"/>
    <w:rsid w:val="3EC85FF7"/>
    <w:rsid w:val="3EED2C60"/>
    <w:rsid w:val="3F465FE6"/>
    <w:rsid w:val="3F516B05"/>
    <w:rsid w:val="3F663E5C"/>
    <w:rsid w:val="3F8C3FE1"/>
    <w:rsid w:val="3FF531DE"/>
    <w:rsid w:val="403326AF"/>
    <w:rsid w:val="403C77B5"/>
    <w:rsid w:val="40F844F6"/>
    <w:rsid w:val="414D154E"/>
    <w:rsid w:val="416100B8"/>
    <w:rsid w:val="41821120"/>
    <w:rsid w:val="41E012DE"/>
    <w:rsid w:val="422F6EA6"/>
    <w:rsid w:val="4233451A"/>
    <w:rsid w:val="44CE0BF8"/>
    <w:rsid w:val="453D1B42"/>
    <w:rsid w:val="45482405"/>
    <w:rsid w:val="45A56EFC"/>
    <w:rsid w:val="45CF7850"/>
    <w:rsid w:val="45FA4F77"/>
    <w:rsid w:val="463D4287"/>
    <w:rsid w:val="467861F1"/>
    <w:rsid w:val="471A2B65"/>
    <w:rsid w:val="472A469E"/>
    <w:rsid w:val="476C23AC"/>
    <w:rsid w:val="476F512D"/>
    <w:rsid w:val="47ED762A"/>
    <w:rsid w:val="48794884"/>
    <w:rsid w:val="493D634C"/>
    <w:rsid w:val="49956188"/>
    <w:rsid w:val="4A3F094B"/>
    <w:rsid w:val="4C83666B"/>
    <w:rsid w:val="4CC41E4C"/>
    <w:rsid w:val="4CDF3A93"/>
    <w:rsid w:val="4CFE0737"/>
    <w:rsid w:val="4D757384"/>
    <w:rsid w:val="4DBC35DF"/>
    <w:rsid w:val="4EE44050"/>
    <w:rsid w:val="4F150749"/>
    <w:rsid w:val="4FFA5C44"/>
    <w:rsid w:val="51D42B70"/>
    <w:rsid w:val="52927CA3"/>
    <w:rsid w:val="52D60307"/>
    <w:rsid w:val="52EE3694"/>
    <w:rsid w:val="52F774EF"/>
    <w:rsid w:val="53C658BC"/>
    <w:rsid w:val="54567148"/>
    <w:rsid w:val="54574EB4"/>
    <w:rsid w:val="54656608"/>
    <w:rsid w:val="54F63F7F"/>
    <w:rsid w:val="56A1405A"/>
    <w:rsid w:val="56A1664E"/>
    <w:rsid w:val="58A106A5"/>
    <w:rsid w:val="58AC2AE5"/>
    <w:rsid w:val="58DA28C8"/>
    <w:rsid w:val="59417658"/>
    <w:rsid w:val="59F14D15"/>
    <w:rsid w:val="5A1B7FE4"/>
    <w:rsid w:val="5AE76118"/>
    <w:rsid w:val="5AEB3E5A"/>
    <w:rsid w:val="5B01542B"/>
    <w:rsid w:val="5B9718EC"/>
    <w:rsid w:val="5C8A31FF"/>
    <w:rsid w:val="5CC65D22"/>
    <w:rsid w:val="5D1D6FA5"/>
    <w:rsid w:val="5D2C5437"/>
    <w:rsid w:val="5D3F223B"/>
    <w:rsid w:val="5D444541"/>
    <w:rsid w:val="5D900CE9"/>
    <w:rsid w:val="5EB427B5"/>
    <w:rsid w:val="5F88611B"/>
    <w:rsid w:val="5FC672DE"/>
    <w:rsid w:val="6043001A"/>
    <w:rsid w:val="6138591F"/>
    <w:rsid w:val="61C947C9"/>
    <w:rsid w:val="621A6DD3"/>
    <w:rsid w:val="62215D78"/>
    <w:rsid w:val="62522A10"/>
    <w:rsid w:val="62774225"/>
    <w:rsid w:val="6299063F"/>
    <w:rsid w:val="63534C92"/>
    <w:rsid w:val="63A07357"/>
    <w:rsid w:val="65110961"/>
    <w:rsid w:val="655B0E08"/>
    <w:rsid w:val="65FB3538"/>
    <w:rsid w:val="66391F1D"/>
    <w:rsid w:val="67117D0E"/>
    <w:rsid w:val="672E57FA"/>
    <w:rsid w:val="67FE4053"/>
    <w:rsid w:val="68637452"/>
    <w:rsid w:val="69085BD7"/>
    <w:rsid w:val="691915FF"/>
    <w:rsid w:val="69BD6476"/>
    <w:rsid w:val="6A2353BE"/>
    <w:rsid w:val="6A7B25F3"/>
    <w:rsid w:val="6ACD7EEF"/>
    <w:rsid w:val="6AE10EF8"/>
    <w:rsid w:val="6AF44665"/>
    <w:rsid w:val="6B0F2989"/>
    <w:rsid w:val="6BFB338F"/>
    <w:rsid w:val="6C044773"/>
    <w:rsid w:val="6CA36342"/>
    <w:rsid w:val="6D3B5601"/>
    <w:rsid w:val="6D6830E8"/>
    <w:rsid w:val="6E865F1C"/>
    <w:rsid w:val="6F9B77A5"/>
    <w:rsid w:val="70471E15"/>
    <w:rsid w:val="707D334E"/>
    <w:rsid w:val="711E05E4"/>
    <w:rsid w:val="71926F05"/>
    <w:rsid w:val="720A4F88"/>
    <w:rsid w:val="72682F2D"/>
    <w:rsid w:val="728F1117"/>
    <w:rsid w:val="733F6699"/>
    <w:rsid w:val="736B1B84"/>
    <w:rsid w:val="73AD43B3"/>
    <w:rsid w:val="74190B45"/>
    <w:rsid w:val="7457013A"/>
    <w:rsid w:val="74FD5C7E"/>
    <w:rsid w:val="75734D20"/>
    <w:rsid w:val="758F5EBE"/>
    <w:rsid w:val="75970A0E"/>
    <w:rsid w:val="76235D60"/>
    <w:rsid w:val="764C0BFF"/>
    <w:rsid w:val="76A213A7"/>
    <w:rsid w:val="77291B3A"/>
    <w:rsid w:val="77316C41"/>
    <w:rsid w:val="7762504C"/>
    <w:rsid w:val="786545B0"/>
    <w:rsid w:val="78B13B95"/>
    <w:rsid w:val="78B47B29"/>
    <w:rsid w:val="78E51A91"/>
    <w:rsid w:val="79786DA9"/>
    <w:rsid w:val="79EB2A0E"/>
    <w:rsid w:val="7A652F2A"/>
    <w:rsid w:val="7A6D520E"/>
    <w:rsid w:val="7ADCB567"/>
    <w:rsid w:val="7AE0665C"/>
    <w:rsid w:val="7B0604A9"/>
    <w:rsid w:val="7BBA7205"/>
    <w:rsid w:val="7C701FB9"/>
    <w:rsid w:val="7D7A3FAE"/>
    <w:rsid w:val="7E5F6E9E"/>
    <w:rsid w:val="7F631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1">
    <w:name w:val="Default Paragraph Font"/>
    <w:autoRedefine/>
    <w:semiHidden/>
    <w:qFormat/>
    <w:uiPriority w:val="0"/>
  </w:style>
  <w:style w:type="table" w:default="1" w:styleId="10">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autoRedefine/>
    <w:qFormat/>
    <w:uiPriority w:val="1"/>
    <w:rPr>
      <w:rFonts w:ascii="仿宋_GB2312" w:hAnsi="仿宋_GB2312" w:eastAsia="仿宋_GB2312" w:cs="仿宋_GB2312"/>
      <w:sz w:val="32"/>
      <w:szCs w:val="32"/>
      <w:lang w:val="zh-CN" w:eastAsia="zh-CN" w:bidi="zh-CN"/>
    </w:rPr>
  </w:style>
  <w:style w:type="paragraph" w:styleId="3">
    <w:name w:val="index 7"/>
    <w:basedOn w:val="1"/>
    <w:next w:val="1"/>
    <w:autoRedefine/>
    <w:unhideWhenUsed/>
    <w:qFormat/>
    <w:uiPriority w:val="99"/>
    <w:pPr>
      <w:ind w:left="1200" w:leftChars="1200"/>
    </w:pPr>
  </w:style>
  <w:style w:type="paragraph" w:styleId="6">
    <w:name w:val="Normal Indent"/>
    <w:basedOn w:val="1"/>
    <w:autoRedefine/>
    <w:qFormat/>
    <w:uiPriority w:val="99"/>
    <w:pPr>
      <w:ind w:firstLine="420" w:firstLineChars="200"/>
    </w:pPr>
  </w:style>
  <w:style w:type="paragraph" w:styleId="7">
    <w:name w:val="Body Text Indent"/>
    <w:basedOn w:val="1"/>
    <w:next w:val="6"/>
    <w:autoRedefine/>
    <w:qFormat/>
    <w:uiPriority w:val="99"/>
    <w:pPr>
      <w:spacing w:after="120"/>
      <w:ind w:left="420" w:leftChars="200"/>
    </w:p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7"/>
    <w:autoRedefine/>
    <w:qFormat/>
    <w:uiPriority w:val="0"/>
    <w:pPr>
      <w:ind w:firstLine="420" w:firstLineChars="200"/>
    </w:pPr>
  </w:style>
  <w:style w:type="character" w:styleId="12">
    <w:name w:val="Strong"/>
    <w:basedOn w:val="11"/>
    <w:autoRedefine/>
    <w:qFormat/>
    <w:uiPriority w:val="0"/>
    <w:rPr>
      <w:b/>
      <w:bCs/>
    </w:rPr>
  </w:style>
  <w:style w:type="character" w:styleId="13">
    <w:name w:val="FollowedHyperlink"/>
    <w:basedOn w:val="11"/>
    <w:autoRedefine/>
    <w:qFormat/>
    <w:uiPriority w:val="0"/>
    <w:rPr>
      <w:color w:val="800080"/>
      <w:u w:val="none"/>
    </w:rPr>
  </w:style>
  <w:style w:type="character" w:styleId="14">
    <w:name w:val="Emphasis"/>
    <w:basedOn w:val="11"/>
    <w:autoRedefine/>
    <w:qFormat/>
    <w:uiPriority w:val="0"/>
    <w:rPr>
      <w:b/>
      <w:bCs/>
    </w:rPr>
  </w:style>
  <w:style w:type="character" w:styleId="15">
    <w:name w:val="HTML Definition"/>
    <w:basedOn w:val="11"/>
    <w:autoRedefine/>
    <w:qFormat/>
    <w:uiPriority w:val="0"/>
  </w:style>
  <w:style w:type="character" w:styleId="16">
    <w:name w:val="HTML Variable"/>
    <w:basedOn w:val="11"/>
    <w:autoRedefine/>
    <w:qFormat/>
    <w:uiPriority w:val="0"/>
  </w:style>
  <w:style w:type="character" w:styleId="17">
    <w:name w:val="Hyperlink"/>
    <w:basedOn w:val="11"/>
    <w:autoRedefine/>
    <w:qFormat/>
    <w:uiPriority w:val="0"/>
    <w:rPr>
      <w:color w:val="0000FF"/>
      <w:u w:val="single"/>
    </w:rPr>
  </w:style>
  <w:style w:type="character" w:styleId="18">
    <w:name w:val="HTML Code"/>
    <w:basedOn w:val="11"/>
    <w:autoRedefine/>
    <w:qFormat/>
    <w:uiPriority w:val="0"/>
    <w:rPr>
      <w:rFonts w:ascii="Courier New" w:hAnsi="Courier New"/>
      <w:sz w:val="20"/>
    </w:rPr>
  </w:style>
  <w:style w:type="character" w:styleId="19">
    <w:name w:val="HTML Cite"/>
    <w:basedOn w:val="11"/>
    <w:autoRedefine/>
    <w:qFormat/>
    <w:uiPriority w:val="0"/>
  </w:style>
  <w:style w:type="character" w:styleId="20">
    <w:name w:val="HTML Keyboard"/>
    <w:basedOn w:val="11"/>
    <w:autoRedefine/>
    <w:qFormat/>
    <w:uiPriority w:val="0"/>
    <w:rPr>
      <w:rFonts w:ascii="Courier New" w:hAnsi="Courier New"/>
      <w:sz w:val="20"/>
    </w:rPr>
  </w:style>
  <w:style w:type="character" w:styleId="21">
    <w:name w:val="HTML Sample"/>
    <w:basedOn w:val="11"/>
    <w:autoRedefine/>
    <w:qFormat/>
    <w:uiPriority w:val="0"/>
    <w:rPr>
      <w:rFonts w:ascii="Courier New" w:hAnsi="Courier New"/>
    </w:rPr>
  </w:style>
  <w:style w:type="paragraph" w:customStyle="1" w:styleId="22">
    <w:name w:val="正文 New"/>
    <w:autoRedefine/>
    <w:qFormat/>
    <w:uiPriority w:val="0"/>
    <w:pPr>
      <w:widowControl w:val="0"/>
      <w:jc w:val="both"/>
    </w:pPr>
    <w:rPr>
      <w:rFonts w:ascii="Times New Roman" w:hAnsi="Times New Roman" w:eastAsia="宋体" w:cstheme="minorBidi"/>
      <w:kern w:val="2"/>
      <w:sz w:val="21"/>
      <w:lang w:val="en-US" w:eastAsia="zh-CN"/>
    </w:rPr>
  </w:style>
  <w:style w:type="character" w:customStyle="1" w:styleId="23">
    <w:name w:val="hover8"/>
    <w:basedOn w:val="11"/>
    <w:autoRedefine/>
    <w:qFormat/>
    <w:uiPriority w:val="0"/>
    <w:rPr>
      <w:color w:val="245399"/>
    </w:rPr>
  </w:style>
  <w:style w:type="character" w:customStyle="1" w:styleId="24">
    <w:name w:val="hover9"/>
    <w:basedOn w:val="11"/>
    <w:autoRedefine/>
    <w:qFormat/>
    <w:uiPriority w:val="0"/>
    <w:rPr>
      <w:color w:val="245399"/>
    </w:rPr>
  </w:style>
  <w:style w:type="character" w:customStyle="1" w:styleId="25">
    <w:name w:val="hover10"/>
    <w:basedOn w:val="11"/>
    <w:autoRedefine/>
    <w:qFormat/>
    <w:uiPriority w:val="0"/>
    <w:rPr>
      <w:color w:val="FFFFFF"/>
    </w:rPr>
  </w:style>
  <w:style w:type="character" w:customStyle="1" w:styleId="26">
    <w:name w:val="hover11"/>
    <w:basedOn w:val="11"/>
    <w:autoRedefine/>
    <w:qFormat/>
    <w:uiPriority w:val="0"/>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龙腾四海">
  <a:themeElements>
    <a:clrScheme name="Dragon">
      <a:dk1>
        <a:sysClr val="windowText" lastClr="000000"/>
      </a:dk1>
      <a:lt1>
        <a:sysClr val="window" lastClr="FFFFFF"/>
      </a:lt1>
      <a:dk2>
        <a:srgbClr val="001B36"/>
      </a:dk2>
      <a:lt2>
        <a:srgbClr val="EDF8FE"/>
      </a:lt2>
      <a:accent1>
        <a:srgbClr val="477AB1"/>
      </a:accent1>
      <a:accent2>
        <a:srgbClr val="51848E"/>
      </a:accent2>
      <a:accent3>
        <a:srgbClr val="7B9B57"/>
      </a:accent3>
      <a:accent4>
        <a:srgbClr val="8B8D8C"/>
      </a:accent4>
      <a:accent5>
        <a:srgbClr val="8B7396"/>
      </a:accent5>
      <a:accent6>
        <a:srgbClr val="E89A53"/>
      </a:accent6>
      <a:hlink>
        <a:srgbClr val="0080FF"/>
      </a:hlink>
      <a:folHlink>
        <a:srgbClr val="FF00FF"/>
      </a:folHlink>
    </a:clrScheme>
    <a:fontScheme name="Dragon">
      <a:majorFont>
        <a:latin typeface="Maiandra GD"/>
        <a:ea typeface=""/>
        <a:cs typeface=""/>
        <a:font script="CYRL" typeface="Times New Roman"/>
        <a:font script="GREK" typeface="Times New Roman"/>
        <a:font script="Jpan" typeface="ＭＳ Ｐゴシック"/>
        <a:font script="Hang" typeface="HY중고딕"/>
        <a:font script="Hans" typeface="隶书"/>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mbria"/>
        <a:ea typeface=""/>
        <a:cs typeface=""/>
        <a:font script="Jpan" typeface="ＭＳ Ｐ明朝"/>
        <a:font script="Hang" typeface="HY견명조"/>
        <a:font script="Hans" typeface="华文楷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3958</Words>
  <Characters>4194</Characters>
  <Lines>0</Lines>
  <Paragraphs>0</Paragraphs>
  <TotalTime>14</TotalTime>
  <ScaleCrop>false</ScaleCrop>
  <LinksUpToDate>false</LinksUpToDate>
  <CharactersWithSpaces>4197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2019-12-12T20:44:00Z</dcterms:created>
  <dc:creator>咕咕</dc:creator>
  <cp:lastModifiedBy>阿伟</cp:lastModifiedBy>
  <cp:lastPrinted>2024-02-08T07:05:00Z</cp:lastPrinted>
  <dcterms:modified xsi:type="dcterms:W3CDTF">2024-02-08T09:06:41Z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B730275B516947CE9B8178D4C1183A6E_13</vt:lpwstr>
  </property>
</Properties>
</file>