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color w:val="000000"/>
          <w:sz w:val="44"/>
          <w:szCs w:val="44"/>
          <w:lang w:val="en-US" w:eastAsia="zh-CN"/>
        </w:rPr>
      </w:pPr>
      <w:r>
        <w:rPr>
          <w:rFonts w:hint="eastAsia" w:ascii="Times New Roman" w:hAnsi="Times New Roman" w:eastAsia="方正小标宋简体" w:cs="Times New Roman"/>
          <w:color w:val="000000"/>
          <w:sz w:val="44"/>
          <w:szCs w:val="44"/>
          <w:lang w:val="en-US" w:eastAsia="zh-CN"/>
        </w:rPr>
        <w:t>桓台县人民政府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color w:val="000000"/>
          <w:sz w:val="44"/>
          <w:szCs w:val="44"/>
          <w:lang w:val="en-US" w:eastAsia="zh-CN"/>
        </w:rPr>
      </w:pPr>
      <w:r>
        <w:rPr>
          <w:rFonts w:hint="eastAsia" w:ascii="Times New Roman" w:hAnsi="Times New Roman" w:eastAsia="方正小标宋简体" w:cs="Times New Roman"/>
          <w:color w:val="000000"/>
          <w:sz w:val="44"/>
          <w:szCs w:val="44"/>
          <w:lang w:val="en-US" w:eastAsia="zh-CN"/>
        </w:rPr>
        <w:t>2023年度政府信息公开工作年度报告</w:t>
      </w:r>
    </w:p>
    <w:p>
      <w:pPr>
        <w:pStyle w:val="9"/>
        <w:rPr>
          <w:rFonts w:hint="eastAsia"/>
          <w:lang w:val="en-US" w:eastAsia="zh-CN"/>
        </w:rPr>
      </w:pP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本年度报告根据《中华人民共和国政府信息公开条例》（国务院令第711号）规定以及《国务院办公厅政府信息与政务公开办公室关于印发〈中华人民共和国政府信息公开工作年度报告格式〉的通知》（国办公开办函〔2021〕30号）的要求编制。全文包括总体情况、主动公开政府信息情况、收到和处理政府信息公开申请情况、政府信息公开行政复议和行政诉讼情况、政府信息公开工作存在的主要问题及改进情况，以及其他需要报告的事项。本报告中所列数据的统计期限为2023年1月1日——2023年12月31日。本报告的电子版可在桓台县人民政府网站信息公开页面公开年报栏下载（http://www.huantai.gov.cn/）。如对本年度报告有疑问，请与桓台县人民政府办公室联系（通信地址：桓台县中心大街766号；邮政编码：256400；联系电话：0533-8180102；电子邮箱：htxzfbgs@zb.shandong.cn）。</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t>一、总体情况</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2023年桓台县人民政府坚持以习近平新时代中国特色社会主义思想为指导，深入学习贯彻党的二十大精神，坚持围绕中心、服务大局，持续提升政务公开标准化、规范化和信息化水平，</w:t>
      </w:r>
      <w:r>
        <w:rPr>
          <w:rFonts w:hint="eastAsia" w:ascii="Times New Roman" w:hAnsi="Times New Roman" w:eastAsia="仿宋_GB2312" w:cs="仿宋_GB2312"/>
          <w:i w:val="0"/>
          <w:iCs w:val="0"/>
          <w:caps w:val="0"/>
          <w:spacing w:val="7"/>
          <w:sz w:val="32"/>
          <w:szCs w:val="32"/>
          <w:shd w:val="clear" w:color="auto" w:fill="FFFFFF"/>
        </w:rPr>
        <w:t>将政务公开与经济</w:t>
      </w:r>
      <w:r>
        <w:rPr>
          <w:rFonts w:hint="eastAsia" w:ascii="Times New Roman" w:hAnsi="Times New Roman" w:eastAsia="仿宋_GB2312" w:cs="仿宋_GB2312"/>
          <w:i w:val="0"/>
          <w:iCs w:val="0"/>
          <w:caps w:val="0"/>
          <w:spacing w:val="7"/>
          <w:sz w:val="32"/>
          <w:szCs w:val="32"/>
          <w:shd w:val="clear" w:color="auto" w:fill="FFFFFF"/>
          <w:lang w:eastAsia="zh-CN"/>
        </w:rPr>
        <w:t>社会</w:t>
      </w:r>
      <w:r>
        <w:rPr>
          <w:rFonts w:hint="eastAsia" w:ascii="Times New Roman" w:hAnsi="Times New Roman" w:eastAsia="仿宋_GB2312" w:cs="仿宋_GB2312"/>
          <w:i w:val="0"/>
          <w:iCs w:val="0"/>
          <w:caps w:val="0"/>
          <w:spacing w:val="7"/>
          <w:sz w:val="32"/>
          <w:szCs w:val="32"/>
          <w:shd w:val="clear" w:color="auto" w:fill="FFFFFF"/>
        </w:rPr>
        <w:t>发展相结合，围绕</w:t>
      </w:r>
      <w:r>
        <w:rPr>
          <w:rFonts w:hint="eastAsia" w:ascii="Times New Roman" w:hAnsi="Times New Roman" w:eastAsia="仿宋_GB2312" w:cs="仿宋_GB2312"/>
          <w:i w:val="0"/>
          <w:iCs w:val="0"/>
          <w:caps w:val="0"/>
          <w:spacing w:val="7"/>
          <w:sz w:val="32"/>
          <w:szCs w:val="32"/>
          <w:shd w:val="clear" w:color="auto" w:fill="FFFFFF"/>
          <w:lang w:eastAsia="zh-CN"/>
        </w:rPr>
        <w:t>政策宣传</w:t>
      </w:r>
      <w:r>
        <w:rPr>
          <w:rFonts w:hint="eastAsia" w:ascii="Times New Roman" w:hAnsi="Times New Roman" w:eastAsia="仿宋_GB2312" w:cs="仿宋_GB2312"/>
          <w:i w:val="0"/>
          <w:iCs w:val="0"/>
          <w:caps w:val="0"/>
          <w:spacing w:val="7"/>
          <w:sz w:val="32"/>
          <w:szCs w:val="32"/>
          <w:shd w:val="clear" w:color="auto" w:fill="FFFFFF"/>
        </w:rPr>
        <w:t>、平台建设、优化</w:t>
      </w:r>
      <w:r>
        <w:rPr>
          <w:rFonts w:hint="eastAsia" w:ascii="Times New Roman" w:hAnsi="Times New Roman" w:eastAsia="仿宋_GB2312" w:cs="仿宋_GB2312"/>
          <w:i w:val="0"/>
          <w:iCs w:val="0"/>
          <w:caps w:val="0"/>
          <w:spacing w:val="7"/>
          <w:sz w:val="32"/>
          <w:szCs w:val="32"/>
          <w:shd w:val="clear" w:color="auto" w:fill="FFFFFF"/>
          <w:lang w:eastAsia="zh-CN"/>
        </w:rPr>
        <w:t>政务</w:t>
      </w:r>
      <w:r>
        <w:rPr>
          <w:rFonts w:hint="eastAsia" w:ascii="Times New Roman" w:hAnsi="Times New Roman" w:eastAsia="仿宋_GB2312" w:cs="仿宋_GB2312"/>
          <w:i w:val="0"/>
          <w:iCs w:val="0"/>
          <w:caps w:val="0"/>
          <w:spacing w:val="7"/>
          <w:sz w:val="32"/>
          <w:szCs w:val="32"/>
          <w:shd w:val="clear" w:color="auto" w:fill="FFFFFF"/>
        </w:rPr>
        <w:t>服务等领域，不断加强政务公开</w:t>
      </w:r>
      <w:r>
        <w:rPr>
          <w:rFonts w:hint="eastAsia" w:ascii="Times New Roman" w:hAnsi="Times New Roman" w:eastAsia="仿宋_GB2312" w:cs="仿宋_GB2312"/>
          <w:i w:val="0"/>
          <w:iCs w:val="0"/>
          <w:caps w:val="0"/>
          <w:spacing w:val="7"/>
          <w:sz w:val="32"/>
          <w:szCs w:val="32"/>
          <w:shd w:val="clear" w:color="auto" w:fill="FFFFFF"/>
          <w:lang w:eastAsia="zh-CN"/>
        </w:rPr>
        <w:t>工作</w:t>
      </w:r>
      <w:r>
        <w:rPr>
          <w:rFonts w:hint="eastAsia" w:ascii="Times New Roman" w:hAnsi="Times New Roman" w:eastAsia="仿宋_GB2312" w:cs="仿宋_GB2312"/>
          <w:i w:val="0"/>
          <w:iCs w:val="0"/>
          <w:caps w:val="0"/>
          <w:spacing w:val="7"/>
          <w:sz w:val="32"/>
          <w:szCs w:val="32"/>
          <w:shd w:val="clear" w:color="auto" w:fill="FFFFFF"/>
        </w:rPr>
        <w:t>规范化、透明化，以高水平政务公开</w:t>
      </w:r>
      <w:r>
        <w:rPr>
          <w:rFonts w:hint="eastAsia" w:ascii="Times New Roman" w:hAnsi="Times New Roman" w:eastAsia="仿宋_GB2312" w:cs="仿宋_GB2312"/>
          <w:i w:val="0"/>
          <w:iCs w:val="0"/>
          <w:caps w:val="0"/>
          <w:spacing w:val="7"/>
          <w:sz w:val="32"/>
          <w:szCs w:val="32"/>
          <w:shd w:val="clear" w:color="auto" w:fill="FFFFFF"/>
          <w:lang w:eastAsia="zh-CN"/>
        </w:rPr>
        <w:t>工作</w:t>
      </w:r>
      <w:r>
        <w:rPr>
          <w:rFonts w:hint="eastAsia" w:ascii="Times New Roman" w:hAnsi="Times New Roman" w:eastAsia="仿宋_GB2312" w:cs="仿宋_GB2312"/>
          <w:i w:val="0"/>
          <w:iCs w:val="0"/>
          <w:caps w:val="0"/>
          <w:spacing w:val="7"/>
          <w:sz w:val="32"/>
          <w:szCs w:val="32"/>
          <w:shd w:val="clear" w:color="auto" w:fill="FFFFFF"/>
        </w:rPr>
        <w:t>助力营商环境优化提升。</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firstLine="643" w:firstLineChars="200"/>
        <w:jc w:val="both"/>
        <w:textAlignment w:val="auto"/>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（一）主动公开方面</w:t>
      </w:r>
    </w:p>
    <w:p>
      <w:pPr>
        <w:keepNext w:val="0"/>
        <w:keepLines w:val="0"/>
        <w:pageBreakBefore w:val="0"/>
        <w:widowControl/>
        <w:suppressLineNumbers w:val="0"/>
        <w:kinsoku/>
        <w:overflowPunct/>
        <w:topLinePunct w:val="0"/>
        <w:autoSpaceDN/>
        <w:bidi w:val="0"/>
        <w:adjustRightInd/>
        <w:snapToGrid/>
        <w:spacing w:line="560" w:lineRule="exact"/>
        <w:ind w:firstLine="643"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t>1.优化主动公开内容。</w:t>
      </w: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2023年桓台县通过政府网站主动公开政府信息共5708条，其中政策文件96条，县政府人事任免文件9件。全年共编发政府公报12期。回应公众关注热点和舆情3次，开展调查征集3期。</w:t>
      </w:r>
    </w:p>
    <w:p>
      <w:pPr>
        <w:pStyle w:val="9"/>
        <w:ind w:left="0" w:leftChars="0" w:firstLine="0" w:firstLineChars="0"/>
        <w:jc w:val="center"/>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5259705" cy="2891155"/>
            <wp:effectExtent l="0" t="0" r="13335" b="0"/>
            <wp:docPr id="1" name="图片 1" descr="2023年桓台县政府网站信息更新数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年桓台县政府网站信息更新数量"/>
                    <pic:cNvPicPr>
                      <a:picLocks noChangeAspect="1"/>
                    </pic:cNvPicPr>
                  </pic:nvPicPr>
                  <pic:blipFill>
                    <a:blip r:embed="rId4"/>
                    <a:stretch>
                      <a:fillRect/>
                    </a:stretch>
                  </pic:blipFill>
                  <pic:spPr>
                    <a:xfrm>
                      <a:off x="0" y="0"/>
                      <a:ext cx="5259705" cy="2891155"/>
                    </a:xfrm>
                    <a:prstGeom prst="rect">
                      <a:avLst/>
                    </a:prstGeom>
                  </pic:spPr>
                </pic:pic>
              </a:graphicData>
            </a:graphic>
          </wp:inline>
        </w:drawing>
      </w:r>
    </w:p>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right="0" w:rightChars="0" w:firstLine="643"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t>2.创新政策宣传形式。</w:t>
      </w: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桓台县围绕激发市场活力、绿色转型、稳就业保就业和社会事业等方面，合理选择解读形式，讲明讲透政策内涵。2023年桓台县通过动漫、图片、音视频等多形式以及领导、媒体、专家、简明问答等多角度，发布政策解读71篇，会议图解21篇，新闻报道21篇，议题解读37篇。</w:t>
      </w:r>
    </w:p>
    <w:p>
      <w:pPr>
        <w:pStyle w:val="9"/>
        <w:numPr>
          <w:ilvl w:val="0"/>
          <w:numId w:val="0"/>
        </w:numPr>
        <w:jc w:val="center"/>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4728210" cy="2760980"/>
            <wp:effectExtent l="0" t="0" r="11430" b="12700"/>
            <wp:docPr id="11" name="图片 11" descr="2023年度桓台县政策解读发布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3年度桓台县政策解读发布情况"/>
                    <pic:cNvPicPr>
                      <a:picLocks noChangeAspect="1"/>
                    </pic:cNvPicPr>
                  </pic:nvPicPr>
                  <pic:blipFill>
                    <a:blip r:embed="rId5"/>
                    <a:stretch>
                      <a:fillRect/>
                    </a:stretch>
                  </pic:blipFill>
                  <pic:spPr>
                    <a:xfrm>
                      <a:off x="0" y="0"/>
                      <a:ext cx="4728210" cy="2760980"/>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t>3.积极回应社会关切。</w:t>
      </w: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2023年县政府共召开全体会议2次，常务会议20次，邀请利益相关方、公众代表、专家、媒体、法律顾问等列席会议20次。县政府市民投诉中心共办结市 12345政务服务便民热线转办工单100003件，服务过程满意率99.07%，全口径办理结果满意率 91.57%。</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t>4.深化重点信息公开。</w:t>
      </w: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桓台县聚焦财政信息、扩大有效投资、重点民生、社会保障、公共资源配置等重点领域，突出专题设置并在政务公开首页开设专栏集中展示。2023年桓台县主动公开财政信息238条；扩大有效投资信息42条；重点民生、社会保障、公共资源配置等信息792条。</w:t>
      </w:r>
    </w:p>
    <w:p>
      <w:pPr>
        <w:pStyle w:val="9"/>
        <w:ind w:left="0" w:leftChars="0" w:firstLine="0" w:firstLineChars="0"/>
        <w:jc w:val="both"/>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5697220" cy="2350770"/>
            <wp:effectExtent l="0" t="0" r="2540" b="11430"/>
            <wp:docPr id="12" name="图片 12" descr="重点领域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点领域信息"/>
                    <pic:cNvPicPr>
                      <a:picLocks noChangeAspect="1"/>
                    </pic:cNvPicPr>
                  </pic:nvPicPr>
                  <pic:blipFill>
                    <a:blip r:embed="rId6"/>
                    <a:stretch>
                      <a:fillRect/>
                    </a:stretch>
                  </pic:blipFill>
                  <pic:spPr>
                    <a:xfrm>
                      <a:off x="0" y="0"/>
                      <a:ext cx="5697220" cy="2350770"/>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firstLine="643" w:firstLineChars="200"/>
        <w:jc w:val="both"/>
        <w:textAlignment w:val="auto"/>
        <w:rPr>
          <w:rFonts w:hint="eastAsia" w:ascii="楷体_GB2312" w:hAnsi="楷体_GB2312" w:eastAsia="楷体_GB2312" w:cs="楷体_GB2312"/>
          <w:b/>
          <w:bCs/>
          <w:kern w:val="0"/>
          <w:sz w:val="32"/>
          <w:szCs w:val="32"/>
          <w:lang w:val="en-US" w:eastAsia="zh-CN" w:bidi="ar"/>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（二）</w:t>
      </w:r>
      <w:r>
        <w:rPr>
          <w:rFonts w:hint="eastAsia" w:ascii="楷体_GB2312" w:hAnsi="楷体_GB2312" w:eastAsia="楷体_GB2312" w:cs="楷体_GB2312"/>
          <w:b/>
          <w:bCs/>
          <w:kern w:val="0"/>
          <w:sz w:val="32"/>
          <w:szCs w:val="32"/>
          <w:lang w:val="en-US" w:eastAsia="zh-CN" w:bidi="ar"/>
        </w:rPr>
        <w:t>依申请公开工作方面</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桓台县在依申请公开工作中强化服务理念，加强与申请人的沟通，准确了解申请人诉求，提高答复的及时性和针对性。</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240" w:lineRule="auto"/>
        <w:ind w:right="0"/>
        <w:jc w:val="center"/>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drawing>
          <wp:inline distT="0" distB="0" distL="114300" distR="114300">
            <wp:extent cx="5260975" cy="2914015"/>
            <wp:effectExtent l="0" t="0" r="15875" b="635"/>
            <wp:docPr id="9" name="图片 9" descr="历年桓台县政府公开信息申请数量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历年桓台县政府公开信息申请数量分析"/>
                    <pic:cNvPicPr>
                      <a:picLocks noChangeAspect="1"/>
                    </pic:cNvPicPr>
                  </pic:nvPicPr>
                  <pic:blipFill>
                    <a:blip r:embed="rId7"/>
                    <a:stretch>
                      <a:fillRect/>
                    </a:stretch>
                  </pic:blipFill>
                  <pic:spPr>
                    <a:xfrm>
                      <a:off x="0" y="0"/>
                      <a:ext cx="5260975" cy="2914015"/>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bCs/>
          <w:color w:val="5C7441" w:themeColor="accent3" w:themeShade="BF"/>
          <w:kern w:val="2"/>
          <w:sz w:val="32"/>
          <w:szCs w:val="32"/>
          <w:lang w:val="en-US" w:eastAsia="zh-CN" w:bidi="ar"/>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2023年，桓台县共收到政府信息公开申请67件，申请数量同比减少28.72%；本年度共办结65件，结转下年度继续办理2件。其中，予以公开及部分公开38件，占40.01%；不予公开7件，占10.76%；无法提供14件，占21.53%；不予处理4件，占6.15%；其他2件，占3.08%。申请内容主要集中在集体土地征收、土地补偿安置等领域。行政复议5件，均获维持；</w:t>
      </w:r>
      <w:bookmarkStart w:id="0" w:name="_GoBack"/>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行政诉讼</w:t>
      </w:r>
      <w:bookmarkEnd w:id="0"/>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尚未审结2件。</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240" w:lineRule="auto"/>
        <w:ind w:right="0"/>
        <w:jc w:val="center"/>
        <w:textAlignment w:val="auto"/>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drawing>
          <wp:inline distT="0" distB="0" distL="114300" distR="114300">
            <wp:extent cx="5320030" cy="3112770"/>
            <wp:effectExtent l="0" t="0" r="13970" b="11430"/>
            <wp:docPr id="13" name="图片 13" descr="2023年度桓台县政府信息公开申请办理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3年度桓台县政府信息公开申请办理结果"/>
                    <pic:cNvPicPr>
                      <a:picLocks noChangeAspect="1"/>
                    </pic:cNvPicPr>
                  </pic:nvPicPr>
                  <pic:blipFill>
                    <a:blip r:embed="rId8"/>
                    <a:stretch>
                      <a:fillRect/>
                    </a:stretch>
                  </pic:blipFill>
                  <pic:spPr>
                    <a:xfrm>
                      <a:off x="0" y="0"/>
                      <a:ext cx="5320030" cy="3112770"/>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（三）政府信息管理方面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建设政府信息公开专栏，确保法定主动公开内容规范发布。加强主动公开基本目录动态管理，并实时调整更新。</w:t>
      </w:r>
      <w:r>
        <w:rPr>
          <w:rFonts w:hint="eastAsia" w:ascii="Times New Roman" w:hAnsi="Times New Roman" w:eastAsia="仿宋_GB2312" w:cs="仿宋_GB2312"/>
          <w:spacing w:val="0"/>
          <w:kern w:val="0"/>
          <w:sz w:val="32"/>
          <w:szCs w:val="32"/>
          <w:lang w:val="en-US" w:eastAsia="zh-CN" w:bidi="ar"/>
        </w:rPr>
        <w:t>按照“管业务就要管公开机制”、“权责一致”原则将各项任务进一步具体化，明确职责，提出完成时限，强化工作措施，确定工作任务清单</w:t>
      </w:r>
      <w:r>
        <w:rPr>
          <w:rFonts w:hint="eastAsia" w:ascii="Times New Roman" w:hAnsi="Times New Roman"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对政府信息的制作、审核、公开等方面进行全生命周期管理，为深化政府信息公开、优化政务服务提供制度保障。完善政府信息发布机制、信息公开保密审查制度，继续严格做好公文公开属性源头认定和发布审查工作。</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lang w:val="en-US" w:eastAsia="zh-CN"/>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完成省政府政策文件库文件汇集及上传工作，实现公开文件数据资源标准化、电子化和规范化，使公众查询信息更为便捷。</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（四）平台建设方面</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加强网站规范化建设。按照“统一规划、统一部署、统一管理”的原则，持续整合网站政务信息、服务信息，不断推进平台集约化建设。</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b w:val="0"/>
          <w:bCs w:val="0"/>
          <w:color w:val="000000" w:themeColor="text1"/>
          <w:kern w:val="2"/>
          <w:sz w:val="32"/>
          <w:szCs w:val="32"/>
          <w:lang w:val="en-US" w:eastAsia="zh-CN" w:bidi="ar"/>
          <w14:textFill>
            <w14:solidFill>
              <w14:schemeClr w14:val="tx1"/>
            </w14:solidFill>
          </w14:textFill>
        </w:rPr>
        <w:t>高标准完成政务公开模块改版工作。桓台县人民政府网站政务公开模块根据实际情况适时更新，新模块更加便于向市民展现桓台政务公开成果，便于市民查询政务公开信息。</w:t>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做好《桓台县人民政府公报》编辑和赠阅工作。政府公报全年共编辑12期，已在县政府门户网站同步发布电子版，其中，刊登县政府（县政府办公室）文件92件，政策解读24篇。</w:t>
      </w:r>
    </w:p>
    <w:p>
      <w:pPr>
        <w:pStyle w:val="9"/>
        <w:jc w:val="cente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3522345" cy="4017645"/>
            <wp:effectExtent l="0" t="0" r="13335" b="5715"/>
            <wp:docPr id="16" name="图片 16" descr="政府公报-政务公开-桓台县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政府公报-政务公开-桓台县人民政府"/>
                    <pic:cNvPicPr>
                      <a:picLocks noChangeAspect="1"/>
                    </pic:cNvPicPr>
                  </pic:nvPicPr>
                  <pic:blipFill>
                    <a:blip r:embed="rId9"/>
                    <a:stretch>
                      <a:fillRect/>
                    </a:stretch>
                  </pic:blipFill>
                  <pic:spPr>
                    <a:xfrm>
                      <a:off x="0" y="0"/>
                      <a:ext cx="3522345" cy="4017645"/>
                    </a:xfrm>
                    <a:prstGeom prst="rect">
                      <a:avLst/>
                    </a:prstGeom>
                  </pic:spPr>
                </pic:pic>
              </a:graphicData>
            </a:graphic>
          </wp:inline>
        </w:drawing>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积极宣传桓台县政务公开工作亮点和创新成果，2023年被“市政务公开在行动栏目”采纳稿件60余篇，稿件采纳数量位列区县首位。继续扩大政务新媒体影响力和传播力，及时发布最新政务信息、相关政策及配套解读，不断提升群众获取政府信息的便利性。</w:t>
      </w:r>
    </w:p>
    <w:p>
      <w:pPr>
        <w:pStyle w:val="9"/>
        <w:jc w:val="center"/>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3664585" cy="3634105"/>
            <wp:effectExtent l="0" t="0" r="8255" b="8255"/>
            <wp:docPr id="17" name="图片 17" descr="淄博市人民政府 进展成效 桓台政务公开在行动：社保政策”摆地摊，夜市推出新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淄博市人民政府 进展成效 桓台政务公开在行动：社保政策”摆地摊，夜市推出新菜单"/>
                    <pic:cNvPicPr>
                      <a:picLocks noChangeAspect="1"/>
                    </pic:cNvPicPr>
                  </pic:nvPicPr>
                  <pic:blipFill>
                    <a:blip r:embed="rId10"/>
                    <a:stretch>
                      <a:fillRect/>
                    </a:stretch>
                  </pic:blipFill>
                  <pic:spPr>
                    <a:xfrm>
                      <a:off x="0" y="0"/>
                      <a:ext cx="3664585" cy="3634105"/>
                    </a:xfrm>
                    <a:prstGeom prst="rect">
                      <a:avLst/>
                    </a:prstGeom>
                  </pic:spPr>
                </pic:pic>
              </a:graphicData>
            </a:graphic>
          </wp:inline>
        </w:drawing>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立足镇（街道）直接联系服务群众的实际，在便民服务中心设立政务公开专区，提供政府信息查询、信息公开申请、办事咨询、政府信息打印复印等相关服务。</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3" w:firstLineChars="200"/>
        <w:jc w:val="both"/>
        <w:textAlignment w:val="auto"/>
        <w:rPr>
          <w:rFonts w:hint="eastAsia" w:ascii="Times New Roman" w:hAnsi="Times New Roman" w:eastAsia="仿宋_GB2312" w:cs="仿宋_GB2312"/>
          <w:b/>
          <w:bCs/>
          <w:color w:val="000000" w:themeColor="text1"/>
          <w:kern w:val="2"/>
          <w:sz w:val="32"/>
          <w:szCs w:val="32"/>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
          <w14:textFill>
            <w14:solidFill>
              <w14:schemeClr w14:val="tx1"/>
            </w14:solidFill>
          </w14:textFill>
        </w:rPr>
        <w:t>（五）监督保障方面</w:t>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加强纵向指导和业务培训，2023年桓台县人民政府办公室共组织召开4次政务公开工作会议，各镇（街道）及县有关部门、单位的分管负责人和具体工作人员70余人积极参会。通过学习、考核和讨论，使各部门的政务公开工作做到有制可循、有制可依、依制办事、违制必究。</w:t>
      </w:r>
    </w:p>
    <w:p>
      <w:pPr>
        <w:keepNext w:val="0"/>
        <w:keepLines w:val="0"/>
        <w:pageBreakBefore w:val="0"/>
        <w:widowControl/>
        <w:suppressLineNumbers w:val="0"/>
        <w:kinsoku/>
        <w:overflowPunct/>
        <w:topLinePunct w:val="0"/>
        <w:autoSpaceDN/>
        <w:bidi w:val="0"/>
        <w:adjustRightInd/>
        <w:snapToGrid/>
        <w:spacing w:line="240" w:lineRule="auto"/>
        <w:jc w:val="center"/>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drawing>
          <wp:inline distT="0" distB="0" distL="114300" distR="114300">
            <wp:extent cx="4064635" cy="3048635"/>
            <wp:effectExtent l="0" t="0" r="4445" b="14605"/>
            <wp:docPr id="3" name="图片 3" descr="微信图片_2023041115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411150948"/>
                    <pic:cNvPicPr>
                      <a:picLocks noChangeAspect="1"/>
                    </pic:cNvPicPr>
                  </pic:nvPicPr>
                  <pic:blipFill>
                    <a:blip r:embed="rId11"/>
                    <a:stretch>
                      <a:fillRect/>
                    </a:stretch>
                  </pic:blipFill>
                  <pic:spPr>
                    <a:xfrm>
                      <a:off x="0" y="0"/>
                      <a:ext cx="4064635" cy="3048635"/>
                    </a:xfrm>
                    <a:prstGeom prst="rect">
                      <a:avLst/>
                    </a:prstGeom>
                  </pic:spPr>
                </pic:pic>
              </a:graphicData>
            </a:graphic>
          </wp:inline>
        </w:drawing>
      </w:r>
    </w:p>
    <w:p>
      <w:pPr>
        <w:keepNext w:val="0"/>
        <w:keepLines w:val="0"/>
        <w:pageBreakBefore w:val="0"/>
        <w:widowControl/>
        <w:suppressLineNumbers w:val="0"/>
        <w:kinsoku/>
        <w:overflowPunct/>
        <w:topLinePunct w:val="0"/>
        <w:autoSpaceDN/>
        <w:bidi w:val="0"/>
        <w:adjustRightInd/>
        <w:snapToGrid/>
        <w:spacing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持续将政务公开工作列入2023年全县高质量发展综合绩效考核。加强优化考核评估，围绕政务公开年度工作要点，及时向相关单位反馈，督促其限期整改，并作为专项检查和调研的重点。</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黑体" w:cs="黑体"/>
          <w:b w:val="0"/>
          <w:bCs w:val="0"/>
          <w:color w:val="auto"/>
          <w:kern w:val="2"/>
          <w:sz w:val="32"/>
          <w:szCs w:val="32"/>
        </w:rPr>
      </w:pPr>
      <w:r>
        <w:rPr>
          <w:rFonts w:hint="eastAsia" w:ascii="Times New Roman" w:hAnsi="Times New Roman" w:eastAsia="黑体" w:cs="黑体"/>
          <w:b w:val="0"/>
          <w:bCs w:val="0"/>
          <w:color w:val="auto"/>
          <w:kern w:val="2"/>
          <w:sz w:val="32"/>
          <w:szCs w:val="32"/>
          <w:lang w:val="en-US" w:eastAsia="zh-CN" w:bidi="ar"/>
        </w:rPr>
        <w:t xml:space="preserve">二、主动公开政府信息情况 </w:t>
      </w:r>
    </w:p>
    <w:tbl>
      <w:tblPr>
        <w:tblStyle w:val="10"/>
        <w:tblW w:w="99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682"/>
        <w:gridCol w:w="2272"/>
        <w:gridCol w:w="2480"/>
        <w:gridCol w:w="24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jc w:val="center"/>
        </w:trPr>
        <w:tc>
          <w:tcPr>
            <w:tcW w:w="9920" w:type="dxa"/>
            <w:gridSpan w:val="4"/>
            <w:tcBorders>
              <w:top w:val="single" w:color="000000" w:sz="4" w:space="0"/>
              <w:left w:val="single" w:color="000000" w:sz="4" w:space="0"/>
              <w:bottom w:val="single" w:color="000000" w:sz="4" w:space="0"/>
              <w:right w:val="single" w:color="000000" w:sz="4" w:space="0"/>
              <w:tl2br w:val="nil"/>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信息内容</w:t>
            </w:r>
          </w:p>
        </w:tc>
        <w:tc>
          <w:tcPr>
            <w:tcW w:w="227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本年制发件数</w:t>
            </w:r>
          </w:p>
        </w:tc>
        <w:tc>
          <w:tcPr>
            <w:tcW w:w="2480"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本年废止件数</w:t>
            </w:r>
          </w:p>
        </w:tc>
        <w:tc>
          <w:tcPr>
            <w:tcW w:w="2486"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规章</w:t>
            </w:r>
          </w:p>
        </w:tc>
        <w:tc>
          <w:tcPr>
            <w:tcW w:w="227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2480"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行政规范性文件</w:t>
            </w:r>
          </w:p>
        </w:tc>
        <w:tc>
          <w:tcPr>
            <w:tcW w:w="227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2480"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9920" w:type="dxa"/>
            <w:gridSpan w:val="4"/>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信息内容</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行政许可</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rPr>
            </w:pPr>
            <w:r>
              <w:rPr>
                <w:rFonts w:hint="eastAsia" w:ascii="Times New Roman" w:hAnsi="Times New Roman" w:eastAsia="仿宋_GB2312" w:cs="仿宋_GB2312"/>
                <w:b w:val="0"/>
                <w:color w:val="000000"/>
                <w:kern w:val="2"/>
                <w:sz w:val="32"/>
                <w:szCs w:val="32"/>
                <w:lang w:val="en-US" w:eastAsia="zh-CN"/>
              </w:rPr>
              <w:t>30877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9920" w:type="dxa"/>
            <w:gridSpan w:val="4"/>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信息内容</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行政处罚</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行政强制</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9920" w:type="dxa"/>
            <w:gridSpan w:val="4"/>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信息内容</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1" w:hRule="atLeast"/>
          <w:jc w:val="center"/>
        </w:trPr>
        <w:tc>
          <w:tcPr>
            <w:tcW w:w="2682"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lang w:val="en-US" w:eastAsia="zh-CN" w:bidi="ar"/>
              </w:rPr>
              <w:t>行政事业性收费</w:t>
            </w:r>
          </w:p>
        </w:tc>
        <w:tc>
          <w:tcPr>
            <w:tcW w:w="7238"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rPr>
            </w:pPr>
            <w:r>
              <w:rPr>
                <w:rFonts w:hint="eastAsia" w:ascii="Times New Roman" w:hAnsi="Times New Roman" w:eastAsia="仿宋_GB2312" w:cs="仿宋_GB2312"/>
                <w:b w:val="0"/>
                <w:color w:val="000000"/>
                <w:kern w:val="2"/>
                <w:sz w:val="32"/>
                <w:szCs w:val="32"/>
              </w:rPr>
              <w:t>3958.18602</w:t>
            </w:r>
          </w:p>
        </w:tc>
      </w:tr>
    </w:tbl>
    <w:p>
      <w:pPr>
        <w:keepNext w:val="0"/>
        <w:keepLines w:val="0"/>
        <w:pageBreakBefore w:val="0"/>
        <w:widowControl w:val="0"/>
        <w:suppressLineNumbers w:val="0"/>
        <w:shd w:val="clear"/>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黑体" w:cs="黑体"/>
          <w:b w:val="0"/>
          <w:bCs w:val="0"/>
          <w:color w:val="auto"/>
          <w:kern w:val="2"/>
          <w:sz w:val="32"/>
          <w:szCs w:val="32"/>
        </w:rPr>
      </w:pPr>
      <w:r>
        <w:rPr>
          <w:rFonts w:hint="eastAsia" w:ascii="Times New Roman" w:hAnsi="Times New Roman" w:eastAsia="黑体" w:cs="黑体"/>
          <w:b w:val="0"/>
          <w:bCs w:val="0"/>
          <w:color w:val="auto"/>
          <w:kern w:val="2"/>
          <w:sz w:val="32"/>
          <w:szCs w:val="32"/>
          <w:lang w:val="en-US" w:eastAsia="zh-CN" w:bidi="ar"/>
        </w:rPr>
        <w:t>三、收到和处理政府信息公开申请情况</w:t>
      </w:r>
    </w:p>
    <w:tbl>
      <w:tblPr>
        <w:tblStyle w:val="10"/>
        <w:tblpPr w:leftFromText="180" w:rightFromText="180" w:vertAnchor="text" w:horzAnchor="page" w:tblpXSpec="center" w:tblpY="49"/>
        <w:tblOverlap w:val="never"/>
        <w:tblW w:w="10019"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457"/>
        <w:gridCol w:w="977"/>
        <w:gridCol w:w="3937"/>
        <w:gridCol w:w="491"/>
        <w:gridCol w:w="764"/>
        <w:gridCol w:w="818"/>
        <w:gridCol w:w="805"/>
        <w:gridCol w:w="818"/>
        <w:gridCol w:w="491"/>
        <w:gridCol w:w="461"/>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634" w:hRule="atLeast"/>
          <w:jc w:val="center"/>
        </w:trPr>
        <w:tc>
          <w:tcPr>
            <w:tcW w:w="5371" w:type="dxa"/>
            <w:gridSpan w:val="3"/>
            <w:vMerge w:val="restart"/>
            <w:tcBorders>
              <w:top w:val="single" w:color="000000" w:sz="4" w:space="0"/>
              <w:left w:val="single" w:color="000000" w:sz="4" w:space="0"/>
              <w:bottom w:val="single" w:color="000000" w:sz="4" w:space="0"/>
              <w:right w:val="single" w:color="000000" w:sz="4" w:space="0"/>
              <w:tl2br w:val="nil"/>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（本列数据的勾稽关系为：第一项加第二项之和，等于第三项加第四项之和）</w:t>
            </w:r>
          </w:p>
        </w:tc>
        <w:tc>
          <w:tcPr>
            <w:tcW w:w="4648" w:type="dxa"/>
            <w:gridSpan w:val="7"/>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申请人情况</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5371"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自然人</w:t>
            </w:r>
          </w:p>
        </w:tc>
        <w:tc>
          <w:tcPr>
            <w:tcW w:w="3696" w:type="dxa"/>
            <w:gridSpan w:val="5"/>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法人或其他组织</w:t>
            </w:r>
          </w:p>
        </w:tc>
        <w:tc>
          <w:tcPr>
            <w:tcW w:w="461"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787" w:hRule="atLeast"/>
          <w:jc w:val="center"/>
        </w:trPr>
        <w:tc>
          <w:tcPr>
            <w:tcW w:w="5371"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商业</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企业</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科研</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机构</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社会公益组织</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法律服务机构</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其他</w:t>
            </w:r>
          </w:p>
        </w:tc>
        <w:tc>
          <w:tcPr>
            <w:tcW w:w="461"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22" w:hRule="atLeast"/>
          <w:jc w:val="center"/>
        </w:trPr>
        <w:tc>
          <w:tcPr>
            <w:tcW w:w="5371"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一、本年新收政府信息公开申请数量</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default"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default"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744" w:hRule="atLeast"/>
          <w:jc w:val="center"/>
        </w:trPr>
        <w:tc>
          <w:tcPr>
            <w:tcW w:w="5371"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二、上年结转政府信息公开申请数量</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三</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本年度办理结果</w:t>
            </w:r>
          </w:p>
        </w:tc>
        <w:tc>
          <w:tcPr>
            <w:tcW w:w="4914" w:type="dxa"/>
            <w:gridSpan w:val="2"/>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（一）予以公开</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25</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4914" w:type="dxa"/>
            <w:gridSpan w:val="2"/>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（二）部分公开（区分处理的，只计这一情形，不计其他情形）</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7</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（三）</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不予</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公开</w:t>
            </w: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1.属于国家秘密</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2.其他法律行政法规禁止公开</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3.危及“三安全一稳定”</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4.保护第三方合法权益</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5.属于三类内部事务信息</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6.属于四类过程性信息</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7.属于行政执法案卷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8.属于行政查询事项</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（四）</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无法</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提供</w:t>
            </w: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1.本机关不掌握相关政府信息</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2.没有现成信息需要另行制作</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146"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3.补正后申请内容仍不明确</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（五）不予</w:t>
            </w:r>
          </w:p>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处理</w:t>
            </w: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1.信访举报投诉类申请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2.重复申请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4</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3.要求提供公开出版物</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146"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top"/>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left"/>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4.无正当理由大量反复申请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5.要求行政机关确认或重新出具已获取信息</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86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（六）其他</w:t>
            </w:r>
          </w:p>
          <w:p>
            <w:pPr>
              <w:keepNext w:val="0"/>
              <w:keepLines w:val="0"/>
              <w:pageBreakBefore w:val="0"/>
              <w:widowControl w:val="0"/>
              <w:numPr>
                <w:ilvl w:val="0"/>
                <w:numId w:val="0"/>
              </w:numPr>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处理</w:t>
            </w: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1.申请人无正当理由逾期不补正、行政机关不再处理其政府信息公开申请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472"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2.申请人逾期未按收费通知要求缴纳费用、行政机关不再处理其政府信息公开申请</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3937"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3.其他</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default"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leftChars="0" w:right="0" w:rightChars="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34"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p>
        </w:tc>
        <w:tc>
          <w:tcPr>
            <w:tcW w:w="4914" w:type="dxa"/>
            <w:gridSpan w:val="2"/>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（七）总计</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59</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65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54" w:hRule="atLeast"/>
          <w:jc w:val="center"/>
        </w:trPr>
        <w:tc>
          <w:tcPr>
            <w:tcW w:w="5371" w:type="dxa"/>
            <w:gridSpan w:val="3"/>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四、结转下年度继续办理</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9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461" w:type="dxa"/>
            <w:tcBorders>
              <w:top w:val="single" w:color="000000" w:sz="4" w:space="0"/>
              <w:left w:val="single" w:color="000000" w:sz="4" w:space="0"/>
              <w:bottom w:val="single" w:color="000000" w:sz="4" w:space="0"/>
              <w:right w:val="single" w:color="000000" w:sz="4" w:space="0"/>
            </w:tcBorders>
            <w:shd w:val="clear" w:color="auto" w:fill="FFFFFF"/>
            <w:tcMar>
              <w:left w:w="57" w:type="dxa"/>
              <w:right w:w="57"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r>
    </w:tbl>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both"/>
        <w:textAlignment w:val="auto"/>
        <w:rPr>
          <w:rFonts w:hint="eastAsia" w:ascii="Times New Roman" w:hAnsi="Times New Roman" w:eastAsia="黑体" w:cs="黑体"/>
          <w:b w:val="0"/>
          <w:bCs w:val="0"/>
          <w:color w:val="000000"/>
          <w:kern w:val="2"/>
          <w:sz w:val="32"/>
          <w:szCs w:val="32"/>
          <w:lang w:val="en-US" w:eastAsia="zh-CN" w:bidi="ar"/>
        </w:rPr>
      </w:pPr>
      <w:r>
        <w:rPr>
          <w:rFonts w:hint="eastAsia" w:ascii="Times New Roman" w:hAnsi="Times New Roman" w:eastAsia="黑体" w:cs="黑体"/>
          <w:b w:val="0"/>
          <w:bCs w:val="0"/>
          <w:color w:val="000000"/>
          <w:kern w:val="2"/>
          <w:sz w:val="32"/>
          <w:szCs w:val="32"/>
          <w:lang w:val="en-US" w:eastAsia="zh-CN" w:bidi="ar"/>
        </w:rPr>
        <w:t>四、政府信息公开行政复议、行政诉讼情况</w:t>
      </w:r>
    </w:p>
    <w:tbl>
      <w:tblPr>
        <w:tblStyle w:val="10"/>
        <w:tblW w:w="9999"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5"/>
        <w:gridCol w:w="665"/>
        <w:gridCol w:w="665"/>
        <w:gridCol w:w="665"/>
        <w:gridCol w:w="668"/>
        <w:gridCol w:w="665"/>
        <w:gridCol w:w="665"/>
        <w:gridCol w:w="666"/>
        <w:gridCol w:w="666"/>
        <w:gridCol w:w="669"/>
        <w:gridCol w:w="667"/>
        <w:gridCol w:w="667"/>
        <w:gridCol w:w="667"/>
        <w:gridCol w:w="667"/>
        <w:gridCol w:w="67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606" w:hRule="atLeast"/>
          <w:jc w:val="center"/>
        </w:trPr>
        <w:tc>
          <w:tcPr>
            <w:tcW w:w="3328" w:type="dxa"/>
            <w:gridSpan w:val="5"/>
            <w:tcBorders>
              <w:top w:val="single" w:color="000000" w:sz="4" w:space="0"/>
              <w:left w:val="single" w:color="000000" w:sz="4" w:space="0"/>
              <w:bottom w:val="single" w:color="000000" w:sz="4" w:space="0"/>
              <w:right w:val="single" w:color="000000" w:sz="4" w:space="0"/>
              <w:tl2br w:val="nil"/>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行政复议</w:t>
            </w:r>
          </w:p>
        </w:tc>
        <w:tc>
          <w:tcPr>
            <w:tcW w:w="6671" w:type="dxa"/>
            <w:gridSpan w:val="10"/>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行政诉讼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06" w:hRule="atLeast"/>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结果维持</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纠正</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其他</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结果</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尚未</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审结</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总计</w:t>
            </w:r>
          </w:p>
        </w:tc>
        <w:tc>
          <w:tcPr>
            <w:tcW w:w="3331"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未经复议直接起诉</w:t>
            </w:r>
          </w:p>
        </w:tc>
        <w:tc>
          <w:tcPr>
            <w:tcW w:w="3340"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复议后起诉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64"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维持</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纠正</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其他</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结果</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尚未</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审结</w:t>
            </w:r>
          </w:p>
        </w:tc>
        <w:tc>
          <w:tcPr>
            <w:tcW w:w="6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总计</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维持</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结果</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纠正</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其他</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结果</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尚未</w:t>
            </w:r>
            <w:r>
              <w:rPr>
                <w:rFonts w:hint="eastAsia" w:ascii="Times New Roman" w:hAnsi="Times New Roman" w:eastAsia="仿宋_GB2312" w:cs="仿宋_GB2312"/>
                <w:b w:val="0"/>
                <w:color w:val="000000"/>
                <w:kern w:val="2"/>
                <w:sz w:val="32"/>
                <w:szCs w:val="32"/>
                <w:lang w:val="en-US" w:eastAsia="zh-CN" w:bidi="ar"/>
              </w:rPr>
              <w:br w:type="textWrapping"/>
            </w:r>
            <w:r>
              <w:rPr>
                <w:rFonts w:hint="eastAsia" w:ascii="Times New Roman" w:hAnsi="Times New Roman" w:eastAsia="仿宋_GB2312" w:cs="仿宋_GB2312"/>
                <w:b w:val="0"/>
                <w:color w:val="000000"/>
                <w:kern w:val="2"/>
                <w:sz w:val="32"/>
                <w:szCs w:val="32"/>
                <w:lang w:val="en-US" w:eastAsia="zh-CN" w:bidi="ar"/>
              </w:rPr>
              <w:t>审结</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744"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5</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6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2</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jc w:val="center"/>
              <w:textAlignment w:val="auto"/>
              <w:rPr>
                <w:rFonts w:hint="eastAsia" w:ascii="Times New Roman" w:hAnsi="Times New Roman" w:eastAsia="仿宋_GB2312" w:cs="仿宋_GB2312"/>
                <w:b w:val="0"/>
                <w:color w:val="000000"/>
                <w:kern w:val="2"/>
                <w:sz w:val="32"/>
                <w:szCs w:val="32"/>
                <w:lang w:val="en-US" w:eastAsia="zh-CN" w:bidi="ar"/>
              </w:rPr>
            </w:pPr>
            <w:r>
              <w:rPr>
                <w:rFonts w:hint="eastAsia" w:ascii="Times New Roman" w:hAnsi="Times New Roman" w:eastAsia="仿宋_GB2312" w:cs="仿宋_GB2312"/>
                <w:b w:val="0"/>
                <w:color w:val="000000"/>
                <w:kern w:val="2"/>
                <w:sz w:val="32"/>
                <w:szCs w:val="32"/>
                <w:lang w:val="en-US" w:eastAsia="zh-CN" w:bidi="ar"/>
              </w:rPr>
              <w:t>0</w:t>
            </w:r>
          </w:p>
        </w:tc>
      </w:tr>
    </w:tbl>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黑体" w:cs="黑体"/>
          <w:b w:val="0"/>
          <w:bCs w:val="0"/>
          <w:i w:val="0"/>
          <w:iCs w:val="0"/>
          <w:caps w:val="0"/>
          <w:color w:val="000000" w:themeColor="text1"/>
          <w:spacing w:val="0"/>
          <w:sz w:val="32"/>
          <w:szCs w:val="32"/>
          <w:shd w:val="clear" w:fill="FFFFFF"/>
          <w14:textFill>
            <w14:solidFill>
              <w14:schemeClr w14:val="tx1"/>
            </w14:solidFill>
          </w14:textFill>
        </w:rPr>
      </w:pPr>
      <w:r>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t>五、存在的主要问题及改进情况</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2023年，桓台县人民政府信息公开工作虽然取得了积极成效，但在主动公开机制、信息公开保密审查等方面仍存在一些问题和不足。2024年，将继续深入贯彻落实《条例》，一是优化主动公开机制，形成主动公开目录，依法依规推动政府信息公开。二是对新进工作人员进行培训，严格落实信息公开保密审查制度，科学设置公开范围、方式和渠道。</w:t>
      </w:r>
    </w:p>
    <w:p>
      <w:pPr>
        <w:pStyle w:val="9"/>
        <w:jc w:val="both"/>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4146550" cy="4146550"/>
            <wp:effectExtent l="0" t="0" r="13970" b="13970"/>
            <wp:docPr id="6" name="图片 6" descr="s_3a5285fdd19f4782a66744987a6b7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_3a5285fdd19f4782a66744987a6b77b7"/>
                    <pic:cNvPicPr>
                      <a:picLocks noChangeAspect="1"/>
                    </pic:cNvPicPr>
                  </pic:nvPicPr>
                  <pic:blipFill>
                    <a:blip r:embed="rId12"/>
                    <a:stretch>
                      <a:fillRect/>
                    </a:stretch>
                  </pic:blipFill>
                  <pic:spPr>
                    <a:xfrm>
                      <a:off x="0" y="0"/>
                      <a:ext cx="4146550" cy="4146550"/>
                    </a:xfrm>
                    <a:prstGeom prst="rect">
                      <a:avLst/>
                    </a:prstGeom>
                  </pic:spPr>
                </pic:pic>
              </a:graphicData>
            </a:graphic>
          </wp:inline>
        </w:drawing>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pPr>
      <w:r>
        <w:rPr>
          <w:rFonts w:hint="eastAsia" w:ascii="Times New Roman" w:hAnsi="Times New Roman" w:eastAsia="黑体" w:cs="黑体"/>
          <w:b w:val="0"/>
          <w:bCs w:val="0"/>
          <w:color w:val="000000" w:themeColor="text1"/>
          <w:kern w:val="2"/>
          <w:sz w:val="32"/>
          <w:szCs w:val="32"/>
          <w:lang w:val="en-US" w:eastAsia="zh-CN" w:bidi="ar"/>
          <w14:textFill>
            <w14:solidFill>
              <w14:schemeClr w14:val="tx1"/>
            </w14:solidFill>
          </w14:textFill>
        </w:rPr>
        <w:t>六、其他需要报告的事项</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（一）信息处理费收取情况</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根据《国务院办公厅关于印发&lt;政府信息公开信息处理费管理办法&gt;的通知》（国办函〔2020〕109号）规定，桓台县人民政府本年度未收取政府信息公开信息处理费。</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（二）建议提案办理公开情况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仿宋_GB2312"/>
          <w:color w:val="5C7441" w:themeColor="accent3" w:themeShade="BF"/>
          <w:kern w:val="2"/>
          <w:sz w:val="32"/>
          <w:szCs w:val="32"/>
          <w:lang w:val="en-US" w:eastAsia="zh-CN" w:bidi="ar"/>
        </w:rPr>
      </w:pPr>
      <w:r>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t>2023年县政府共收到县第十九届人大二次会议代表所提建议44件，涉及4个镇（街道）、17个部门（单位）。其中政治建设类3件，经济建设类8件，社会建设类26件，文化建设类3件，生态文明建设类4件。从办理结果看，代表们所提建议绝大部分已被采纳。其中，已经解决的24件，占54.5%；正在解决和列入计划拟解决的16件，占36.4%；留作参考的4件，占9.1%。县政府共收到县政协十五届二次会议委员提案151件，涉及51个部门、单位和镇（街道），其中经济建设类31件，政治建设类10件，文化建设类15件，社会建设类84件，生态建设类11件。从办理结果看，委员提案大部分已被采纳。其中，已经解决的84件，占55.6%；正在解决和列入计划拟解决的42件，占27.8%；留作参考的25件，占16.6%。</w:t>
      </w:r>
    </w:p>
    <w:p>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Style w:val="12"/>
          <w:rFonts w:hint="eastAsia" w:ascii="Times New Roman" w:hAnsi="Times New Roman" w:eastAsia="楷体_GB2312" w:cs="楷体_GB2312"/>
          <w:b/>
          <w:bCs/>
          <w:i w:val="0"/>
          <w:iCs w:val="0"/>
          <w:caps w:val="0"/>
          <w:color w:val="000000" w:themeColor="text1"/>
          <w:spacing w:val="0"/>
          <w:sz w:val="32"/>
          <w:szCs w:val="32"/>
          <w:shd w:val="clear" w:fill="FFFFFF"/>
          <w:lang w:val="en-US" w:eastAsia="zh-CN"/>
          <w14:textFill>
            <w14:solidFill>
              <w14:schemeClr w14:val="tx1"/>
            </w14:solidFill>
          </w14:textFill>
        </w:rPr>
      </w:pPr>
      <w:r>
        <w:rPr>
          <w:rStyle w:val="12"/>
          <w:rFonts w:hint="eastAsia" w:ascii="Times New Roman" w:hAnsi="Times New Roman" w:eastAsia="楷体_GB2312" w:cs="楷体_GB2312"/>
          <w:b/>
          <w:bCs/>
          <w:i w:val="0"/>
          <w:iCs w:val="0"/>
          <w:caps w:val="0"/>
          <w:color w:val="000000" w:themeColor="text1"/>
          <w:spacing w:val="0"/>
          <w:sz w:val="32"/>
          <w:szCs w:val="32"/>
          <w:shd w:val="clear" w:fill="FFFFFF"/>
          <w:lang w:val="en-US" w:eastAsia="zh-CN"/>
          <w14:textFill>
            <w14:solidFill>
              <w14:schemeClr w14:val="tx1"/>
            </w14:solidFill>
          </w14:textFill>
        </w:rPr>
        <w:t>（三）政务公开创新实践情况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3" w:firstLineChars="200"/>
        <w:jc w:val="both"/>
        <w:textAlignment w:val="auto"/>
        <w:rPr>
          <w:rFonts w:hint="eastAsia" w:ascii="Times New Roman" w:hAnsi="Times New Roman"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仿宋_GB2312"/>
          <w:b/>
          <w:bCs/>
          <w:color w:val="000000" w:themeColor="text1"/>
          <w:kern w:val="2"/>
          <w:sz w:val="32"/>
          <w:szCs w:val="32"/>
          <w:highlight w:val="none"/>
          <w:lang w:val="en-US" w:eastAsia="zh-CN" w:bidi="ar-SA"/>
          <w14:textFill>
            <w14:solidFill>
              <w14:schemeClr w14:val="tx1"/>
            </w14:solidFill>
          </w14:textFill>
        </w:rPr>
        <w:t>1.持续加强专题专栏建设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t>参考省、市人民政府网站及国内先进地区政务公开模块，结合桓台实际，继续开展政府网站政务公开模块的改版工作，完善政府信息公开专题，突出桓台特色。今年完善了公共企事业信息公开专题及基层政务公开标准化规范化专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3" w:firstLineChars="200"/>
        <w:jc w:val="both"/>
        <w:textAlignment w:val="auto"/>
        <w:rPr>
          <w:rFonts w:hint="eastAsia" w:ascii="Times New Roman" w:hAnsi="Times New Roman"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仿宋_GB2312"/>
          <w:b/>
          <w:bCs/>
          <w:color w:val="000000" w:themeColor="text1"/>
          <w:kern w:val="2"/>
          <w:sz w:val="32"/>
          <w:szCs w:val="32"/>
          <w:highlight w:val="none"/>
          <w:lang w:val="en-US" w:eastAsia="zh-CN" w:bidi="ar-SA"/>
          <w14:textFill>
            <w14:solidFill>
              <w14:schemeClr w14:val="tx1"/>
            </w14:solidFill>
          </w14:textFill>
        </w:rPr>
        <w:t>2.定期测评，加强督导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仿宋_GB2312"/>
          <w:b/>
          <w:bCs/>
          <w:color w:val="5C7441" w:themeColor="accent3" w:themeShade="BF"/>
          <w:kern w:val="2"/>
          <w:sz w:val="32"/>
          <w:szCs w:val="32"/>
          <w:lang w:val="en-US" w:eastAsia="zh-CN" w:bidi="ar"/>
        </w:rPr>
      </w:pPr>
      <w:r>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t>对各镇街道、县直各部门单位政务公开工作开展定期测评考核，进行排名通报，对工作开展不力的单位加大督导力度。聘请第三方评估机构对桓台县各部门政务公开工作完成情况进行评估，并根据评估情况，组织精准培训，推进整改完善，力求在省、市评估中取得优异成绩。</w:t>
      </w:r>
    </w:p>
    <w:p>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Style w:val="12"/>
          <w:rFonts w:hint="eastAsia" w:ascii="Times New Roman" w:hAnsi="Times New Roman" w:eastAsia="楷体_GB2312" w:cs="楷体_GB2312"/>
          <w:b/>
          <w:bCs/>
          <w:i w:val="0"/>
          <w:iCs w:val="0"/>
          <w:caps w:val="0"/>
          <w:color w:val="000000" w:themeColor="text1"/>
          <w:spacing w:val="0"/>
          <w:sz w:val="32"/>
          <w:szCs w:val="32"/>
          <w:shd w:val="clear" w:fill="FFFFFF"/>
          <w:lang w:val="en-US" w:eastAsia="zh-CN"/>
          <w14:textFill>
            <w14:solidFill>
              <w14:schemeClr w14:val="tx1"/>
            </w14:solidFill>
          </w14:textFill>
        </w:rPr>
      </w:pPr>
      <w:r>
        <w:rPr>
          <w:rStyle w:val="12"/>
          <w:rFonts w:hint="eastAsia" w:ascii="Times New Roman" w:hAnsi="Times New Roman" w:eastAsia="楷体_GB2312" w:cs="楷体_GB2312"/>
          <w:b/>
          <w:bCs/>
          <w:i w:val="0"/>
          <w:iCs w:val="0"/>
          <w:caps w:val="0"/>
          <w:color w:val="000000" w:themeColor="text1"/>
          <w:spacing w:val="0"/>
          <w:sz w:val="32"/>
          <w:szCs w:val="32"/>
          <w:shd w:val="clear" w:fill="FFFFFF"/>
          <w:lang w:val="en-US" w:eastAsia="zh-CN"/>
          <w14:textFill>
            <w14:solidFill>
              <w14:schemeClr w14:val="tx1"/>
            </w14:solidFill>
          </w14:textFill>
        </w:rPr>
        <w:t>（四）落实上级工作情况</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right="0" w:firstLine="640" w:firstLineChars="200"/>
        <w:jc w:val="both"/>
        <w:textAlignment w:val="auto"/>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2023年桓台县深入学习《山东省人民政府办公厅关于印发2023年山东省政务公开工作要点的通知》、《淄博市人民政府办公室关于印发2023年淄博市政务公开工作方案的通知》部署的工作任务和要求，编制《2023年度桓台县政务公开工作具体实施计划》，完善政府信息发布机制、信息公开保密审查制度，为深化政府信息公开、优化政务服务提供制度保障。下一步，桓台县会更好地发挥以公开促落实、助监督、强监管、防风险作用，努力打造法治政府、服务型政府、效能政府、数字政府、廉洁政府。</w:t>
      </w: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firstLine="640" w:firstLineChars="200"/>
        <w:jc w:val="both"/>
        <w:textAlignment w:val="auto"/>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overflowPunct/>
        <w:topLinePunct w:val="0"/>
        <w:autoSpaceDN/>
        <w:bidi w:val="0"/>
        <w:adjustRightInd/>
        <w:snapToGrid/>
        <w:spacing w:before="0" w:beforeLines="0" w:beforeAutospacing="0" w:after="0" w:afterLines="0" w:afterAutospacing="0" w:line="560" w:lineRule="exact"/>
        <w:ind w:left="0" w:right="0" w:firstLine="640" w:firstLineChars="200"/>
        <w:jc w:val="both"/>
        <w:textAlignment w:val="auto"/>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pPr>
    </w:p>
    <w:sectPr>
      <w:pgSz w:w="11906" w:h="16838"/>
      <w:pgMar w:top="1984" w:right="1474" w:bottom="198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621201-76D6-4691-81D7-3503E362B92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华文楷体">
    <w:panose1 w:val="02010600040101010101"/>
    <w:charset w:val="86"/>
    <w:family w:val="auto"/>
    <w:pitch w:val="default"/>
    <w:sig w:usb0="A00002BF" w:usb1="78CF7CFB" w:usb2="00000016" w:usb3="00000000" w:csb0="6006009F" w:csb1="DFD70000"/>
    <w:embedRegular r:id="rId2" w:fontKey="{BFF59339-0943-42BC-8672-1C42071953B8}"/>
  </w:font>
  <w:font w:name="仿宋_GB2312">
    <w:panose1 w:val="02010609030101010101"/>
    <w:charset w:val="86"/>
    <w:family w:val="modern"/>
    <w:pitch w:val="default"/>
    <w:sig w:usb0="00000001" w:usb1="080E0000" w:usb2="00000000" w:usb3="00000000" w:csb0="00040000" w:csb1="00000000"/>
    <w:embedRegular r:id="rId3" w:fontKey="{31D7EDBA-3FFC-47D5-9841-38C3F09D0F7D}"/>
  </w:font>
  <w:font w:name="方正小标宋简体">
    <w:panose1 w:val="03000509000000000000"/>
    <w:charset w:val="86"/>
    <w:family w:val="script"/>
    <w:pitch w:val="default"/>
    <w:sig w:usb0="00000001" w:usb1="080E0000" w:usb2="00000000" w:usb3="00000000" w:csb0="00040000" w:csb1="00000000"/>
    <w:embedRegular r:id="rId4" w:fontKey="{DA465839-8A06-4B55-B7A9-602A6D4FA7ED}"/>
  </w:font>
  <w:font w:name="楷体_GB2312">
    <w:panose1 w:val="02010609030101010101"/>
    <w:charset w:val="86"/>
    <w:family w:val="auto"/>
    <w:pitch w:val="default"/>
    <w:sig w:usb0="00000001" w:usb1="080E0000" w:usb2="00000000" w:usb3="00000000" w:csb0="00040000" w:csb1="00000000"/>
    <w:embedRegular r:id="rId5" w:fontKey="{D59F3B68-0E41-41CE-AF7C-AC53C8D58E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yNTQ2ZGJhYTBiYTY1NmMyMWY5MDdlMjg3OTNiNzUifQ=="/>
  </w:docVars>
  <w:rsids>
    <w:rsidRoot w:val="63A07357"/>
    <w:rsid w:val="01C7267B"/>
    <w:rsid w:val="01EE19B6"/>
    <w:rsid w:val="023B4F39"/>
    <w:rsid w:val="02B624D2"/>
    <w:rsid w:val="034E3683"/>
    <w:rsid w:val="03BF4AF2"/>
    <w:rsid w:val="03D3038A"/>
    <w:rsid w:val="03E03B7F"/>
    <w:rsid w:val="04082AD7"/>
    <w:rsid w:val="04370F33"/>
    <w:rsid w:val="043E70F5"/>
    <w:rsid w:val="04455AD9"/>
    <w:rsid w:val="045556A5"/>
    <w:rsid w:val="047D0965"/>
    <w:rsid w:val="05D2339D"/>
    <w:rsid w:val="05D435B9"/>
    <w:rsid w:val="06712DC2"/>
    <w:rsid w:val="06BF06FF"/>
    <w:rsid w:val="06C114B7"/>
    <w:rsid w:val="078D2435"/>
    <w:rsid w:val="0937776C"/>
    <w:rsid w:val="094D0FB9"/>
    <w:rsid w:val="09D27E0F"/>
    <w:rsid w:val="09E87633"/>
    <w:rsid w:val="09FC6C3A"/>
    <w:rsid w:val="0AC51722"/>
    <w:rsid w:val="0AD57BB7"/>
    <w:rsid w:val="0B004B69"/>
    <w:rsid w:val="0C944FF3"/>
    <w:rsid w:val="0CCA745A"/>
    <w:rsid w:val="0D222E5C"/>
    <w:rsid w:val="0DA246BB"/>
    <w:rsid w:val="0EC14C41"/>
    <w:rsid w:val="0ED81C72"/>
    <w:rsid w:val="0F16079E"/>
    <w:rsid w:val="0F1D7D7F"/>
    <w:rsid w:val="0F2A0301"/>
    <w:rsid w:val="0F2F17A5"/>
    <w:rsid w:val="0F355F2C"/>
    <w:rsid w:val="103A7F8B"/>
    <w:rsid w:val="120B0362"/>
    <w:rsid w:val="12951051"/>
    <w:rsid w:val="12AE6B32"/>
    <w:rsid w:val="13C94CE3"/>
    <w:rsid w:val="14BE4B9D"/>
    <w:rsid w:val="15431BC1"/>
    <w:rsid w:val="155C2C5F"/>
    <w:rsid w:val="15A67EF2"/>
    <w:rsid w:val="15D8055B"/>
    <w:rsid w:val="164A6A22"/>
    <w:rsid w:val="176C203A"/>
    <w:rsid w:val="18354417"/>
    <w:rsid w:val="189C6494"/>
    <w:rsid w:val="18E50C46"/>
    <w:rsid w:val="19651B2C"/>
    <w:rsid w:val="199944A6"/>
    <w:rsid w:val="1AF9160D"/>
    <w:rsid w:val="1B304996"/>
    <w:rsid w:val="1C012842"/>
    <w:rsid w:val="1C5B3C94"/>
    <w:rsid w:val="1D4F1A4B"/>
    <w:rsid w:val="1D983C21"/>
    <w:rsid w:val="1FEA5A5B"/>
    <w:rsid w:val="21333432"/>
    <w:rsid w:val="22804455"/>
    <w:rsid w:val="22AE6016"/>
    <w:rsid w:val="23045086"/>
    <w:rsid w:val="234B4A63"/>
    <w:rsid w:val="23C8189F"/>
    <w:rsid w:val="244D0A9B"/>
    <w:rsid w:val="24975A86"/>
    <w:rsid w:val="24D464C7"/>
    <w:rsid w:val="25095901"/>
    <w:rsid w:val="25341526"/>
    <w:rsid w:val="255816B9"/>
    <w:rsid w:val="25923978"/>
    <w:rsid w:val="25DA6B8B"/>
    <w:rsid w:val="25F74A2E"/>
    <w:rsid w:val="260C44AF"/>
    <w:rsid w:val="261B6962"/>
    <w:rsid w:val="275925BC"/>
    <w:rsid w:val="275A1718"/>
    <w:rsid w:val="286E6460"/>
    <w:rsid w:val="28846321"/>
    <w:rsid w:val="28EF40E2"/>
    <w:rsid w:val="298B383A"/>
    <w:rsid w:val="2A41198A"/>
    <w:rsid w:val="2A757804"/>
    <w:rsid w:val="2AEF3F25"/>
    <w:rsid w:val="2AF43C32"/>
    <w:rsid w:val="2B894C74"/>
    <w:rsid w:val="2B8A00F2"/>
    <w:rsid w:val="2CA70830"/>
    <w:rsid w:val="2DA15ABF"/>
    <w:rsid w:val="2DC7118A"/>
    <w:rsid w:val="2E074505"/>
    <w:rsid w:val="2E47642F"/>
    <w:rsid w:val="2E50690A"/>
    <w:rsid w:val="2E68541B"/>
    <w:rsid w:val="2E9D1D53"/>
    <w:rsid w:val="2EDA313F"/>
    <w:rsid w:val="2F2F5238"/>
    <w:rsid w:val="2F8159E6"/>
    <w:rsid w:val="30BF25EC"/>
    <w:rsid w:val="30E3142E"/>
    <w:rsid w:val="30E341B3"/>
    <w:rsid w:val="32910782"/>
    <w:rsid w:val="32A85615"/>
    <w:rsid w:val="32DC6465"/>
    <w:rsid w:val="332A6417"/>
    <w:rsid w:val="33532B2D"/>
    <w:rsid w:val="33700136"/>
    <w:rsid w:val="33997993"/>
    <w:rsid w:val="33C44B42"/>
    <w:rsid w:val="34146CF2"/>
    <w:rsid w:val="342C61EA"/>
    <w:rsid w:val="34F73C96"/>
    <w:rsid w:val="351F72F4"/>
    <w:rsid w:val="35AA386B"/>
    <w:rsid w:val="36327457"/>
    <w:rsid w:val="379A790F"/>
    <w:rsid w:val="37B564F7"/>
    <w:rsid w:val="37EE37B7"/>
    <w:rsid w:val="380247DE"/>
    <w:rsid w:val="38F8434B"/>
    <w:rsid w:val="3A0E06F6"/>
    <w:rsid w:val="3A2B763C"/>
    <w:rsid w:val="3AB93F41"/>
    <w:rsid w:val="3ACA291E"/>
    <w:rsid w:val="3B374E9C"/>
    <w:rsid w:val="3BC46D08"/>
    <w:rsid w:val="3C470797"/>
    <w:rsid w:val="3C664263"/>
    <w:rsid w:val="3CCA034E"/>
    <w:rsid w:val="3D197528"/>
    <w:rsid w:val="3D7053F0"/>
    <w:rsid w:val="3D87090D"/>
    <w:rsid w:val="3D956E3B"/>
    <w:rsid w:val="3DF5764D"/>
    <w:rsid w:val="3E1A5306"/>
    <w:rsid w:val="3E8D1F7B"/>
    <w:rsid w:val="3EA93780"/>
    <w:rsid w:val="3EBF7C5B"/>
    <w:rsid w:val="3EC85FF7"/>
    <w:rsid w:val="3EED2C60"/>
    <w:rsid w:val="3F465FE6"/>
    <w:rsid w:val="3F516B05"/>
    <w:rsid w:val="3F663E5C"/>
    <w:rsid w:val="3F8C3FE1"/>
    <w:rsid w:val="3FF531DE"/>
    <w:rsid w:val="403326AF"/>
    <w:rsid w:val="403C77B5"/>
    <w:rsid w:val="40F844F6"/>
    <w:rsid w:val="414D154E"/>
    <w:rsid w:val="416100B8"/>
    <w:rsid w:val="41821120"/>
    <w:rsid w:val="41E012DE"/>
    <w:rsid w:val="422F6EA6"/>
    <w:rsid w:val="4233451A"/>
    <w:rsid w:val="44CE0BF8"/>
    <w:rsid w:val="453D1B42"/>
    <w:rsid w:val="45482405"/>
    <w:rsid w:val="45A56EFC"/>
    <w:rsid w:val="45CF7850"/>
    <w:rsid w:val="45FA4F77"/>
    <w:rsid w:val="463D4287"/>
    <w:rsid w:val="467861F1"/>
    <w:rsid w:val="471A2B65"/>
    <w:rsid w:val="472A469E"/>
    <w:rsid w:val="476C23AC"/>
    <w:rsid w:val="476F512D"/>
    <w:rsid w:val="47ED762A"/>
    <w:rsid w:val="48794884"/>
    <w:rsid w:val="493D634C"/>
    <w:rsid w:val="49956188"/>
    <w:rsid w:val="4A3F094B"/>
    <w:rsid w:val="4C83666B"/>
    <w:rsid w:val="4CC41E4C"/>
    <w:rsid w:val="4CDF3A93"/>
    <w:rsid w:val="4CFE0737"/>
    <w:rsid w:val="4D757384"/>
    <w:rsid w:val="4DBC35DF"/>
    <w:rsid w:val="4EE44050"/>
    <w:rsid w:val="4F150749"/>
    <w:rsid w:val="4FFA5C44"/>
    <w:rsid w:val="51D42B70"/>
    <w:rsid w:val="52927CA3"/>
    <w:rsid w:val="52D60307"/>
    <w:rsid w:val="52EE3694"/>
    <w:rsid w:val="52F774EF"/>
    <w:rsid w:val="53C658BC"/>
    <w:rsid w:val="54567148"/>
    <w:rsid w:val="54574EB4"/>
    <w:rsid w:val="54656608"/>
    <w:rsid w:val="54F63F7F"/>
    <w:rsid w:val="56A1405A"/>
    <w:rsid w:val="56A1664E"/>
    <w:rsid w:val="58A106A5"/>
    <w:rsid w:val="58AC2AE5"/>
    <w:rsid w:val="58DA28C8"/>
    <w:rsid w:val="59417658"/>
    <w:rsid w:val="59F14D15"/>
    <w:rsid w:val="5A1B7FE4"/>
    <w:rsid w:val="5AE76118"/>
    <w:rsid w:val="5AEB3E5A"/>
    <w:rsid w:val="5B01542B"/>
    <w:rsid w:val="5B9718EC"/>
    <w:rsid w:val="5C8A31FF"/>
    <w:rsid w:val="5CC65D22"/>
    <w:rsid w:val="5D1D6FA5"/>
    <w:rsid w:val="5D2C5437"/>
    <w:rsid w:val="5D3F223B"/>
    <w:rsid w:val="5D444541"/>
    <w:rsid w:val="5D900CE9"/>
    <w:rsid w:val="5EB427B5"/>
    <w:rsid w:val="5F88611B"/>
    <w:rsid w:val="5FC672DE"/>
    <w:rsid w:val="6043001A"/>
    <w:rsid w:val="6138591F"/>
    <w:rsid w:val="61C947C9"/>
    <w:rsid w:val="621A6DD3"/>
    <w:rsid w:val="62215D78"/>
    <w:rsid w:val="62522A10"/>
    <w:rsid w:val="62774225"/>
    <w:rsid w:val="6299063F"/>
    <w:rsid w:val="63534C92"/>
    <w:rsid w:val="63A07357"/>
    <w:rsid w:val="65110961"/>
    <w:rsid w:val="655B0E08"/>
    <w:rsid w:val="65FB3538"/>
    <w:rsid w:val="66391F1D"/>
    <w:rsid w:val="67117D0E"/>
    <w:rsid w:val="672E57FA"/>
    <w:rsid w:val="67FE4053"/>
    <w:rsid w:val="68637452"/>
    <w:rsid w:val="69085BD7"/>
    <w:rsid w:val="691915FF"/>
    <w:rsid w:val="69BD6476"/>
    <w:rsid w:val="6A2353BE"/>
    <w:rsid w:val="6A7B25F3"/>
    <w:rsid w:val="6ACD7EEF"/>
    <w:rsid w:val="6AE10EF8"/>
    <w:rsid w:val="6AF44665"/>
    <w:rsid w:val="6B0F2989"/>
    <w:rsid w:val="6BFB338F"/>
    <w:rsid w:val="6C044773"/>
    <w:rsid w:val="6CA36342"/>
    <w:rsid w:val="6D3B5601"/>
    <w:rsid w:val="6D6830E8"/>
    <w:rsid w:val="6E865F1C"/>
    <w:rsid w:val="6F9B77A5"/>
    <w:rsid w:val="70471E15"/>
    <w:rsid w:val="707D334E"/>
    <w:rsid w:val="711E05E4"/>
    <w:rsid w:val="71926F05"/>
    <w:rsid w:val="720A4F88"/>
    <w:rsid w:val="72682F2D"/>
    <w:rsid w:val="728F1117"/>
    <w:rsid w:val="733F6699"/>
    <w:rsid w:val="736B1B84"/>
    <w:rsid w:val="73AD43B3"/>
    <w:rsid w:val="74190B45"/>
    <w:rsid w:val="7457013A"/>
    <w:rsid w:val="74FD5C7E"/>
    <w:rsid w:val="75734D20"/>
    <w:rsid w:val="758F5EBE"/>
    <w:rsid w:val="75970A0E"/>
    <w:rsid w:val="76235D60"/>
    <w:rsid w:val="764C0BFF"/>
    <w:rsid w:val="76A213A7"/>
    <w:rsid w:val="77291B3A"/>
    <w:rsid w:val="77316C41"/>
    <w:rsid w:val="7762504C"/>
    <w:rsid w:val="786545B0"/>
    <w:rsid w:val="78B13B95"/>
    <w:rsid w:val="78B47B29"/>
    <w:rsid w:val="78E51A91"/>
    <w:rsid w:val="79786DA9"/>
    <w:rsid w:val="79EB2A0E"/>
    <w:rsid w:val="7A652F2A"/>
    <w:rsid w:val="7A6D520E"/>
    <w:rsid w:val="7ADCB567"/>
    <w:rsid w:val="7AE0665C"/>
    <w:rsid w:val="7B0604A9"/>
    <w:rsid w:val="7BBA7205"/>
    <w:rsid w:val="7C701FB9"/>
    <w:rsid w:val="7D7A3FAE"/>
    <w:rsid w:val="7E5F6E9E"/>
    <w:rsid w:val="7F631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1">
    <w:name w:val="Default Paragraph Font"/>
    <w:autoRedefine/>
    <w:semiHidden/>
    <w:qFormat/>
    <w:uiPriority w:val="0"/>
  </w:style>
  <w:style w:type="table" w:default="1" w:styleId="10">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autoRedefine/>
    <w:qFormat/>
    <w:uiPriority w:val="1"/>
    <w:rPr>
      <w:rFonts w:ascii="仿宋_GB2312" w:hAnsi="仿宋_GB2312" w:eastAsia="仿宋_GB2312" w:cs="仿宋_GB2312"/>
      <w:sz w:val="32"/>
      <w:szCs w:val="32"/>
      <w:lang w:val="zh-CN" w:eastAsia="zh-CN" w:bidi="zh-CN"/>
    </w:rPr>
  </w:style>
  <w:style w:type="paragraph" w:styleId="3">
    <w:name w:val="index 7"/>
    <w:basedOn w:val="1"/>
    <w:next w:val="1"/>
    <w:autoRedefine/>
    <w:unhideWhenUsed/>
    <w:qFormat/>
    <w:uiPriority w:val="99"/>
    <w:pPr>
      <w:ind w:left="1200" w:leftChars="1200"/>
    </w:pPr>
  </w:style>
  <w:style w:type="paragraph" w:styleId="6">
    <w:name w:val="Normal Indent"/>
    <w:basedOn w:val="1"/>
    <w:autoRedefine/>
    <w:qFormat/>
    <w:uiPriority w:val="99"/>
    <w:pPr>
      <w:ind w:firstLine="420" w:firstLineChars="200"/>
    </w:pPr>
  </w:style>
  <w:style w:type="paragraph" w:styleId="7">
    <w:name w:val="Body Text Indent"/>
    <w:basedOn w:val="1"/>
    <w:next w:val="6"/>
    <w:autoRedefine/>
    <w:qFormat/>
    <w:uiPriority w:val="99"/>
    <w:pPr>
      <w:spacing w:after="120"/>
      <w:ind w:left="420" w:leftChars="200"/>
    </w:pPr>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9">
    <w:name w:val="Body Text First Indent 2"/>
    <w:basedOn w:val="7"/>
    <w:autoRedefine/>
    <w:qFormat/>
    <w:uiPriority w:val="0"/>
    <w:pPr>
      <w:ind w:firstLine="420" w:firstLineChars="200"/>
    </w:pPr>
  </w:style>
  <w:style w:type="character" w:styleId="12">
    <w:name w:val="Strong"/>
    <w:basedOn w:val="11"/>
    <w:autoRedefine/>
    <w:qFormat/>
    <w:uiPriority w:val="0"/>
    <w:rPr>
      <w:b/>
      <w:bCs/>
    </w:rPr>
  </w:style>
  <w:style w:type="character" w:styleId="13">
    <w:name w:val="FollowedHyperlink"/>
    <w:basedOn w:val="11"/>
    <w:autoRedefine/>
    <w:qFormat/>
    <w:uiPriority w:val="0"/>
    <w:rPr>
      <w:color w:val="800080"/>
      <w:u w:val="none"/>
    </w:rPr>
  </w:style>
  <w:style w:type="character" w:styleId="14">
    <w:name w:val="Emphasis"/>
    <w:basedOn w:val="11"/>
    <w:autoRedefine/>
    <w:qFormat/>
    <w:uiPriority w:val="0"/>
    <w:rPr>
      <w:b/>
      <w:bCs/>
    </w:rPr>
  </w:style>
  <w:style w:type="character" w:styleId="15">
    <w:name w:val="HTML Definition"/>
    <w:basedOn w:val="11"/>
    <w:autoRedefine/>
    <w:qFormat/>
    <w:uiPriority w:val="0"/>
  </w:style>
  <w:style w:type="character" w:styleId="16">
    <w:name w:val="HTML Variable"/>
    <w:basedOn w:val="11"/>
    <w:autoRedefine/>
    <w:qFormat/>
    <w:uiPriority w:val="0"/>
  </w:style>
  <w:style w:type="character" w:styleId="17">
    <w:name w:val="Hyperlink"/>
    <w:basedOn w:val="11"/>
    <w:autoRedefine/>
    <w:qFormat/>
    <w:uiPriority w:val="0"/>
    <w:rPr>
      <w:color w:val="0000FF"/>
      <w:u w:val="single"/>
    </w:rPr>
  </w:style>
  <w:style w:type="character" w:styleId="18">
    <w:name w:val="HTML Code"/>
    <w:basedOn w:val="11"/>
    <w:autoRedefine/>
    <w:qFormat/>
    <w:uiPriority w:val="0"/>
    <w:rPr>
      <w:rFonts w:ascii="Courier New" w:hAnsi="Courier New"/>
      <w:sz w:val="20"/>
    </w:rPr>
  </w:style>
  <w:style w:type="character" w:styleId="19">
    <w:name w:val="HTML Cite"/>
    <w:basedOn w:val="11"/>
    <w:autoRedefine/>
    <w:qFormat/>
    <w:uiPriority w:val="0"/>
  </w:style>
  <w:style w:type="character" w:styleId="20">
    <w:name w:val="HTML Keyboard"/>
    <w:basedOn w:val="11"/>
    <w:autoRedefine/>
    <w:qFormat/>
    <w:uiPriority w:val="0"/>
    <w:rPr>
      <w:rFonts w:ascii="Courier New" w:hAnsi="Courier New"/>
      <w:sz w:val="20"/>
    </w:rPr>
  </w:style>
  <w:style w:type="character" w:styleId="21">
    <w:name w:val="HTML Sample"/>
    <w:basedOn w:val="11"/>
    <w:autoRedefine/>
    <w:qFormat/>
    <w:uiPriority w:val="0"/>
    <w:rPr>
      <w:rFonts w:ascii="Courier New" w:hAnsi="Courier New"/>
    </w:rPr>
  </w:style>
  <w:style w:type="paragraph" w:customStyle="1" w:styleId="22">
    <w:name w:val="正文 New"/>
    <w:autoRedefine/>
    <w:qFormat/>
    <w:uiPriority w:val="0"/>
    <w:pPr>
      <w:widowControl w:val="0"/>
      <w:jc w:val="both"/>
    </w:pPr>
    <w:rPr>
      <w:rFonts w:ascii="Times New Roman" w:hAnsi="Times New Roman" w:eastAsia="宋体" w:cstheme="minorBidi"/>
      <w:kern w:val="2"/>
      <w:sz w:val="21"/>
      <w:lang w:val="en-US" w:eastAsia="zh-CN"/>
    </w:rPr>
  </w:style>
  <w:style w:type="character" w:customStyle="1" w:styleId="23">
    <w:name w:val="hover8"/>
    <w:basedOn w:val="11"/>
    <w:autoRedefine/>
    <w:qFormat/>
    <w:uiPriority w:val="0"/>
    <w:rPr>
      <w:color w:val="245399"/>
    </w:rPr>
  </w:style>
  <w:style w:type="character" w:customStyle="1" w:styleId="24">
    <w:name w:val="hover9"/>
    <w:basedOn w:val="11"/>
    <w:autoRedefine/>
    <w:qFormat/>
    <w:uiPriority w:val="0"/>
    <w:rPr>
      <w:color w:val="245399"/>
    </w:rPr>
  </w:style>
  <w:style w:type="character" w:customStyle="1" w:styleId="25">
    <w:name w:val="hover10"/>
    <w:basedOn w:val="11"/>
    <w:autoRedefine/>
    <w:qFormat/>
    <w:uiPriority w:val="0"/>
    <w:rPr>
      <w:color w:val="FFFFFF"/>
    </w:rPr>
  </w:style>
  <w:style w:type="character" w:customStyle="1" w:styleId="26">
    <w:name w:val="hover11"/>
    <w:basedOn w:val="11"/>
    <w:autoRedefine/>
    <w:qFormat/>
    <w:uiPriority w:val="0"/>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龙腾四海">
  <a:themeElements>
    <a:clrScheme name="Dragon">
      <a:dk1>
        <a:sysClr val="windowText" lastClr="000000"/>
      </a:dk1>
      <a:lt1>
        <a:sysClr val="window" lastClr="FFFFFF"/>
      </a:lt1>
      <a:dk2>
        <a:srgbClr val="001B36"/>
      </a:dk2>
      <a:lt2>
        <a:srgbClr val="EDF8FE"/>
      </a:lt2>
      <a:accent1>
        <a:srgbClr val="477AB1"/>
      </a:accent1>
      <a:accent2>
        <a:srgbClr val="51848E"/>
      </a:accent2>
      <a:accent3>
        <a:srgbClr val="7B9B57"/>
      </a:accent3>
      <a:accent4>
        <a:srgbClr val="8B8D8C"/>
      </a:accent4>
      <a:accent5>
        <a:srgbClr val="8B7396"/>
      </a:accent5>
      <a:accent6>
        <a:srgbClr val="E89A53"/>
      </a:accent6>
      <a:hlink>
        <a:srgbClr val="0080FF"/>
      </a:hlink>
      <a:folHlink>
        <a:srgbClr val="FF00FF"/>
      </a:folHlink>
    </a:clrScheme>
    <a:fontScheme name="Dragon">
      <a:majorFont>
        <a:latin typeface="Maiandra GD"/>
        <a:ea typeface=""/>
        <a:cs typeface=""/>
        <a:font script="CYRL" typeface="Times New Roman"/>
        <a:font script="GREK" typeface="Times New Roman"/>
        <a:font script="Jpan" typeface="ＭＳ Ｐゴシック"/>
        <a:font script="Hang" typeface="HY중고딕"/>
        <a:font script="Hans" typeface="隶书"/>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mbria"/>
        <a:ea typeface=""/>
        <a:cs typeface=""/>
        <a:font script="Jpan" typeface="ＭＳ Ｐ明朝"/>
        <a:font script="Hang" typeface="HY견명조"/>
        <a:font script="Hans" typeface="华文楷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4035</Words>
  <Characters>4334</Characters>
  <Lines>0</Lines>
  <Paragraphs>0</Paragraphs>
  <TotalTime>170</TotalTime>
  <ScaleCrop>false</ScaleCrop>
  <LinksUpToDate>false</LinksUpToDate>
  <CharactersWithSpaces>4337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2019-12-12T20:44:00Z</dcterms:created>
  <dc:creator>咕咕</dc:creator>
  <cp:lastModifiedBy>╆小兔崽儿ゞ</cp:lastModifiedBy>
  <cp:lastPrinted>2024-02-08T07:05:00Z</cp:lastPrinted>
  <dcterms:modified xsi:type="dcterms:W3CDTF">2024-07-02T06:16:02Z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B730275B516947CE9B8178D4C1183A6E_13</vt:lpwstr>
  </property>
</Properties>
</file>