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rPr>
          <w:rFonts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4"/>
          <w:szCs w:val="24"/>
          <w:bdr w:val="none" w:color="auto" w:sz="0" w:space="0"/>
          <w:shd w:val="clear" w:fill="FFFFFF"/>
        </w:rPr>
        <w:t>本年度报告根据《中华人民共和国政府信息公开条例》（以下简称《条例》）的要求编制。全文包括总体情况、主动公开政府信息情况、收到和处理政府信息公开申请情况、政府信息公开行政复议和行政诉讼情况、政府信息公开工作存在的主要问题和改进情况及其他需要报告的事项。本年度报告中所列数据统计期限自2022年1月1日起至2022年12月31日止。如对本年度报告有疑问，请与桓台县少海街道办公室联系（地址：桓台县建设街3119号；电话：0533-8182329；邮编：256400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rPr>
          <w:rFonts w:hint="eastAsia" w:ascii="微软雅黑" w:hAnsi="微软雅黑" w:eastAsia="微软雅黑" w:cs="微软雅黑"/>
          <w:i w:val="0"/>
          <w:iCs w:val="0"/>
          <w:caps w:val="0"/>
          <w:color w:val="000000"/>
          <w:spacing w:val="0"/>
          <w:sz w:val="27"/>
          <w:szCs w:val="27"/>
        </w:rPr>
      </w:pPr>
      <w:r>
        <w:rPr>
          <w:rStyle w:val="5"/>
          <w:rFonts w:ascii="黑体" w:hAnsi="宋体" w:eastAsia="黑体" w:cs="黑体"/>
          <w:b/>
          <w:bCs/>
          <w:i w:val="0"/>
          <w:iCs w:val="0"/>
          <w:caps w:val="0"/>
          <w:color w:val="000000"/>
          <w:spacing w:val="0"/>
          <w:sz w:val="24"/>
          <w:szCs w:val="24"/>
          <w:bdr w:val="none" w:color="auto" w:sz="0" w:space="0"/>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4"/>
          <w:szCs w:val="24"/>
          <w:bdr w:val="none" w:color="auto" w:sz="0" w:space="0"/>
          <w:shd w:val="clear" w:fill="FFFFFF"/>
        </w:rPr>
        <w:t>今年以来，少海街道按照县委、县政府关于推进政府信息公开的部署和要求，有计划、有步骤地开展政府信息公开工作，健全工作机制，制度建设进一步加强，信息公开工作取得了较好成效。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4"/>
          <w:szCs w:val="24"/>
          <w:bdr w:val="none" w:color="auto" w:sz="0" w:space="0"/>
          <w:shd w:val="clear" w:fill="FFFFFF"/>
        </w:rPr>
        <w:t>1.主动公开。少海街道办事处在桓台县人民政府网站上主动公开信息23条，涉及政策解读、办事指南、业务工作及其他信息公开。同时主要通过政府宣传栏、微信公众平台等方式主动公开政府信息，公开公示街道的有关工作信息、工作动态、工作报告、办事指南、政府有关公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4"/>
          <w:szCs w:val="24"/>
          <w:bdr w:val="none" w:color="auto" w:sz="0" w:space="0"/>
          <w:shd w:val="clear" w:fill="FFFFFF"/>
        </w:rPr>
        <w:t>2.依申请公开。少海街道不断加强组织领导，健全工作机制，完善依申请公开工作登记管理、协助调查、归档等环节的程序、标准和责任划分，明确接收、移交、审核、办理、答复等环节时限，重视民众合理诉求，依法依规及时准确予以答复反馈。2022年度，共收到政府信息公开申请0件，较上一年度数量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4"/>
          <w:szCs w:val="24"/>
          <w:bdr w:val="none" w:color="auto" w:sz="0" w:space="0"/>
          <w:shd w:val="clear" w:fill="FFFFFF"/>
        </w:rPr>
        <w:t>3.政府信息管理。严把信息公开审核关，实行信息发布人员、分管领导、主管领导三级联审制度，对发布的信息，标题、内容、语法等全面进行严格审核，确保发布的信息内容全面、语言表述严谨、信息发布规范。依据《条例》和桓台县政府信息公开有关文件要求，根据《少海街道办事处信息公开审查制度》《少海街道办事处信息依申请公开制度》等明确政府信息公开工作内容、形式和公开、受理、回复的反馈机制，严格遵循政府信息公开基本原则开展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4"/>
          <w:szCs w:val="24"/>
          <w:bdr w:val="none" w:color="auto" w:sz="0" w:space="0"/>
          <w:shd w:val="clear" w:fill="FFFFFF"/>
        </w:rPr>
        <w:t>4.政府信息公开平台建设。加强线上线下信息公开平台的建设，在少海街道办事处便民服务大厅设置政府信息公开窗口。</w:t>
      </w:r>
      <w:r>
        <w:rPr>
          <w:rFonts w:ascii="黑体" w:hAnsi="宋体" w:eastAsia="黑体" w:cs="黑体"/>
          <w:i w:val="0"/>
          <w:iCs w:val="0"/>
          <w:caps w:val="0"/>
          <w:color w:val="454545"/>
          <w:spacing w:val="0"/>
          <w:sz w:val="24"/>
          <w:szCs w:val="24"/>
          <w:bdr w:val="none" w:color="auto" w:sz="0" w:space="0"/>
          <w:shd w:val="clear" w:fill="FFFFFF"/>
        </w:rPr>
        <w:t>同时，</w:t>
      </w:r>
      <w:r>
        <w:rPr>
          <w:rFonts w:ascii="黑体" w:hAnsi="宋体" w:eastAsia="黑体" w:cs="黑体"/>
          <w:i w:val="0"/>
          <w:iCs w:val="0"/>
          <w:caps w:val="0"/>
          <w:color w:val="000000"/>
          <w:spacing w:val="0"/>
          <w:sz w:val="24"/>
          <w:szCs w:val="24"/>
          <w:bdr w:val="none" w:color="auto" w:sz="0" w:space="0"/>
          <w:shd w:val="clear" w:fill="FFFFFF"/>
        </w:rPr>
        <w:t>充分运用“桓台县少海街道办事处”微信公众号发布政府相关信息，加强政务新媒体平台建设和管理，严格信息采集、审核、发布等程序，落实专人管理、运营和维护，确保运转有序、安全可控。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4"/>
          <w:szCs w:val="24"/>
          <w:bdr w:val="none" w:color="auto" w:sz="0" w:space="0"/>
          <w:shd w:val="clear" w:fill="FFFFFF"/>
        </w:rPr>
        <w:t>5.监督保障。少海街道成立了由党工委副书记任组长的政府信息公开工作领导小组，领导小组下设办公室在党政办，负责统筹协调编制政府信息公开内容，全力推进少海街道办事处的政府信息公开工作。制定《少海街道办事处2022年度政务公开工作培训计划》，不断提升工作人员专业能力，规范开展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rPr>
          <w:rFonts w:hint="eastAsia" w:ascii="微软雅黑" w:hAnsi="微软雅黑" w:eastAsia="微软雅黑" w:cs="微软雅黑"/>
          <w:i w:val="0"/>
          <w:iCs w:val="0"/>
          <w:caps w:val="0"/>
          <w:color w:val="000000"/>
          <w:spacing w:val="0"/>
          <w:sz w:val="27"/>
          <w:szCs w:val="27"/>
        </w:rPr>
      </w:pPr>
      <w:r>
        <w:rPr>
          <w:rStyle w:val="5"/>
          <w:rFonts w:ascii="黑体" w:hAnsi="宋体" w:eastAsia="黑体" w:cs="黑体"/>
          <w:b/>
          <w:bCs/>
          <w:i w:val="0"/>
          <w:iCs w:val="0"/>
          <w:caps w:val="0"/>
          <w:color w:val="000000"/>
          <w:spacing w:val="0"/>
          <w:sz w:val="24"/>
          <w:szCs w:val="24"/>
          <w:bdr w:val="none" w:color="auto" w:sz="0" w:space="0"/>
          <w:shd w:val="clear" w:fill="FFFFFF"/>
        </w:rPr>
        <w:t>二、主动公开政府信息情况</w:t>
      </w:r>
    </w:p>
    <w:tbl>
      <w:tblPr>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2"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信息内容</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本年制发件数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本年废止件数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规章</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行政规范性文件</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信息内容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行政许可</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信息内容</w:t>
            </w:r>
          </w:p>
        </w:tc>
        <w:tc>
          <w:tcPr>
            <w:tcW w:w="7305" w:type="dxa"/>
            <w:gridSpan w:val="3"/>
            <w:tcBorders>
              <w:top w:val="single" w:color="auto" w:sz="8" w:space="0"/>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行政处罚</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行政强制</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信息内容</w:t>
            </w:r>
          </w:p>
        </w:tc>
        <w:tc>
          <w:tcPr>
            <w:tcW w:w="7305" w:type="dxa"/>
            <w:gridSpan w:val="3"/>
            <w:tcBorders>
              <w:top w:val="nil"/>
              <w:left w:val="nil"/>
              <w:bottom w:val="single" w:color="auto" w:sz="8" w:space="0"/>
              <w:right w:val="single" w:color="000000"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行政事业性收费</w:t>
            </w:r>
          </w:p>
        </w:tc>
        <w:tc>
          <w:tcPr>
            <w:tcW w:w="7305" w:type="dxa"/>
            <w:gridSpan w:val="3"/>
            <w:tcBorders>
              <w:top w:val="nil"/>
              <w:left w:val="nil"/>
              <w:bottom w:val="single" w:color="auto" w:sz="8" w:space="0"/>
              <w:right w:val="single" w:color="000000"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r>
        <w:rPr>
          <w:rStyle w:val="5"/>
          <w:rFonts w:ascii="黑体" w:hAnsi="宋体" w:eastAsia="黑体" w:cs="黑体"/>
          <w:b/>
          <w:bCs/>
          <w:i w:val="0"/>
          <w:iCs w:val="0"/>
          <w:caps w:val="0"/>
          <w:color w:val="000000"/>
          <w:spacing w:val="11"/>
          <w:sz w:val="24"/>
          <w:szCs w:val="24"/>
          <w:bdr w:val="none" w:color="auto" w:sz="0" w:space="0"/>
          <w:shd w:val="clear" w:fill="FFFFFF"/>
          <w:vertAlign w:val="baseline"/>
        </w:rPr>
        <w:t>三、收到和处理政府信息公开申请情况</w:t>
      </w:r>
    </w:p>
    <w:tbl>
      <w:tblPr>
        <w:tblW w:w="9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0"/>
        <w:gridCol w:w="1656"/>
        <w:gridCol w:w="3175"/>
        <w:gridCol w:w="389"/>
        <w:gridCol w:w="608"/>
        <w:gridCol w:w="513"/>
        <w:gridCol w:w="905"/>
        <w:gridCol w:w="811"/>
        <w:gridCol w:w="680"/>
        <w:gridCol w:w="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jc w:val="center"/>
        </w:trPr>
        <w:tc>
          <w:tcPr>
            <w:tcW w:w="5281" w:type="dxa"/>
            <w:gridSpan w:val="3"/>
            <w:vMerge w:val="restart"/>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（本列数据的勾稽关系为：第一项加第二项之和，等于第三项加第四项之和）</w:t>
            </w:r>
          </w:p>
        </w:tc>
        <w:tc>
          <w:tcPr>
            <w:tcW w:w="4518" w:type="dxa"/>
            <w:gridSpan w:val="7"/>
            <w:tcBorders>
              <w:top w:val="single" w:color="auto" w:sz="8" w:space="0"/>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jc w:val="center"/>
        </w:trPr>
        <w:tc>
          <w:tcPr>
            <w:tcW w:w="5281"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89" w:type="dxa"/>
            <w:vMerge w:val="restart"/>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自然人</w:t>
            </w:r>
          </w:p>
        </w:tc>
        <w:tc>
          <w:tcPr>
            <w:tcW w:w="3517" w:type="dxa"/>
            <w:gridSpan w:val="5"/>
            <w:tcBorders>
              <w:top w:val="single" w:color="auto" w:sz="8" w:space="0"/>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法人或其他组织</w:t>
            </w:r>
          </w:p>
        </w:tc>
        <w:tc>
          <w:tcPr>
            <w:tcW w:w="612" w:type="dxa"/>
            <w:vMerge w:val="restart"/>
            <w:tcBorders>
              <w:top w:val="single" w:color="auto" w:sz="8" w:space="0"/>
              <w:left w:val="nil"/>
              <w:bottom w:val="out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74" w:hRule="atLeast"/>
          <w:jc w:val="center"/>
        </w:trPr>
        <w:tc>
          <w:tcPr>
            <w:tcW w:w="5281"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89" w:type="dxa"/>
            <w:vMerge w:val="continue"/>
            <w:tcBorders>
              <w:top w:val="nil"/>
              <w:left w:val="nil"/>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企业</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机构</w:t>
            </w:r>
          </w:p>
        </w:tc>
        <w:tc>
          <w:tcPr>
            <w:tcW w:w="905"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社会公益组织</w:t>
            </w:r>
          </w:p>
        </w:tc>
        <w:tc>
          <w:tcPr>
            <w:tcW w:w="811"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法律服务机构</w:t>
            </w:r>
          </w:p>
        </w:tc>
        <w:tc>
          <w:tcPr>
            <w:tcW w:w="680"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其他</w:t>
            </w:r>
          </w:p>
        </w:tc>
        <w:tc>
          <w:tcPr>
            <w:tcW w:w="612" w:type="dxa"/>
            <w:vMerge w:val="continue"/>
            <w:tcBorders>
              <w:top w:val="single" w:color="auto" w:sz="8" w:space="0"/>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5281"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一、本年新收政府信息公开申请数量</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5281"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二、上年结转政府信息公开申请数量</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450" w:type="dxa"/>
            <w:vMerge w:val="restart"/>
            <w:tcBorders>
              <w:top w:val="nil"/>
              <w:left w:val="single" w:color="auto" w:sz="8" w:space="0"/>
              <w:bottom w:val="out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本年度办理结果</w:t>
            </w:r>
          </w:p>
        </w:tc>
        <w:tc>
          <w:tcPr>
            <w:tcW w:w="4831" w:type="dxa"/>
            <w:gridSpan w:val="2"/>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（一）予以公开</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single" w:color="auto" w:sz="8" w:space="0"/>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5"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4831" w:type="dxa"/>
            <w:gridSpan w:val="2"/>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（二）部分公开（区分处理的，只计这一情形，不计其他情形）</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restart"/>
            <w:tcBorders>
              <w:top w:val="nil"/>
              <w:left w:val="nil"/>
              <w:bottom w:val="out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（三）不予公开</w:t>
            </w:r>
          </w:p>
        </w:tc>
        <w:tc>
          <w:tcPr>
            <w:tcW w:w="3175"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1.属于国家秘密</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single" w:color="auto" w:sz="8" w:space="0"/>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5"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175"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2.其他法律行政法规禁止公开</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175"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3.危及“三安全一稳定”</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175"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4.保护第三方合法权益</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175"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5.属于三类内部事务信息</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175"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6.属于四类过程性信息</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175"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7.属于行政执法案卷</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175"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8.属于行政查询事项</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5"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restart"/>
            <w:tcBorders>
              <w:top w:val="nil"/>
              <w:left w:val="nil"/>
              <w:bottom w:val="out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（四）无法提供</w:t>
            </w:r>
          </w:p>
        </w:tc>
        <w:tc>
          <w:tcPr>
            <w:tcW w:w="3175"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1.本机关不掌握相关政府信息</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5"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175"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2.没有现成信息需要另行制作</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175"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3.补正后申请内容仍不明确</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restart"/>
            <w:tcBorders>
              <w:top w:val="nil"/>
              <w:left w:val="nil"/>
              <w:bottom w:val="out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（五）不予处理</w:t>
            </w:r>
          </w:p>
        </w:tc>
        <w:tc>
          <w:tcPr>
            <w:tcW w:w="3175"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1.信访举报投诉类申请</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175"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2.重复申请</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175"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3.要求提供公开出版物</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175"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4.无正当理由大量反复申请</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175" w:type="dxa"/>
            <w:tcBorders>
              <w:top w:val="nil"/>
              <w:left w:val="nil"/>
              <w:bottom w:val="out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5.要求行政机关确认或重新出具已获取信息</w:t>
            </w:r>
          </w:p>
        </w:tc>
        <w:tc>
          <w:tcPr>
            <w:tcW w:w="389" w:type="dxa"/>
            <w:tcBorders>
              <w:top w:val="nil"/>
              <w:left w:val="nil"/>
              <w:bottom w:val="out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out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out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out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out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out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outset"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restart"/>
            <w:tcBorders>
              <w:top w:val="nil"/>
              <w:left w:val="nil"/>
              <w:bottom w:val="out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（六）其他处理</w:t>
            </w:r>
          </w:p>
        </w:tc>
        <w:tc>
          <w:tcPr>
            <w:tcW w:w="317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1.申请人无正当理由逾期不补正、行政机关不再处理其政府信息公开申请</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0"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17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2.申请人逾期未按收费通知要求缴纳费用、行政机关不再处理其政府信息公开申请</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1656"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17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3.其他</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45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4831" w:type="dxa"/>
            <w:gridSpan w:val="2"/>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（七）总计</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5" w:hRule="atLeast"/>
          <w:jc w:val="center"/>
        </w:trPr>
        <w:tc>
          <w:tcPr>
            <w:tcW w:w="5281"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四、结转下年度继续办理</w:t>
            </w:r>
          </w:p>
        </w:tc>
        <w:tc>
          <w:tcPr>
            <w:tcW w:w="38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08"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51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905"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81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80"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c>
          <w:tcPr>
            <w:tcW w:w="612"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4"/>
          <w:szCs w:val="24"/>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7"/>
          <w:szCs w:val="27"/>
        </w:rPr>
      </w:pPr>
      <w:r>
        <w:rPr>
          <w:rStyle w:val="5"/>
          <w:rFonts w:ascii="黑体" w:hAnsi="宋体" w:eastAsia="黑体" w:cs="黑体"/>
          <w:b/>
          <w:bCs/>
          <w:i w:val="0"/>
          <w:iCs w:val="0"/>
          <w:caps w:val="0"/>
          <w:color w:val="000000"/>
          <w:spacing w:val="0"/>
          <w:sz w:val="24"/>
          <w:szCs w:val="24"/>
          <w:bdr w:val="none" w:color="auto" w:sz="0" w:space="0"/>
          <w:shd w:val="clear" w:fill="FFFFFF"/>
        </w:rPr>
        <w:t>四、政府信息公开行政复议、行政诉讼情况</w:t>
      </w:r>
    </w:p>
    <w:tbl>
      <w:tblPr>
        <w:tblW w:w="9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行政复议</w:t>
            </w:r>
          </w:p>
        </w:tc>
        <w:tc>
          <w:tcPr>
            <w:tcW w:w="6503"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结果维持</w:t>
            </w:r>
          </w:p>
        </w:tc>
        <w:tc>
          <w:tcPr>
            <w:tcW w:w="64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结果</w:t>
            </w:r>
            <w:r>
              <w:rPr>
                <w:rFonts w:ascii="黑体" w:hAnsi="宋体" w:eastAsia="黑体" w:cs="黑体"/>
                <w:color w:val="000000"/>
                <w:sz w:val="24"/>
                <w:szCs w:val="24"/>
                <w:bdr w:val="none" w:color="auto" w:sz="0" w:space="0"/>
              </w:rPr>
              <w:br w:type="textWrapping"/>
            </w:r>
            <w:r>
              <w:rPr>
                <w:rFonts w:ascii="黑体" w:hAnsi="宋体" w:eastAsia="黑体" w:cs="黑体"/>
                <w:color w:val="000000"/>
                <w:sz w:val="24"/>
                <w:szCs w:val="24"/>
                <w:bdr w:val="none" w:color="auto" w:sz="0" w:space="0"/>
              </w:rPr>
              <w:t>纠正</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其他</w:t>
            </w:r>
            <w:r>
              <w:rPr>
                <w:rFonts w:ascii="黑体" w:hAnsi="宋体" w:eastAsia="黑体" w:cs="黑体"/>
                <w:color w:val="000000"/>
                <w:sz w:val="24"/>
                <w:szCs w:val="24"/>
                <w:bdr w:val="none" w:color="auto" w:sz="0" w:space="0"/>
              </w:rPr>
              <w:br w:type="textWrapping"/>
            </w:r>
            <w:r>
              <w:rPr>
                <w:rFonts w:ascii="黑体" w:hAnsi="宋体" w:eastAsia="黑体" w:cs="黑体"/>
                <w:color w:val="000000"/>
                <w:sz w:val="24"/>
                <w:szCs w:val="24"/>
                <w:bdr w:val="none" w:color="auto" w:sz="0" w:space="0"/>
              </w:rPr>
              <w:t>结果</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尚未</w:t>
            </w:r>
            <w:r>
              <w:rPr>
                <w:rFonts w:ascii="黑体" w:hAnsi="宋体" w:eastAsia="黑体" w:cs="黑体"/>
                <w:color w:val="000000"/>
                <w:sz w:val="24"/>
                <w:szCs w:val="24"/>
                <w:bdr w:val="none" w:color="auto" w:sz="0" w:space="0"/>
              </w:rPr>
              <w:br w:type="textWrapping"/>
            </w:r>
            <w:r>
              <w:rPr>
                <w:rFonts w:ascii="黑体" w:hAnsi="宋体" w:eastAsia="黑体" w:cs="黑体"/>
                <w:color w:val="000000"/>
                <w:sz w:val="24"/>
                <w:szCs w:val="24"/>
                <w:bdr w:val="none" w:color="auto" w:sz="0" w:space="0"/>
              </w:rPr>
              <w:t>审结</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总计</w:t>
            </w:r>
          </w:p>
        </w:tc>
        <w:tc>
          <w:tcPr>
            <w:tcW w:w="3248"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未经复议直接起诉</w:t>
            </w:r>
          </w:p>
        </w:tc>
        <w:tc>
          <w:tcPr>
            <w:tcW w:w="3255"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结果</w:t>
            </w:r>
            <w:r>
              <w:rPr>
                <w:rFonts w:ascii="黑体" w:hAnsi="宋体" w:eastAsia="黑体" w:cs="黑体"/>
                <w:color w:val="000000"/>
                <w:sz w:val="24"/>
                <w:szCs w:val="24"/>
                <w:bdr w:val="none" w:color="auto" w:sz="0" w:space="0"/>
              </w:rPr>
              <w:br w:type="textWrapping"/>
            </w:r>
            <w:r>
              <w:rPr>
                <w:rFonts w:ascii="黑体" w:hAnsi="宋体" w:eastAsia="黑体" w:cs="黑体"/>
                <w:color w:val="000000"/>
                <w:sz w:val="24"/>
                <w:szCs w:val="24"/>
                <w:bdr w:val="none" w:color="auto" w:sz="0" w:space="0"/>
              </w:rPr>
              <w:t>维持</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结果</w:t>
            </w:r>
            <w:r>
              <w:rPr>
                <w:rFonts w:ascii="黑体" w:hAnsi="宋体" w:eastAsia="黑体" w:cs="黑体"/>
                <w:color w:val="000000"/>
                <w:sz w:val="24"/>
                <w:szCs w:val="24"/>
                <w:bdr w:val="none" w:color="auto" w:sz="0" w:space="0"/>
              </w:rPr>
              <w:br w:type="textWrapping"/>
            </w:r>
            <w:r>
              <w:rPr>
                <w:rFonts w:ascii="黑体" w:hAnsi="宋体" w:eastAsia="黑体" w:cs="黑体"/>
                <w:color w:val="000000"/>
                <w:sz w:val="24"/>
                <w:szCs w:val="24"/>
                <w:bdr w:val="none" w:color="auto" w:sz="0" w:space="0"/>
              </w:rPr>
              <w:t>纠正</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其他</w:t>
            </w:r>
            <w:r>
              <w:rPr>
                <w:rFonts w:ascii="黑体" w:hAnsi="宋体" w:eastAsia="黑体" w:cs="黑体"/>
                <w:color w:val="000000"/>
                <w:sz w:val="24"/>
                <w:szCs w:val="24"/>
                <w:bdr w:val="none" w:color="auto" w:sz="0" w:space="0"/>
              </w:rPr>
              <w:br w:type="textWrapping"/>
            </w:r>
            <w:r>
              <w:rPr>
                <w:rFonts w:ascii="黑体" w:hAnsi="宋体" w:eastAsia="黑体" w:cs="黑体"/>
                <w:color w:val="000000"/>
                <w:sz w:val="24"/>
                <w:szCs w:val="24"/>
                <w:bdr w:val="none" w:color="auto" w:sz="0" w:space="0"/>
              </w:rPr>
              <w:t>结果</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尚未</w:t>
            </w:r>
            <w:r>
              <w:rPr>
                <w:rFonts w:ascii="黑体" w:hAnsi="宋体" w:eastAsia="黑体" w:cs="黑体"/>
                <w:color w:val="000000"/>
                <w:sz w:val="24"/>
                <w:szCs w:val="24"/>
                <w:bdr w:val="none" w:color="auto" w:sz="0" w:space="0"/>
              </w:rPr>
              <w:br w:type="textWrapping"/>
            </w:r>
            <w:r>
              <w:rPr>
                <w:rFonts w:ascii="黑体" w:hAnsi="宋体" w:eastAsia="黑体" w:cs="黑体"/>
                <w:color w:val="000000"/>
                <w:sz w:val="24"/>
                <w:szCs w:val="24"/>
                <w:bdr w:val="none" w:color="auto" w:sz="0" w:space="0"/>
              </w:rPr>
              <w:t>审结</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总计</w:t>
            </w:r>
          </w:p>
        </w:tc>
        <w:tc>
          <w:tcPr>
            <w:tcW w:w="65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结果</w:t>
            </w:r>
            <w:r>
              <w:rPr>
                <w:rFonts w:ascii="黑体" w:hAnsi="宋体" w:eastAsia="黑体" w:cs="黑体"/>
                <w:color w:val="000000"/>
                <w:sz w:val="24"/>
                <w:szCs w:val="24"/>
                <w:bdr w:val="none" w:color="auto" w:sz="0" w:space="0"/>
              </w:rPr>
              <w:br w:type="textWrapping"/>
            </w:r>
            <w:r>
              <w:rPr>
                <w:rFonts w:ascii="黑体" w:hAnsi="宋体" w:eastAsia="黑体" w:cs="黑体"/>
                <w:color w:val="000000"/>
                <w:sz w:val="24"/>
                <w:szCs w:val="24"/>
                <w:bdr w:val="none" w:color="auto" w:sz="0" w:space="0"/>
              </w:rPr>
              <w:t>维持</w:t>
            </w:r>
          </w:p>
        </w:tc>
        <w:tc>
          <w:tcPr>
            <w:tcW w:w="65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结果</w:t>
            </w:r>
            <w:r>
              <w:rPr>
                <w:rFonts w:ascii="黑体" w:hAnsi="宋体" w:eastAsia="黑体" w:cs="黑体"/>
                <w:color w:val="000000"/>
                <w:sz w:val="24"/>
                <w:szCs w:val="24"/>
                <w:bdr w:val="none" w:color="auto" w:sz="0" w:space="0"/>
              </w:rPr>
              <w:br w:type="textWrapping"/>
            </w:r>
            <w:r>
              <w:rPr>
                <w:rFonts w:ascii="黑体" w:hAnsi="宋体" w:eastAsia="黑体" w:cs="黑体"/>
                <w:color w:val="000000"/>
                <w:sz w:val="24"/>
                <w:szCs w:val="24"/>
                <w:bdr w:val="none" w:color="auto" w:sz="0" w:space="0"/>
              </w:rPr>
              <w:t>纠正</w:t>
            </w:r>
          </w:p>
        </w:tc>
        <w:tc>
          <w:tcPr>
            <w:tcW w:w="65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其他</w:t>
            </w:r>
            <w:r>
              <w:rPr>
                <w:rFonts w:ascii="黑体" w:hAnsi="宋体" w:eastAsia="黑体" w:cs="黑体"/>
                <w:color w:val="000000"/>
                <w:sz w:val="24"/>
                <w:szCs w:val="24"/>
                <w:bdr w:val="none" w:color="auto" w:sz="0" w:space="0"/>
              </w:rPr>
              <w:br w:type="textWrapping"/>
            </w:r>
            <w:r>
              <w:rPr>
                <w:rFonts w:ascii="黑体" w:hAnsi="宋体" w:eastAsia="黑体" w:cs="黑体"/>
                <w:color w:val="000000"/>
                <w:sz w:val="24"/>
                <w:szCs w:val="24"/>
                <w:bdr w:val="none" w:color="auto" w:sz="0" w:space="0"/>
              </w:rPr>
              <w:t>结果</w:t>
            </w:r>
          </w:p>
        </w:tc>
        <w:tc>
          <w:tcPr>
            <w:tcW w:w="65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尚未</w:t>
            </w:r>
            <w:r>
              <w:rPr>
                <w:rFonts w:ascii="黑体" w:hAnsi="宋体" w:eastAsia="黑体" w:cs="黑体"/>
                <w:color w:val="000000"/>
                <w:sz w:val="24"/>
                <w:szCs w:val="24"/>
                <w:bdr w:val="none" w:color="auto" w:sz="0" w:space="0"/>
              </w:rPr>
              <w:br w:type="textWrapping"/>
            </w:r>
            <w:r>
              <w:rPr>
                <w:rFonts w:ascii="黑体" w:hAnsi="宋体" w:eastAsia="黑体" w:cs="黑体"/>
                <w:color w:val="000000"/>
                <w:sz w:val="24"/>
                <w:szCs w:val="24"/>
                <w:bdr w:val="none" w:color="auto" w:sz="0" w:space="0"/>
              </w:rPr>
              <w:t>审结</w:t>
            </w:r>
          </w:p>
        </w:tc>
        <w:tc>
          <w:tcPr>
            <w:tcW w:w="65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000000"/>
                <w:sz w:val="24"/>
                <w:szCs w:val="24"/>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黑体" w:hAnsi="宋体" w:eastAsia="黑体" w:cs="黑体"/>
                <w:color w:val="000000"/>
                <w:sz w:val="24"/>
                <w:szCs w:val="24"/>
                <w:bdr w:val="none" w:color="auto" w:sz="0" w:space="0"/>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黑体" w:hAnsi="宋体" w:eastAsia="黑体" w:cs="黑体"/>
                <w:color w:val="000000"/>
                <w:sz w:val="24"/>
                <w:szCs w:val="24"/>
                <w:bdr w:val="none" w:color="auto" w:sz="0" w:space="0"/>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黑体" w:hAnsi="宋体" w:eastAsia="黑体" w:cs="黑体"/>
                <w:color w:val="000000"/>
                <w:sz w:val="24"/>
                <w:szCs w:val="24"/>
                <w:bdr w:val="none" w:color="auto" w:sz="0" w:space="0"/>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黑体" w:hAnsi="宋体" w:eastAsia="黑体" w:cs="黑体"/>
                <w:color w:val="000000"/>
                <w:sz w:val="24"/>
                <w:szCs w:val="24"/>
                <w:bdr w:val="none" w:color="auto" w:sz="0" w:space="0"/>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黑体" w:hAnsi="宋体" w:eastAsia="黑体" w:cs="黑体"/>
                <w:color w:val="000000"/>
                <w:sz w:val="24"/>
                <w:szCs w:val="24"/>
                <w:bdr w:val="none" w:color="auto" w:sz="0" w:space="0"/>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黑体" w:hAnsi="宋体" w:eastAsia="黑体" w:cs="黑体"/>
                <w:color w:val="000000"/>
                <w:sz w:val="24"/>
                <w:szCs w:val="24"/>
                <w:bdr w:val="none" w:color="auto" w:sz="0" w:space="0"/>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黑体" w:hAnsi="宋体" w:eastAsia="黑体" w:cs="黑体"/>
                <w:color w:val="000000"/>
                <w:sz w:val="24"/>
                <w:szCs w:val="24"/>
                <w:bdr w:val="none" w:color="auto" w:sz="0" w:space="0"/>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黑体" w:hAnsi="宋体" w:eastAsia="黑体" w:cs="黑体"/>
                <w:color w:val="000000"/>
                <w:sz w:val="24"/>
                <w:szCs w:val="24"/>
                <w:bdr w:val="none" w:color="auto" w:sz="0" w:space="0"/>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黑体" w:hAnsi="宋体" w:eastAsia="黑体" w:cs="黑体"/>
                <w:color w:val="000000"/>
                <w:sz w:val="24"/>
                <w:szCs w:val="24"/>
                <w:bdr w:val="none" w:color="auto" w:sz="0" w:space="0"/>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黑体" w:hAnsi="宋体" w:eastAsia="黑体" w:cs="黑体"/>
                <w:color w:val="000000"/>
                <w:sz w:val="24"/>
                <w:szCs w:val="24"/>
                <w:bdr w:val="none" w:color="auto" w:sz="0" w:space="0"/>
              </w:rPr>
              <w:t>0</w:t>
            </w:r>
          </w:p>
        </w:tc>
        <w:tc>
          <w:tcPr>
            <w:tcW w:w="6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黑体" w:hAnsi="宋体" w:eastAsia="黑体" w:cs="黑体"/>
                <w:color w:val="000000"/>
                <w:sz w:val="24"/>
                <w:szCs w:val="24"/>
                <w:bdr w:val="none" w:color="auto" w:sz="0" w:space="0"/>
              </w:rPr>
              <w:t>0</w:t>
            </w:r>
          </w:p>
        </w:tc>
        <w:tc>
          <w:tcPr>
            <w:tcW w:w="6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黑体" w:hAnsi="宋体" w:eastAsia="黑体" w:cs="黑体"/>
                <w:color w:val="000000"/>
                <w:sz w:val="24"/>
                <w:szCs w:val="24"/>
                <w:bdr w:val="none" w:color="auto" w:sz="0" w:space="0"/>
              </w:rPr>
              <w:t>0</w:t>
            </w:r>
          </w:p>
        </w:tc>
        <w:tc>
          <w:tcPr>
            <w:tcW w:w="6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黑体" w:hAnsi="宋体" w:eastAsia="黑体" w:cs="黑体"/>
                <w:color w:val="000000"/>
                <w:sz w:val="24"/>
                <w:szCs w:val="24"/>
                <w:bdr w:val="none" w:color="auto" w:sz="0" w:space="0"/>
              </w:rPr>
              <w:t>0</w:t>
            </w:r>
          </w:p>
        </w:tc>
        <w:tc>
          <w:tcPr>
            <w:tcW w:w="6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黑体" w:hAnsi="宋体" w:eastAsia="黑体" w:cs="黑体"/>
                <w:color w:val="000000"/>
                <w:sz w:val="24"/>
                <w:szCs w:val="24"/>
                <w:bdr w:val="none" w:color="auto" w:sz="0" w:space="0"/>
              </w:rPr>
              <w:t>0</w:t>
            </w:r>
          </w:p>
        </w:tc>
        <w:tc>
          <w:tcPr>
            <w:tcW w:w="6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黑体" w:hAnsi="宋体" w:eastAsia="黑体" w:cs="黑体"/>
                <w:color w:val="000000"/>
                <w:sz w:val="24"/>
                <w:szCs w:val="24"/>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rPr>
          <w:rFonts w:hint="eastAsia" w:ascii="微软雅黑" w:hAnsi="微软雅黑" w:eastAsia="微软雅黑" w:cs="微软雅黑"/>
          <w:i w:val="0"/>
          <w:iCs w:val="0"/>
          <w:caps w:val="0"/>
          <w:color w:val="000000"/>
          <w:spacing w:val="0"/>
          <w:sz w:val="27"/>
          <w:szCs w:val="27"/>
        </w:rPr>
      </w:pPr>
      <w:r>
        <w:rPr>
          <w:rStyle w:val="5"/>
          <w:rFonts w:ascii="黑体" w:hAnsi="宋体" w:eastAsia="黑体" w:cs="黑体"/>
          <w:b/>
          <w:bCs/>
          <w:i w:val="0"/>
          <w:iCs w:val="0"/>
          <w:caps w:val="0"/>
          <w:color w:val="000000"/>
          <w:spacing w:val="0"/>
          <w:sz w:val="24"/>
          <w:szCs w:val="24"/>
          <w:bdr w:val="none" w:color="auto" w:sz="0" w:space="0"/>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4"/>
          <w:szCs w:val="24"/>
          <w:bdr w:val="none" w:color="auto" w:sz="0" w:space="0"/>
          <w:shd w:val="clear" w:fill="FFFFFF"/>
        </w:rPr>
        <w:t>少海街道的政府信息公开工作相比2021年取得了一些进步，但仍存在公开不及时，内容不全等情况。下一步，少海街道将持续加大政府信息公开力度，强化公开意识，注重业务培训，提升专业能力，进一步细化公开范围、程序、内容，更加注重信息公开时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rPr>
          <w:rFonts w:hint="eastAsia" w:ascii="微软雅黑" w:hAnsi="微软雅黑" w:eastAsia="微软雅黑" w:cs="微软雅黑"/>
          <w:i w:val="0"/>
          <w:iCs w:val="0"/>
          <w:caps w:val="0"/>
          <w:color w:val="000000"/>
          <w:spacing w:val="0"/>
          <w:sz w:val="27"/>
          <w:szCs w:val="27"/>
        </w:rPr>
      </w:pPr>
      <w:r>
        <w:rPr>
          <w:rStyle w:val="5"/>
          <w:rFonts w:ascii="黑体" w:hAnsi="宋体" w:eastAsia="黑体" w:cs="黑体"/>
          <w:b/>
          <w:bCs/>
          <w:i w:val="0"/>
          <w:iCs w:val="0"/>
          <w:caps w:val="0"/>
          <w:color w:val="000000"/>
          <w:spacing w:val="0"/>
          <w:sz w:val="24"/>
          <w:szCs w:val="24"/>
          <w:bdr w:val="none" w:color="auto" w:sz="0" w:space="0"/>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4"/>
          <w:szCs w:val="24"/>
          <w:bdr w:val="none" w:color="auto" w:sz="0" w:space="0"/>
          <w:shd w:val="clear" w:fill="FFFFFF"/>
        </w:rPr>
        <w:t>1、依据《政府信息公开信息处理费管理办法》，少海街道不存在收取信息处理费用的情况。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4"/>
          <w:szCs w:val="24"/>
          <w:bdr w:val="none" w:color="auto" w:sz="0" w:space="0"/>
          <w:shd w:val="clear" w:fill="FFFFFF"/>
        </w:rPr>
        <w:t>2、少海街道落实上年度政府信息公开工作要点情况：少海街道严格遵循“有领导分管、有部门负责、有专人实施”、“先审查、后公开”、“一事一审、全面审查”和依法公开的原则，认真落实信息公开保密审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4"/>
          <w:szCs w:val="24"/>
          <w:bdr w:val="none" w:color="auto" w:sz="0" w:space="0"/>
          <w:shd w:val="clear" w:fill="FFFFFF"/>
        </w:rPr>
        <w:t>3、少海街道人大代表建议和政协提案办理结果公开情况：2022年，少海街道办事处主办政协委员提案答复1件，协办政协委员提案答复1件，政协提案办复率100%，所提问题已解决或基本解决。无人大议案或建议。未收到群众的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4"/>
          <w:szCs w:val="24"/>
          <w:bdr w:val="none" w:color="auto" w:sz="0" w:space="0"/>
          <w:shd w:val="clear" w:fill="FFFFFF"/>
        </w:rPr>
        <w:t>4、少海街道年度政府信息公开工作创新情况：为做好少海街道信息公开保密审查工作，制定了《少海街道宣传报道和信息公开保密审查制度》。明确工作职责，由专人负责保密审查日常工作，确保政府信息公开及时、准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OTNjNjJlZTc1ODI5ZDM4M2IzZjM5OGI2ODM5ZmYifQ=="/>
  </w:docVars>
  <w:rsids>
    <w:rsidRoot w:val="7501244F"/>
    <w:rsid w:val="75012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2023-01-31T02:31:00Z</dcterms:created>
  <dc:creator>Lenovo</dc:creator>
  <cp:lastModifiedBy>Lenovo</cp:lastModifiedBy>
  <dcterms:modified xsi:type="dcterms:W3CDTF">2023-01-31T02:34:03Z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BF6291EB99154C14AF1D547FD163EE0C</vt:lpwstr>
  </property>
</Properties>
</file>