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城区街道办事处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2019年度</w:t>
      </w:r>
      <w:r>
        <w:rPr>
          <w:rFonts w:hint="eastAsia" w:ascii="方正小标宋简体" w:hAnsi="方正小标宋简体" w:eastAsia="方正小标宋简体" w:cs="方正小标宋简体"/>
          <w:b w:val="0"/>
          <w:bCs/>
          <w:sz w:val="44"/>
          <w:szCs w:val="44"/>
        </w:rPr>
        <w:t>政府信息公开工作年度报告</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根据《中华人民共和国政府信息公开条例》（以下简称《条例》）和《山东省政府信息公开办法》的规定，现公布2019年城区街道政府信息公开年度报告，内容涵盖城区街道办事处2019年1月1日至12月31日期间的政府信息公开工作情况。如对本报告有任何疑问，请与本单位政府信息公开受理机构联系（地址：桓台县城区街道办事处，邮编：256400，电话:0533-8182329）。</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2019年，城区街道办事处政府信息公开工作在上级主管部门及城区街道党工委、办事处的正确领导下，按照省、市、县有关要求，加强领导，精心实施，在完善政府信息公开制度、建立健全政府信息公开保障机制、规范梳理政府信息公开目录和指南、搭建政府信息公开网上平台等方面有较大进展，结合街道实际，突出重点，创新形式，不断提高政府信息公开工作水平，积极做好桓台县人民政府网站内容维护及信息公开，不断深化公开内容，加强政府信息公开工作业务培训，不断创新政府信息公开载体形式，从而保障政府信息公开工作的扎实有效开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2019年，城区街道按照市、县统一部署，加强组织领导，健全工作机制，认真贯彻《条例》和各级规定的各项要求，扎实推进政府信息公开工作。</w:t>
      </w:r>
      <w:r>
        <w:rPr>
          <w:rFonts w:hint="eastAsia" w:ascii="仿宋_GB2312" w:hAnsi="仿宋_GB2312" w:eastAsia="仿宋_GB2312" w:cs="仿宋_GB2312"/>
          <w:b w:val="0"/>
          <w:i w:val="0"/>
          <w:caps w:val="0"/>
          <w:color w:val="auto"/>
          <w:spacing w:val="0"/>
          <w:sz w:val="32"/>
          <w:szCs w:val="32"/>
          <w:lang w:eastAsia="zh-CN"/>
        </w:rPr>
        <w:t>城区</w:t>
      </w:r>
      <w:r>
        <w:rPr>
          <w:rFonts w:hint="eastAsia" w:ascii="仿宋_GB2312" w:hAnsi="仿宋_GB2312" w:eastAsia="仿宋_GB2312" w:cs="仿宋_GB2312"/>
          <w:b w:val="0"/>
          <w:i w:val="0"/>
          <w:caps w:val="0"/>
          <w:color w:val="auto"/>
          <w:spacing w:val="0"/>
          <w:sz w:val="32"/>
          <w:szCs w:val="32"/>
        </w:rPr>
        <w:t>街道</w:t>
      </w:r>
      <w:r>
        <w:rPr>
          <w:rFonts w:hint="eastAsia" w:ascii="仿宋_GB2312" w:hAnsi="仿宋_GB2312" w:eastAsia="仿宋_GB2312" w:cs="仿宋_GB2312"/>
          <w:b w:val="0"/>
          <w:i w:val="0"/>
          <w:caps w:val="0"/>
          <w:color w:val="auto"/>
          <w:spacing w:val="0"/>
          <w:sz w:val="32"/>
          <w:szCs w:val="32"/>
          <w:lang w:eastAsia="zh-CN"/>
        </w:rPr>
        <w:t>办事处</w:t>
      </w:r>
      <w:r>
        <w:rPr>
          <w:rFonts w:hint="eastAsia" w:ascii="仿宋_GB2312" w:hAnsi="仿宋_GB2312" w:eastAsia="仿宋_GB2312" w:cs="仿宋_GB2312"/>
          <w:b w:val="0"/>
          <w:i w:val="0"/>
          <w:caps w:val="0"/>
          <w:color w:val="auto"/>
          <w:spacing w:val="0"/>
          <w:sz w:val="32"/>
          <w:szCs w:val="32"/>
        </w:rPr>
        <w:t>高度重视政府信息公开工作，实行专人负责制，成立了由党工委副书记任组长的城区街道办事处政府信息公开工作领导小组，领导小组下设办公室在党政办，负责统筹协调编制政府信息公开内容，全力推进</w:t>
      </w:r>
      <w:r>
        <w:rPr>
          <w:rFonts w:hint="eastAsia" w:ascii="仿宋_GB2312" w:hAnsi="仿宋_GB2312" w:eastAsia="仿宋_GB2312" w:cs="仿宋_GB2312"/>
          <w:b w:val="0"/>
          <w:i w:val="0"/>
          <w:caps w:val="0"/>
          <w:color w:val="auto"/>
          <w:spacing w:val="0"/>
          <w:sz w:val="32"/>
          <w:szCs w:val="32"/>
          <w:lang w:eastAsia="zh-CN"/>
        </w:rPr>
        <w:t>城区</w:t>
      </w:r>
      <w:r>
        <w:rPr>
          <w:rFonts w:hint="eastAsia" w:ascii="仿宋_GB2312" w:hAnsi="仿宋_GB2312" w:eastAsia="仿宋_GB2312" w:cs="仿宋_GB2312"/>
          <w:b w:val="0"/>
          <w:i w:val="0"/>
          <w:caps w:val="0"/>
          <w:color w:val="auto"/>
          <w:spacing w:val="0"/>
          <w:sz w:val="32"/>
          <w:szCs w:val="32"/>
        </w:rPr>
        <w:t>街道办事处的政府信息公开工作。依据《条例》和桓台县政府信息公开有关文件要求，继续根据《城区街道办事处政府信息公开审查制度》《城区街道办事处政府信息依申请公开制度》等明确政府信息的工作内容、形式和公开、受理、回复的反馈机制，严格遵循政府信息公开基本原则开展信息公开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2019年，城区街道办事处严格按照《条例》和上级部门的总体要求做好政府信息公开工作，力求做到积极稳妥，及时准确，公开、公正、便民。在桓台县人民政府网站上主动公开信息，2019年全年发布7条信息，涉及法规文件、政策解读、办事指南、业务工作及其他信息公开；同时主要通过政府宣传栏、微信公众平台等方式主动公开政务，公开公示本镇的有关工作信息、工作动态、工作报告、办事指南政府有关公告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eastAsia"/>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本年新制作数量</w:t>
            </w:r>
          </w:p>
        </w:tc>
        <w:tc>
          <w:tcPr>
            <w:tcW w:w="2030" w:type="dxa"/>
            <w:vAlign w:val="center"/>
          </w:tcPr>
          <w:p>
            <w:pPr>
              <w:jc w:val="center"/>
              <w:rPr>
                <w:sz w:val="24"/>
                <w:szCs w:val="24"/>
              </w:rPr>
            </w:pPr>
            <w:r>
              <w:rPr>
                <w:rFonts w:hint="eastAsia"/>
                <w:sz w:val="24"/>
                <w:szCs w:val="24"/>
              </w:rPr>
              <w:t>本年新</w:t>
            </w:r>
          </w:p>
          <w:p>
            <w:pPr>
              <w:jc w:val="center"/>
              <w:rPr>
                <w:rFonts w:hint="eastAsia"/>
                <w:sz w:val="24"/>
                <w:szCs w:val="24"/>
              </w:rPr>
            </w:pPr>
            <w:r>
              <w:rPr>
                <w:rFonts w:hint="eastAsia"/>
                <w:sz w:val="24"/>
                <w:szCs w:val="24"/>
              </w:rPr>
              <w:t>公开数量</w:t>
            </w:r>
          </w:p>
        </w:tc>
        <w:tc>
          <w:tcPr>
            <w:tcW w:w="2222" w:type="dxa"/>
            <w:vAlign w:val="center"/>
          </w:tcPr>
          <w:p>
            <w:pPr>
              <w:jc w:val="center"/>
              <w:rPr>
                <w:sz w:val="24"/>
                <w:szCs w:val="24"/>
              </w:rPr>
            </w:pPr>
            <w:r>
              <w:rPr>
                <w:rFonts w:hint="eastAsia"/>
                <w:sz w:val="24"/>
                <w:szCs w:val="24"/>
              </w:rPr>
              <w:t>对外公开</w:t>
            </w:r>
          </w:p>
          <w:p>
            <w:pPr>
              <w:jc w:val="center"/>
              <w:rPr>
                <w:rFonts w:hint="eastAsia"/>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eastAsia"/>
                <w:sz w:val="24"/>
                <w:szCs w:val="24"/>
              </w:rPr>
            </w:pPr>
            <w:r>
              <w:rPr>
                <w:rFonts w:hint="eastAsia"/>
                <w:sz w:val="24"/>
                <w:szCs w:val="24"/>
              </w:rPr>
              <w:t>规章</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94" w:type="dxa"/>
            <w:vAlign w:val="center"/>
          </w:tcPr>
          <w:p>
            <w:pPr>
              <w:rPr>
                <w:rFonts w:hint="eastAsia"/>
                <w:sz w:val="24"/>
                <w:szCs w:val="24"/>
              </w:rPr>
            </w:pPr>
            <w:r>
              <w:rPr>
                <w:rFonts w:hint="eastAsia"/>
                <w:sz w:val="24"/>
                <w:szCs w:val="24"/>
              </w:rPr>
              <w:t>规范性文件</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16</w:t>
            </w:r>
          </w:p>
        </w:tc>
        <w:tc>
          <w:tcPr>
            <w:tcW w:w="2030" w:type="dxa"/>
            <w:vAlign w:val="center"/>
          </w:tcPr>
          <w:p>
            <w:pPr>
              <w:rPr>
                <w:rFonts w:hint="default" w:eastAsiaTheme="minorEastAsia"/>
                <w:sz w:val="24"/>
                <w:szCs w:val="24"/>
                <w:lang w:val="en-US" w:eastAsia="zh-CN"/>
              </w:rPr>
            </w:pPr>
            <w:r>
              <w:rPr>
                <w:rFonts w:hint="eastAsia"/>
                <w:sz w:val="24"/>
                <w:szCs w:val="24"/>
                <w:lang w:val="en-US" w:eastAsia="zh-CN"/>
              </w:rPr>
              <w:t>4</w:t>
            </w:r>
          </w:p>
        </w:tc>
        <w:tc>
          <w:tcPr>
            <w:tcW w:w="2222" w:type="dxa"/>
            <w:vAlign w:val="center"/>
          </w:tcPr>
          <w:p>
            <w:pPr>
              <w:rPr>
                <w:rFonts w:hint="default" w:eastAsiaTheme="minorEastAsia"/>
                <w:sz w:val="24"/>
                <w:szCs w:val="24"/>
                <w:lang w:val="en-US" w:eastAsia="zh-CN"/>
              </w:rPr>
            </w:pPr>
            <w:r>
              <w:rPr>
                <w:rFonts w:hint="eastAsia"/>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eastAsia"/>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eastAsia"/>
                <w:sz w:val="24"/>
                <w:szCs w:val="24"/>
              </w:rPr>
            </w:pPr>
            <w:r>
              <w:rPr>
                <w:rFonts w:hint="eastAsia"/>
                <w:sz w:val="24"/>
                <w:szCs w:val="24"/>
              </w:rPr>
              <w:t>行政许可</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rFonts w:hint="eastAsia"/>
                <w:sz w:val="24"/>
                <w:szCs w:val="24"/>
              </w:rPr>
            </w:pPr>
            <w:r>
              <w:rPr>
                <w:rFonts w:hint="eastAsia"/>
                <w:sz w:val="24"/>
                <w:szCs w:val="24"/>
              </w:rPr>
              <w:t>其他对外管理服务事项</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eastAsia"/>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sz w:val="24"/>
                <w:szCs w:val="24"/>
              </w:rPr>
            </w:pPr>
            <w:r>
              <w:rPr>
                <w:rFonts w:hint="eastAsia"/>
                <w:sz w:val="24"/>
                <w:szCs w:val="24"/>
              </w:rPr>
              <w:t>行政处罚</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sz w:val="24"/>
                <w:szCs w:val="24"/>
              </w:rPr>
            </w:pPr>
            <w:r>
              <w:rPr>
                <w:rFonts w:hint="eastAsia"/>
                <w:sz w:val="24"/>
                <w:szCs w:val="24"/>
              </w:rPr>
              <w:t>行政强制</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eastAsia"/>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4252" w:type="dxa"/>
            <w:gridSpan w:val="2"/>
            <w:vAlign w:val="center"/>
          </w:tcPr>
          <w:p>
            <w:pPr>
              <w:jc w:val="center"/>
              <w:rPr>
                <w:rFonts w:hint="eastAsia"/>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eastAsia"/>
                <w:sz w:val="24"/>
                <w:szCs w:val="24"/>
              </w:rPr>
            </w:pPr>
            <w:r>
              <w:rPr>
                <w:rFonts w:hint="eastAsia"/>
                <w:sz w:val="24"/>
                <w:szCs w:val="24"/>
              </w:rPr>
              <w:t>行政事业性收费</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4252" w:type="dxa"/>
            <w:gridSpan w:val="2"/>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eastAsia"/>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采购项目数量</w:t>
            </w:r>
          </w:p>
        </w:tc>
        <w:tc>
          <w:tcPr>
            <w:tcW w:w="4252" w:type="dxa"/>
            <w:gridSpan w:val="2"/>
            <w:vAlign w:val="center"/>
          </w:tcPr>
          <w:p>
            <w:pPr>
              <w:jc w:val="center"/>
              <w:rPr>
                <w:rFonts w:hint="eastAsia"/>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rFonts w:hint="eastAsia"/>
                <w:sz w:val="24"/>
                <w:szCs w:val="24"/>
              </w:rPr>
            </w:pPr>
            <w:r>
              <w:rPr>
                <w:rFonts w:hint="eastAsia"/>
                <w:sz w:val="24"/>
                <w:szCs w:val="24"/>
              </w:rPr>
              <w:t>政府集中采购</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4252" w:type="dxa"/>
            <w:gridSpan w:val="2"/>
            <w:vAlign w:val="center"/>
          </w:tcPr>
          <w:p>
            <w:pPr>
              <w:rPr>
                <w:rFonts w:hint="eastAsia" w:eastAsiaTheme="minorEastAsia"/>
                <w:sz w:val="24"/>
                <w:szCs w:val="24"/>
                <w:lang w:val="en-US" w:eastAsia="zh-CN"/>
              </w:rPr>
            </w:pPr>
            <w:r>
              <w:rPr>
                <w:rFonts w:hint="eastAsia"/>
                <w:sz w:val="24"/>
                <w:szCs w:val="24"/>
                <w:lang w:val="en-US" w:eastAsia="zh-CN"/>
              </w:rPr>
              <w:t>0</w:t>
            </w:r>
          </w:p>
        </w:tc>
      </w:tr>
    </w:tbl>
    <w:p>
      <w:pPr>
        <w:rPr>
          <w:rFonts w:hint="eastAsia" w:ascii="黑体" w:hAnsi="黑体" w:eastAsia="黑体"/>
          <w:b w:val="0"/>
          <w:bCs/>
          <w:sz w:val="32"/>
          <w:szCs w:val="32"/>
        </w:rPr>
      </w:pPr>
      <w:r>
        <w:rPr>
          <w:rFonts w:hint="eastAsia" w:ascii="黑体" w:hAnsi="黑体" w:eastAsia="黑体"/>
          <w:b w:val="0"/>
          <w:bCs/>
          <w:sz w:val="32"/>
          <w:szCs w:val="32"/>
        </w:rPr>
        <w:t>三、收到和处理政府信息公开申请情况</w:t>
      </w:r>
    </w:p>
    <w:tbl>
      <w:tblPr>
        <w:tblStyle w:val="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rPr>
                <w:rFonts w:hint="eastAsia"/>
              </w:rPr>
            </w:pPr>
            <w:r>
              <w:rPr>
                <w:rFonts w:hint="eastAsia"/>
              </w:rPr>
              <w:t>（本列数据的勾稽关系为：第一项加第二项之和，等于第三项加第四项之和）</w:t>
            </w:r>
          </w:p>
        </w:tc>
        <w:tc>
          <w:tcPr>
            <w:tcW w:w="4961" w:type="dxa"/>
            <w:gridSpan w:val="7"/>
            <w:vAlign w:val="center"/>
          </w:tcPr>
          <w:p>
            <w:pPr>
              <w:jc w:val="center"/>
              <w:rPr>
                <w:rFonts w:hint="eastAsia"/>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rPr>
                <w:rFonts w:hint="eastAsia"/>
              </w:rPr>
            </w:pPr>
          </w:p>
        </w:tc>
        <w:tc>
          <w:tcPr>
            <w:tcW w:w="567" w:type="dxa"/>
            <w:vMerge w:val="restart"/>
            <w:vAlign w:val="center"/>
          </w:tcPr>
          <w:p>
            <w:pPr>
              <w:jc w:val="center"/>
              <w:rPr>
                <w:rFonts w:hint="eastAsia"/>
                <w:sz w:val="18"/>
                <w:szCs w:val="18"/>
              </w:rPr>
            </w:pPr>
            <w:r>
              <w:rPr>
                <w:rFonts w:hint="eastAsia"/>
                <w:szCs w:val="21"/>
              </w:rPr>
              <w:t>自然人</w:t>
            </w:r>
          </w:p>
        </w:tc>
        <w:tc>
          <w:tcPr>
            <w:tcW w:w="3544" w:type="dxa"/>
            <w:gridSpan w:val="5"/>
            <w:vAlign w:val="center"/>
          </w:tcPr>
          <w:p>
            <w:pPr>
              <w:jc w:val="center"/>
              <w:rPr>
                <w:rFonts w:hint="eastAsia"/>
                <w:szCs w:val="21"/>
              </w:rPr>
            </w:pPr>
            <w:r>
              <w:rPr>
                <w:rFonts w:hint="eastAsia"/>
                <w:szCs w:val="21"/>
              </w:rPr>
              <w:t>法人或其他组织</w:t>
            </w:r>
          </w:p>
        </w:tc>
        <w:tc>
          <w:tcPr>
            <w:tcW w:w="850" w:type="dxa"/>
            <w:vMerge w:val="restart"/>
            <w:vAlign w:val="center"/>
          </w:tcPr>
          <w:p>
            <w:pP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rPr>
                <w:rFonts w:hint="eastAsia"/>
              </w:rPr>
            </w:pPr>
          </w:p>
        </w:tc>
        <w:tc>
          <w:tcPr>
            <w:tcW w:w="567" w:type="dxa"/>
            <w:vMerge w:val="continue"/>
          </w:tcPr>
          <w:p>
            <w:pPr>
              <w:rPr>
                <w:rFonts w:hint="eastAsia"/>
                <w:sz w:val="18"/>
                <w:szCs w:val="18"/>
              </w:rPr>
            </w:pPr>
          </w:p>
        </w:tc>
        <w:tc>
          <w:tcPr>
            <w:tcW w:w="709" w:type="dxa"/>
            <w:vAlign w:val="center"/>
          </w:tcPr>
          <w:p>
            <w:pPr>
              <w:rPr>
                <w:rFonts w:hint="eastAsia"/>
                <w:szCs w:val="21"/>
              </w:rPr>
            </w:pPr>
            <w:r>
              <w:rPr>
                <w:rFonts w:hint="eastAsia"/>
                <w:szCs w:val="21"/>
              </w:rPr>
              <w:t>商业企业</w:t>
            </w:r>
          </w:p>
        </w:tc>
        <w:tc>
          <w:tcPr>
            <w:tcW w:w="708" w:type="dxa"/>
            <w:vAlign w:val="center"/>
          </w:tcPr>
          <w:p>
            <w:pPr>
              <w:rPr>
                <w:rFonts w:hint="eastAsia"/>
                <w:szCs w:val="21"/>
              </w:rPr>
            </w:pPr>
            <w:r>
              <w:rPr>
                <w:rFonts w:hint="eastAsia"/>
                <w:szCs w:val="21"/>
              </w:rPr>
              <w:t>科研机构</w:t>
            </w:r>
          </w:p>
        </w:tc>
        <w:tc>
          <w:tcPr>
            <w:tcW w:w="709" w:type="dxa"/>
            <w:vAlign w:val="center"/>
          </w:tcPr>
          <w:p>
            <w:pPr>
              <w:rPr>
                <w:rFonts w:hint="eastAsia"/>
                <w:szCs w:val="21"/>
              </w:rPr>
            </w:pPr>
            <w:r>
              <w:rPr>
                <w:rFonts w:hint="eastAsia"/>
                <w:szCs w:val="21"/>
              </w:rPr>
              <w:t>社会公益组织</w:t>
            </w:r>
          </w:p>
        </w:tc>
        <w:tc>
          <w:tcPr>
            <w:tcW w:w="709" w:type="dxa"/>
            <w:vAlign w:val="center"/>
          </w:tcPr>
          <w:p>
            <w:pPr>
              <w:rPr>
                <w:rFonts w:hint="eastAsia"/>
                <w:szCs w:val="21"/>
              </w:rPr>
            </w:pPr>
            <w:r>
              <w:rPr>
                <w:rFonts w:hint="eastAsia"/>
                <w:szCs w:val="21"/>
              </w:rPr>
              <w:t>法律服务机构</w:t>
            </w:r>
          </w:p>
        </w:tc>
        <w:tc>
          <w:tcPr>
            <w:tcW w:w="709" w:type="dxa"/>
            <w:vAlign w:val="center"/>
          </w:tcPr>
          <w:p>
            <w:pPr>
              <w:rPr>
                <w:rFonts w:hint="eastAsia"/>
                <w:szCs w:val="21"/>
              </w:rPr>
            </w:pPr>
            <w:r>
              <w:rPr>
                <w:rFonts w:hint="eastAsia"/>
                <w:szCs w:val="21"/>
              </w:rPr>
              <w:t>其他</w:t>
            </w:r>
          </w:p>
        </w:tc>
        <w:tc>
          <w:tcPr>
            <w:tcW w:w="850" w:type="dxa"/>
            <w:vMerge w:val="continue"/>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rPr>
                <w:rFonts w:hint="eastAsia"/>
              </w:rPr>
            </w:pPr>
            <w:r>
              <w:rPr>
                <w:rFonts w:hint="eastAsia"/>
              </w:rPr>
              <w:t>一、本年新收政府信息公开申请数量</w:t>
            </w:r>
          </w:p>
        </w:tc>
        <w:tc>
          <w:tcPr>
            <w:tcW w:w="567" w:type="dxa"/>
          </w:tcPr>
          <w:p>
            <w:pPr>
              <w:rPr>
                <w:rFonts w:hint="eastAsia"/>
              </w:rPr>
            </w:pPr>
          </w:p>
        </w:tc>
        <w:tc>
          <w:tcPr>
            <w:tcW w:w="709" w:type="dxa"/>
            <w:vAlign w:val="center"/>
          </w:tcPr>
          <w:p>
            <w:pPr>
              <w:rPr>
                <w:rFonts w:hint="eastAsia"/>
                <w:szCs w:val="21"/>
              </w:rPr>
            </w:pPr>
          </w:p>
        </w:tc>
        <w:tc>
          <w:tcPr>
            <w:tcW w:w="708" w:type="dxa"/>
            <w:vAlign w:val="center"/>
          </w:tcPr>
          <w:p>
            <w:pPr>
              <w:rPr>
                <w:rFonts w:hint="eastAsia"/>
                <w:szCs w:val="21"/>
              </w:rPr>
            </w:pPr>
          </w:p>
        </w:tc>
        <w:tc>
          <w:tcPr>
            <w:tcW w:w="709" w:type="dxa"/>
            <w:vAlign w:val="center"/>
          </w:tcPr>
          <w:p>
            <w:pPr>
              <w:rPr>
                <w:rFonts w:hint="eastAsia"/>
                <w:szCs w:val="21"/>
              </w:rPr>
            </w:pPr>
          </w:p>
        </w:tc>
        <w:tc>
          <w:tcPr>
            <w:tcW w:w="709" w:type="dxa"/>
            <w:vAlign w:val="center"/>
          </w:tcPr>
          <w:p>
            <w:pPr>
              <w:rPr>
                <w:rFonts w:hint="eastAsia"/>
                <w:szCs w:val="21"/>
              </w:rPr>
            </w:pPr>
          </w:p>
        </w:tc>
        <w:tc>
          <w:tcPr>
            <w:tcW w:w="709" w:type="dxa"/>
            <w:vAlign w:val="center"/>
          </w:tcPr>
          <w:p>
            <w:pPr>
              <w:rPr>
                <w:rFonts w:hint="eastAsia"/>
                <w:szCs w:val="21"/>
              </w:rPr>
            </w:pPr>
          </w:p>
        </w:tc>
        <w:tc>
          <w:tcPr>
            <w:tcW w:w="850" w:type="dxa"/>
            <w:vAlign w:val="center"/>
          </w:tcPr>
          <w:p>
            <w:pP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rPr>
                <w:rFonts w:hint="eastAsia"/>
              </w:rPr>
            </w:pPr>
            <w:r>
              <w:rPr>
                <w:rFonts w:hint="eastAsia"/>
              </w:rPr>
              <w:t>二、上年结转政府信息公开申请数量</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jc w:val="both"/>
              <w:rPr>
                <w:rFonts w:hint="eastAsia"/>
              </w:rPr>
            </w:pPr>
            <w:r>
              <w:rPr>
                <w:rFonts w:hint="eastAsia"/>
              </w:rPr>
              <w:t>三、本年度办理结果</w:t>
            </w:r>
          </w:p>
        </w:tc>
        <w:tc>
          <w:tcPr>
            <w:tcW w:w="4253"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rPr>
            </w:pPr>
          </w:p>
        </w:tc>
        <w:tc>
          <w:tcPr>
            <w:tcW w:w="4253"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rPr>
                <w:rFonts w:hint="eastAsia"/>
              </w:rPr>
            </w:pPr>
          </w:p>
        </w:tc>
        <w:tc>
          <w:tcPr>
            <w:tcW w:w="1560"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93"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rPr>
                <w:rFonts w:hint="eastAsia"/>
              </w:rPr>
            </w:pPr>
          </w:p>
        </w:tc>
        <w:tc>
          <w:tcPr>
            <w:tcW w:w="1560" w:type="dxa"/>
            <w:vMerge w:val="continue"/>
            <w:vAlign w:val="center"/>
          </w:tcPr>
          <w:p>
            <w:pPr>
              <w:rPr>
                <w:rFonts w:asciiTheme="minorEastAsia" w:hAnsiTheme="minor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rPr>
                <w:rFonts w:hint="eastAsia"/>
              </w:rPr>
            </w:pPr>
          </w:p>
        </w:tc>
        <w:tc>
          <w:tcPr>
            <w:tcW w:w="1560" w:type="dxa"/>
            <w:vMerge w:val="restart"/>
            <w:vAlign w:val="center"/>
          </w:tcPr>
          <w:p>
            <w:pPr>
              <w:rPr>
                <w:rFonts w:hint="eastAsia"/>
                <w:sz w:val="18"/>
                <w:szCs w:val="18"/>
              </w:rPr>
            </w:pPr>
            <w:r>
              <w:rPr>
                <w:rFonts w:hint="eastAsia"/>
                <w:sz w:val="18"/>
                <w:szCs w:val="18"/>
              </w:rPr>
              <w:t>（四）无法提供</w:t>
            </w:r>
          </w:p>
        </w:tc>
        <w:tc>
          <w:tcPr>
            <w:tcW w:w="2693"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rPr>
                <w:rFonts w:hint="eastAsia"/>
              </w:rPr>
            </w:pPr>
          </w:p>
        </w:tc>
        <w:tc>
          <w:tcPr>
            <w:tcW w:w="1560" w:type="dxa"/>
            <w:vMerge w:val="restart"/>
            <w:vAlign w:val="center"/>
          </w:tcPr>
          <w:p>
            <w:pPr>
              <w:rPr>
                <w:rFonts w:hint="eastAsia"/>
                <w:sz w:val="18"/>
                <w:szCs w:val="18"/>
              </w:rPr>
            </w:pPr>
            <w:r>
              <w:rPr>
                <w:rFonts w:hint="eastAsia"/>
                <w:sz w:val="18"/>
                <w:szCs w:val="18"/>
              </w:rPr>
              <w:t>（五）</w:t>
            </w:r>
            <w:r>
              <w:rPr>
                <w:rFonts w:hint="eastAsia" w:asciiTheme="minorEastAsia" w:hAnsiTheme="minorEastAsia"/>
                <w:sz w:val="18"/>
                <w:szCs w:val="18"/>
              </w:rPr>
              <w:t>不予处理</w:t>
            </w:r>
          </w:p>
        </w:tc>
        <w:tc>
          <w:tcPr>
            <w:tcW w:w="2693"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rPr>
            </w:pPr>
          </w:p>
        </w:tc>
        <w:tc>
          <w:tcPr>
            <w:tcW w:w="1560" w:type="dxa"/>
            <w:vMerge w:val="continue"/>
          </w:tcPr>
          <w:p>
            <w:pPr>
              <w:rPr>
                <w:rFonts w:hint="eastAsia"/>
              </w:rPr>
            </w:pPr>
          </w:p>
        </w:tc>
        <w:tc>
          <w:tcPr>
            <w:tcW w:w="2693" w:type="dxa"/>
          </w:tcPr>
          <w:p>
            <w:pPr>
              <w:rPr>
                <w:rFonts w:asciiTheme="minorEastAsia" w:hAnsiTheme="minorEastAsia"/>
                <w:sz w:val="18"/>
                <w:szCs w:val="18"/>
              </w:rPr>
            </w:pPr>
            <w:r>
              <w:rPr>
                <w:rFonts w:hint="eastAsia" w:asciiTheme="minorEastAsia" w:hAnsiTheme="minorEastAsia"/>
                <w:sz w:val="18"/>
                <w:szCs w:val="18"/>
              </w:rPr>
              <w:t>2．重复申请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rPr>
                <w:rFonts w:hint="eastAsia"/>
              </w:rPr>
            </w:pPr>
          </w:p>
        </w:tc>
        <w:tc>
          <w:tcPr>
            <w:tcW w:w="1560" w:type="dxa"/>
            <w:vMerge w:val="continue"/>
          </w:tcPr>
          <w:p>
            <w:pPr>
              <w:rPr>
                <w:rFonts w:hint="eastAsia"/>
              </w:rPr>
            </w:pPr>
          </w:p>
        </w:tc>
        <w:tc>
          <w:tcPr>
            <w:tcW w:w="2693"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hint="eastAsia"/>
              </w:rPr>
            </w:pPr>
          </w:p>
        </w:tc>
        <w:tc>
          <w:tcPr>
            <w:tcW w:w="1560" w:type="dxa"/>
            <w:vMerge w:val="continue"/>
          </w:tcPr>
          <w:p>
            <w:pPr>
              <w:rPr>
                <w:rFonts w:hint="eastAsia"/>
              </w:rPr>
            </w:pPr>
          </w:p>
        </w:tc>
        <w:tc>
          <w:tcPr>
            <w:tcW w:w="2693"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rPr>
            </w:pPr>
          </w:p>
        </w:tc>
        <w:tc>
          <w:tcPr>
            <w:tcW w:w="1560" w:type="dxa"/>
            <w:vMerge w:val="continue"/>
          </w:tcPr>
          <w:p>
            <w:pPr>
              <w:rPr>
                <w:rFonts w:hint="eastAsia"/>
              </w:rPr>
            </w:pPr>
          </w:p>
        </w:tc>
        <w:tc>
          <w:tcPr>
            <w:tcW w:w="2693"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rPr>
                <w:rFonts w:hint="eastAsia"/>
              </w:rPr>
            </w:pPr>
          </w:p>
        </w:tc>
        <w:tc>
          <w:tcPr>
            <w:tcW w:w="4253" w:type="dxa"/>
            <w:gridSpan w:val="2"/>
            <w:vAlign w:val="center"/>
          </w:tcPr>
          <w:p>
            <w:pPr>
              <w:rPr>
                <w:rFonts w:hint="eastAsia"/>
                <w:sz w:val="18"/>
                <w:szCs w:val="18"/>
              </w:rPr>
            </w:pPr>
            <w:r>
              <w:rPr>
                <w:rFonts w:hint="eastAsia"/>
                <w:sz w:val="18"/>
                <w:szCs w:val="18"/>
              </w:rPr>
              <w:t>（六）其他处理</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rPr>
                <w:rFonts w:hint="eastAsia"/>
              </w:rPr>
            </w:pPr>
          </w:p>
        </w:tc>
        <w:tc>
          <w:tcPr>
            <w:tcW w:w="4253" w:type="dxa"/>
            <w:gridSpan w:val="2"/>
            <w:vAlign w:val="center"/>
          </w:tcPr>
          <w:p>
            <w:pPr>
              <w:rPr>
                <w:rFonts w:hint="eastAsia"/>
                <w:sz w:val="18"/>
                <w:szCs w:val="18"/>
              </w:rPr>
            </w:pPr>
            <w:r>
              <w:rPr>
                <w:rFonts w:hint="eastAsia"/>
                <w:sz w:val="18"/>
                <w:szCs w:val="18"/>
              </w:rPr>
              <w:t>（七）总计</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rPr>
                <w:rFonts w:hint="eastAsia"/>
              </w:rPr>
            </w:pPr>
            <w:r>
              <w:rPr>
                <w:rFonts w:hint="eastAsia"/>
              </w:rPr>
              <w:t>四、结转下年度继续办理</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val="en-US" w:eastAsia="zh-CN"/>
              </w:rPr>
            </w:pPr>
            <w:r>
              <w:rPr>
                <w:rFonts w:hint="eastAsia"/>
                <w:lang w:val="en-US" w:eastAsia="zh-CN"/>
              </w:rPr>
              <w:t>0</w:t>
            </w:r>
          </w:p>
        </w:tc>
      </w:tr>
    </w:tbl>
    <w:p>
      <w:pPr>
        <w:rPr>
          <w:rFonts w:ascii="黑体" w:hAnsi="黑体" w:eastAsia="黑体"/>
          <w:b w:val="0"/>
          <w:bCs/>
          <w:sz w:val="32"/>
          <w:szCs w:val="32"/>
        </w:rPr>
      </w:pPr>
      <w:r>
        <w:rPr>
          <w:rFonts w:hint="eastAsia" w:ascii="黑体" w:hAnsi="黑体" w:eastAsia="黑体"/>
          <w:b w:val="0"/>
          <w:bCs/>
          <w:sz w:val="32"/>
          <w:szCs w:val="32"/>
        </w:rPr>
        <w:t>四．政府信息公开行政复议、行政诉讼情况</w:t>
      </w:r>
    </w:p>
    <w:tbl>
      <w:tblPr>
        <w:tblStyle w:val="5"/>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rFonts w:hint="eastAsia"/>
                <w:szCs w:val="21"/>
              </w:rPr>
            </w:pPr>
            <w:r>
              <w:rPr>
                <w:rFonts w:hint="eastAsia"/>
                <w:szCs w:val="21"/>
              </w:rPr>
              <w:t>行政复议</w:t>
            </w:r>
          </w:p>
        </w:tc>
        <w:tc>
          <w:tcPr>
            <w:tcW w:w="6804" w:type="dxa"/>
            <w:gridSpan w:val="10"/>
            <w:vAlign w:val="center"/>
          </w:tcPr>
          <w:p>
            <w:pPr>
              <w:jc w:val="center"/>
              <w:rPr>
                <w:rFonts w:hint="eastAsia"/>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hint="eastAsia"/>
                <w:szCs w:val="21"/>
              </w:rPr>
            </w:pPr>
            <w:r>
              <w:rPr>
                <w:rFonts w:hint="eastAsia"/>
                <w:szCs w:val="21"/>
              </w:rPr>
              <w:t>结果维持</w:t>
            </w:r>
          </w:p>
        </w:tc>
        <w:tc>
          <w:tcPr>
            <w:tcW w:w="708" w:type="dxa"/>
            <w:vMerge w:val="restart"/>
            <w:vAlign w:val="center"/>
          </w:tcPr>
          <w:p>
            <w:pPr>
              <w:jc w:val="center"/>
              <w:rPr>
                <w:rFonts w:hint="eastAsia"/>
                <w:szCs w:val="21"/>
              </w:rPr>
            </w:pPr>
            <w:r>
              <w:rPr>
                <w:rFonts w:hint="eastAsia"/>
                <w:szCs w:val="21"/>
              </w:rPr>
              <w:t>结果纠正</w:t>
            </w:r>
          </w:p>
        </w:tc>
        <w:tc>
          <w:tcPr>
            <w:tcW w:w="709" w:type="dxa"/>
            <w:vMerge w:val="restart"/>
            <w:vAlign w:val="center"/>
          </w:tcPr>
          <w:p>
            <w:pPr>
              <w:jc w:val="center"/>
              <w:rPr>
                <w:rFonts w:hint="eastAsia"/>
                <w:szCs w:val="21"/>
              </w:rPr>
            </w:pPr>
            <w:r>
              <w:rPr>
                <w:rFonts w:hint="eastAsia"/>
                <w:szCs w:val="21"/>
              </w:rPr>
              <w:t>其他结果</w:t>
            </w:r>
          </w:p>
        </w:tc>
        <w:tc>
          <w:tcPr>
            <w:tcW w:w="682" w:type="dxa"/>
            <w:vMerge w:val="restart"/>
            <w:vAlign w:val="center"/>
          </w:tcPr>
          <w:p>
            <w:pPr>
              <w:jc w:val="center"/>
              <w:rPr>
                <w:rFonts w:hint="eastAsia"/>
                <w:szCs w:val="21"/>
              </w:rPr>
            </w:pPr>
            <w:r>
              <w:rPr>
                <w:rFonts w:hint="eastAsia"/>
                <w:szCs w:val="21"/>
              </w:rPr>
              <w:t>尚未审结</w:t>
            </w:r>
          </w:p>
        </w:tc>
        <w:tc>
          <w:tcPr>
            <w:tcW w:w="594" w:type="dxa"/>
            <w:vMerge w:val="restart"/>
            <w:vAlign w:val="center"/>
          </w:tcPr>
          <w:p>
            <w:pPr>
              <w:jc w:val="center"/>
              <w:rPr>
                <w:rFonts w:hint="eastAsia"/>
                <w:szCs w:val="21"/>
              </w:rPr>
            </w:pPr>
            <w:r>
              <w:rPr>
                <w:rFonts w:hint="eastAsia"/>
                <w:szCs w:val="21"/>
              </w:rPr>
              <w:t>总计</w:t>
            </w:r>
          </w:p>
        </w:tc>
        <w:tc>
          <w:tcPr>
            <w:tcW w:w="3402" w:type="dxa"/>
            <w:gridSpan w:val="5"/>
            <w:vAlign w:val="center"/>
          </w:tcPr>
          <w:p>
            <w:pPr>
              <w:jc w:val="center"/>
              <w:rPr>
                <w:rFonts w:hint="eastAsia"/>
                <w:szCs w:val="21"/>
              </w:rPr>
            </w:pPr>
            <w:r>
              <w:rPr>
                <w:rFonts w:hint="eastAsia"/>
                <w:szCs w:val="21"/>
              </w:rPr>
              <w:t>未经复议直接起诉</w:t>
            </w:r>
          </w:p>
        </w:tc>
        <w:tc>
          <w:tcPr>
            <w:tcW w:w="3402" w:type="dxa"/>
            <w:gridSpan w:val="5"/>
            <w:vAlign w:val="center"/>
          </w:tcPr>
          <w:p>
            <w:pPr>
              <w:jc w:val="center"/>
              <w:rPr>
                <w:rFonts w:hint="eastAsia"/>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hint="eastAsia"/>
                <w:sz w:val="18"/>
                <w:szCs w:val="18"/>
              </w:rPr>
            </w:pPr>
          </w:p>
        </w:tc>
        <w:tc>
          <w:tcPr>
            <w:tcW w:w="708" w:type="dxa"/>
            <w:vMerge w:val="continue"/>
            <w:vAlign w:val="center"/>
          </w:tcPr>
          <w:p>
            <w:pPr>
              <w:jc w:val="center"/>
              <w:rPr>
                <w:rFonts w:hint="eastAsia"/>
                <w:sz w:val="18"/>
                <w:szCs w:val="18"/>
              </w:rPr>
            </w:pPr>
          </w:p>
        </w:tc>
        <w:tc>
          <w:tcPr>
            <w:tcW w:w="709" w:type="dxa"/>
            <w:vMerge w:val="continue"/>
            <w:vAlign w:val="center"/>
          </w:tcPr>
          <w:p>
            <w:pPr>
              <w:jc w:val="center"/>
              <w:rPr>
                <w:rFonts w:hint="eastAsia"/>
                <w:sz w:val="18"/>
                <w:szCs w:val="18"/>
              </w:rPr>
            </w:pPr>
          </w:p>
        </w:tc>
        <w:tc>
          <w:tcPr>
            <w:tcW w:w="682" w:type="dxa"/>
            <w:vMerge w:val="continue"/>
            <w:vAlign w:val="center"/>
          </w:tcPr>
          <w:p>
            <w:pPr>
              <w:jc w:val="center"/>
              <w:rPr>
                <w:rFonts w:hint="eastAsia"/>
                <w:szCs w:val="21"/>
              </w:rPr>
            </w:pPr>
          </w:p>
        </w:tc>
        <w:tc>
          <w:tcPr>
            <w:tcW w:w="594" w:type="dxa"/>
            <w:vMerge w:val="continue"/>
            <w:vAlign w:val="center"/>
          </w:tcPr>
          <w:p>
            <w:pPr>
              <w:jc w:val="center"/>
              <w:rPr>
                <w:rFonts w:hint="eastAsia"/>
                <w:szCs w:val="21"/>
              </w:rPr>
            </w:pPr>
          </w:p>
        </w:tc>
        <w:tc>
          <w:tcPr>
            <w:tcW w:w="709" w:type="dxa"/>
            <w:vAlign w:val="center"/>
          </w:tcPr>
          <w:p>
            <w:pPr>
              <w:jc w:val="center"/>
              <w:rPr>
                <w:rFonts w:hint="eastAsia"/>
                <w:szCs w:val="21"/>
              </w:rPr>
            </w:pPr>
            <w:r>
              <w:rPr>
                <w:rFonts w:hint="eastAsia"/>
                <w:szCs w:val="21"/>
              </w:rPr>
              <w:t>结果维持</w:t>
            </w:r>
          </w:p>
        </w:tc>
        <w:tc>
          <w:tcPr>
            <w:tcW w:w="709" w:type="dxa"/>
            <w:vAlign w:val="center"/>
          </w:tcPr>
          <w:p>
            <w:pPr>
              <w:jc w:val="center"/>
              <w:rPr>
                <w:rFonts w:hint="eastAsia"/>
                <w:szCs w:val="21"/>
              </w:rPr>
            </w:pPr>
            <w:r>
              <w:rPr>
                <w:rFonts w:hint="eastAsia"/>
                <w:szCs w:val="21"/>
              </w:rPr>
              <w:t>结果纠正</w:t>
            </w:r>
          </w:p>
        </w:tc>
        <w:tc>
          <w:tcPr>
            <w:tcW w:w="709" w:type="dxa"/>
            <w:vAlign w:val="center"/>
          </w:tcPr>
          <w:p>
            <w:pPr>
              <w:jc w:val="center"/>
              <w:rPr>
                <w:rFonts w:hint="eastAsia"/>
                <w:szCs w:val="21"/>
              </w:rPr>
            </w:pPr>
            <w:r>
              <w:rPr>
                <w:rFonts w:hint="eastAsia"/>
                <w:szCs w:val="21"/>
              </w:rPr>
              <w:t>其他结果</w:t>
            </w:r>
          </w:p>
        </w:tc>
        <w:tc>
          <w:tcPr>
            <w:tcW w:w="708" w:type="dxa"/>
            <w:vAlign w:val="center"/>
          </w:tcPr>
          <w:p>
            <w:pPr>
              <w:jc w:val="center"/>
              <w:rPr>
                <w:rFonts w:hint="eastAsia"/>
                <w:szCs w:val="21"/>
              </w:rPr>
            </w:pPr>
            <w:r>
              <w:rPr>
                <w:rFonts w:hint="eastAsia"/>
                <w:szCs w:val="21"/>
              </w:rPr>
              <w:t>尚未审结</w:t>
            </w:r>
          </w:p>
        </w:tc>
        <w:tc>
          <w:tcPr>
            <w:tcW w:w="567" w:type="dxa"/>
            <w:vAlign w:val="center"/>
          </w:tcPr>
          <w:p>
            <w:pPr>
              <w:jc w:val="center"/>
              <w:rPr>
                <w:rFonts w:hint="eastAsia"/>
                <w:szCs w:val="21"/>
              </w:rPr>
            </w:pPr>
            <w:r>
              <w:rPr>
                <w:rFonts w:hint="eastAsia"/>
                <w:szCs w:val="21"/>
              </w:rPr>
              <w:t>总计</w:t>
            </w:r>
          </w:p>
        </w:tc>
        <w:tc>
          <w:tcPr>
            <w:tcW w:w="851" w:type="dxa"/>
            <w:vAlign w:val="center"/>
          </w:tcPr>
          <w:p>
            <w:pPr>
              <w:jc w:val="center"/>
              <w:rPr>
                <w:rFonts w:hint="eastAsia"/>
                <w:szCs w:val="21"/>
              </w:rPr>
            </w:pPr>
            <w:r>
              <w:rPr>
                <w:rFonts w:hint="eastAsia"/>
                <w:szCs w:val="21"/>
              </w:rPr>
              <w:t>结果维持</w:t>
            </w:r>
          </w:p>
        </w:tc>
        <w:tc>
          <w:tcPr>
            <w:tcW w:w="650" w:type="dxa"/>
            <w:vAlign w:val="center"/>
          </w:tcPr>
          <w:p>
            <w:pPr>
              <w:jc w:val="center"/>
              <w:rPr>
                <w:rFonts w:hint="eastAsia"/>
                <w:szCs w:val="21"/>
              </w:rPr>
            </w:pPr>
            <w:r>
              <w:rPr>
                <w:rFonts w:hint="eastAsia"/>
                <w:szCs w:val="21"/>
              </w:rPr>
              <w:t>结果纠正</w:t>
            </w:r>
          </w:p>
        </w:tc>
        <w:tc>
          <w:tcPr>
            <w:tcW w:w="767" w:type="dxa"/>
            <w:vAlign w:val="center"/>
          </w:tcPr>
          <w:p>
            <w:pPr>
              <w:jc w:val="center"/>
              <w:rPr>
                <w:rFonts w:hint="eastAsia"/>
                <w:szCs w:val="21"/>
              </w:rPr>
            </w:pPr>
            <w:r>
              <w:rPr>
                <w:rFonts w:hint="eastAsia"/>
                <w:szCs w:val="21"/>
              </w:rPr>
              <w:t>其他结果</w:t>
            </w:r>
          </w:p>
        </w:tc>
        <w:tc>
          <w:tcPr>
            <w:tcW w:w="709" w:type="dxa"/>
            <w:vAlign w:val="center"/>
          </w:tcPr>
          <w:p>
            <w:pPr>
              <w:jc w:val="center"/>
              <w:rPr>
                <w:rFonts w:hint="eastAsia"/>
                <w:szCs w:val="21"/>
              </w:rPr>
            </w:pPr>
            <w:r>
              <w:rPr>
                <w:rFonts w:hint="eastAsia"/>
                <w:szCs w:val="21"/>
              </w:rPr>
              <w:t>尚未审结</w:t>
            </w:r>
          </w:p>
        </w:tc>
        <w:tc>
          <w:tcPr>
            <w:tcW w:w="425" w:type="dxa"/>
            <w:vAlign w:val="center"/>
          </w:tcPr>
          <w:p>
            <w:pPr>
              <w:jc w:val="cente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rPr>
                <w:rFonts w:hint="eastAsia"/>
                <w:sz w:val="18"/>
                <w:szCs w:val="18"/>
              </w:rPr>
            </w:pPr>
          </w:p>
        </w:tc>
        <w:tc>
          <w:tcPr>
            <w:tcW w:w="708" w:type="dxa"/>
            <w:vAlign w:val="center"/>
          </w:tcPr>
          <w:p>
            <w:pPr>
              <w:rPr>
                <w:rFonts w:hint="eastAsia"/>
                <w:sz w:val="18"/>
                <w:szCs w:val="18"/>
              </w:rPr>
            </w:pPr>
          </w:p>
        </w:tc>
        <w:tc>
          <w:tcPr>
            <w:tcW w:w="709" w:type="dxa"/>
            <w:vAlign w:val="center"/>
          </w:tcPr>
          <w:p>
            <w:pPr>
              <w:rPr>
                <w:rFonts w:hint="eastAsia"/>
                <w:sz w:val="18"/>
                <w:szCs w:val="18"/>
              </w:rPr>
            </w:pPr>
          </w:p>
        </w:tc>
        <w:tc>
          <w:tcPr>
            <w:tcW w:w="682" w:type="dxa"/>
            <w:vAlign w:val="center"/>
          </w:tcPr>
          <w:p>
            <w:pPr>
              <w:rPr>
                <w:rFonts w:hint="eastAsia"/>
                <w:szCs w:val="21"/>
              </w:rPr>
            </w:pPr>
          </w:p>
        </w:tc>
        <w:tc>
          <w:tcPr>
            <w:tcW w:w="594" w:type="dxa"/>
            <w:vAlign w:val="center"/>
          </w:tcPr>
          <w:p>
            <w:pPr>
              <w:rPr>
                <w:rFonts w:hint="eastAsia"/>
                <w:szCs w:val="21"/>
              </w:rPr>
            </w:pPr>
          </w:p>
        </w:tc>
        <w:tc>
          <w:tcPr>
            <w:tcW w:w="709" w:type="dxa"/>
            <w:vAlign w:val="center"/>
          </w:tcPr>
          <w:p>
            <w:pPr>
              <w:rPr>
                <w:rFonts w:hint="eastAsia"/>
                <w:szCs w:val="21"/>
              </w:rPr>
            </w:pPr>
          </w:p>
        </w:tc>
        <w:tc>
          <w:tcPr>
            <w:tcW w:w="709" w:type="dxa"/>
            <w:vAlign w:val="center"/>
          </w:tcPr>
          <w:p>
            <w:pPr>
              <w:rPr>
                <w:rFonts w:hint="eastAsia"/>
                <w:szCs w:val="21"/>
              </w:rPr>
            </w:pPr>
          </w:p>
        </w:tc>
        <w:tc>
          <w:tcPr>
            <w:tcW w:w="709" w:type="dxa"/>
            <w:vAlign w:val="center"/>
          </w:tcPr>
          <w:p>
            <w:pPr>
              <w:rPr>
                <w:rFonts w:hint="eastAsia"/>
                <w:szCs w:val="21"/>
              </w:rPr>
            </w:pPr>
          </w:p>
        </w:tc>
        <w:tc>
          <w:tcPr>
            <w:tcW w:w="708" w:type="dxa"/>
            <w:vAlign w:val="center"/>
          </w:tcPr>
          <w:p>
            <w:pPr>
              <w:rPr>
                <w:rFonts w:hint="eastAsia"/>
                <w:szCs w:val="21"/>
              </w:rPr>
            </w:pPr>
          </w:p>
        </w:tc>
        <w:tc>
          <w:tcPr>
            <w:tcW w:w="567" w:type="dxa"/>
            <w:vAlign w:val="center"/>
          </w:tcPr>
          <w:p>
            <w:pPr>
              <w:rPr>
                <w:rFonts w:hint="eastAsia"/>
                <w:szCs w:val="21"/>
              </w:rPr>
            </w:pPr>
          </w:p>
        </w:tc>
        <w:tc>
          <w:tcPr>
            <w:tcW w:w="851" w:type="dxa"/>
            <w:vAlign w:val="center"/>
          </w:tcPr>
          <w:p>
            <w:pPr>
              <w:rPr>
                <w:rFonts w:hint="eastAsia"/>
                <w:szCs w:val="21"/>
              </w:rPr>
            </w:pPr>
          </w:p>
        </w:tc>
        <w:tc>
          <w:tcPr>
            <w:tcW w:w="650" w:type="dxa"/>
            <w:vAlign w:val="center"/>
          </w:tcPr>
          <w:p>
            <w:pPr>
              <w:rPr>
                <w:rFonts w:hint="eastAsia"/>
                <w:szCs w:val="21"/>
              </w:rPr>
            </w:pPr>
          </w:p>
        </w:tc>
        <w:tc>
          <w:tcPr>
            <w:tcW w:w="767" w:type="dxa"/>
            <w:vAlign w:val="center"/>
          </w:tcPr>
          <w:p>
            <w:pPr>
              <w:rPr>
                <w:rFonts w:hint="eastAsia"/>
                <w:szCs w:val="21"/>
              </w:rPr>
            </w:pPr>
          </w:p>
        </w:tc>
        <w:tc>
          <w:tcPr>
            <w:tcW w:w="709" w:type="dxa"/>
            <w:vAlign w:val="center"/>
          </w:tcPr>
          <w:p>
            <w:pPr>
              <w:rPr>
                <w:rFonts w:hint="eastAsia"/>
                <w:szCs w:val="21"/>
              </w:rPr>
            </w:pPr>
          </w:p>
        </w:tc>
        <w:tc>
          <w:tcPr>
            <w:tcW w:w="425" w:type="dxa"/>
            <w:vAlign w:val="center"/>
          </w:tcPr>
          <w:p>
            <w:pPr>
              <w:rPr>
                <w:rFonts w:hint="eastAsia" w:eastAsiaTheme="minorEastAsia"/>
                <w:szCs w:val="21"/>
                <w:lang w:val="en-US" w:eastAsia="zh-CN"/>
              </w:rPr>
            </w:pPr>
            <w:r>
              <w:rPr>
                <w:rFonts w:hint="eastAsia"/>
                <w:szCs w:val="21"/>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2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504" w:firstLineChars="200"/>
        <w:textAlignment w:val="auto"/>
        <w:rPr>
          <w:rFonts w:hint="eastAsia" w:ascii="仿宋_GB2312" w:hAnsi="仿宋_GB2312" w:eastAsia="仿宋_GB2312" w:cs="仿宋_GB2312"/>
          <w:i w:val="0"/>
          <w:caps w:val="0"/>
          <w:color w:val="000000"/>
          <w:spacing w:val="0"/>
          <w:sz w:val="32"/>
          <w:szCs w:val="32"/>
        </w:rPr>
      </w:pPr>
      <w:r>
        <w:rPr>
          <w:rFonts w:ascii="仿宋" w:hAnsi="仿宋" w:eastAsia="仿宋" w:cs="仿宋"/>
          <w:i w:val="0"/>
          <w:caps w:val="0"/>
          <w:color w:val="000000"/>
          <w:spacing w:val="0"/>
          <w:sz w:val="25"/>
          <w:szCs w:val="25"/>
        </w:rPr>
        <w:t> </w:t>
      </w:r>
      <w:r>
        <w:rPr>
          <w:rFonts w:hint="eastAsia" w:ascii="仿宋_GB2312" w:hAnsi="仿宋_GB2312" w:eastAsia="仿宋_GB2312" w:cs="仿宋_GB2312"/>
          <w:i w:val="0"/>
          <w:caps w:val="0"/>
          <w:color w:val="000000"/>
          <w:spacing w:val="0"/>
          <w:sz w:val="32"/>
          <w:szCs w:val="32"/>
        </w:rPr>
        <w:t>2019年，城区街道办事处政府信息公开工作在上级有关部门的领导下取得成效，但仍存在部分问题，比如对《条例》和市、县政府信息公开工作规定的学习不够全面、掌握还不够牢固；公开政务的主动性不够强；公开的内容和形式不够丰富、完善等。</w:t>
      </w:r>
    </w:p>
    <w:p>
      <w:pPr>
        <w:pStyle w:val="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516"/>
        <w:textAlignment w:val="auto"/>
        <w:rPr>
          <w:rFonts w:hint="eastAsia" w:ascii="黑体" w:hAnsi="黑体" w:eastAsia="黑体"/>
          <w:b w:val="0"/>
          <w:bCs/>
          <w:sz w:val="32"/>
          <w:szCs w:val="32"/>
        </w:rPr>
      </w:pPr>
      <w:r>
        <w:rPr>
          <w:rFonts w:hint="eastAsia" w:ascii="仿宋_GB2312" w:hAnsi="仿宋_GB2312" w:eastAsia="仿宋_GB2312" w:cs="仿宋_GB2312"/>
          <w:i w:val="0"/>
          <w:caps w:val="0"/>
          <w:color w:val="000000"/>
          <w:spacing w:val="0"/>
          <w:sz w:val="32"/>
          <w:szCs w:val="32"/>
        </w:rPr>
        <w:t>2020年，城区街道办事处将按照《条例》和市、县对政府信息公开的相关要求，大力推进政府信息公开工作，积极公开政府工作信息，不断强化对工作人员尤其是信息员的理论培训和业务培训，进一步完善政府信息公开各项规章制度，形成以制度管人、以制度谋事的长效机制，进一步规范政府信息公开工作。同时，紧紧围绕实施政府信息公开工作，多渠道、多形式，向社会和广大群众深入宣传政府信息公开工作，努力形成各级干部认真抓好政府信息公开、群众积极关心政府信息公开的社会氛围。</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b w:val="0"/>
          <w:bCs/>
          <w:sz w:val="32"/>
          <w:szCs w:val="32"/>
        </w:rPr>
      </w:pPr>
      <w:r>
        <w:rPr>
          <w:rFonts w:hint="eastAsia" w:ascii="黑体" w:hAnsi="黑体" w:eastAsia="黑体"/>
          <w:b w:val="0"/>
          <w:bCs/>
          <w:sz w:val="32"/>
          <w:szCs w:val="32"/>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2020年，城区街道办事处将严格按照有关规定，建立健全政府信息公开监督制约机制，明确政府信息公开工作责任，加强对政府信息公开的监督考核，建立健全政府信息公开责任追究制度和社会评议制度，对各</w:t>
      </w:r>
      <w:r>
        <w:rPr>
          <w:rFonts w:hint="eastAsia" w:ascii="仿宋_GB2312" w:hAnsi="仿宋_GB2312" w:eastAsia="仿宋_GB2312" w:cs="仿宋_GB2312"/>
          <w:b w:val="0"/>
          <w:i w:val="0"/>
          <w:caps w:val="0"/>
          <w:color w:val="auto"/>
          <w:spacing w:val="0"/>
          <w:sz w:val="32"/>
          <w:szCs w:val="32"/>
          <w:lang w:eastAsia="zh-CN"/>
        </w:rPr>
        <w:t>社区</w:t>
      </w:r>
      <w:r>
        <w:rPr>
          <w:rFonts w:hint="eastAsia" w:ascii="仿宋_GB2312" w:hAnsi="仿宋_GB2312" w:eastAsia="仿宋_GB2312" w:cs="仿宋_GB2312"/>
          <w:b w:val="0"/>
          <w:i w:val="0"/>
          <w:caps w:val="0"/>
          <w:color w:val="auto"/>
          <w:spacing w:val="0"/>
          <w:sz w:val="32"/>
          <w:szCs w:val="32"/>
        </w:rPr>
        <w:t>、各</w:t>
      </w:r>
      <w:r>
        <w:rPr>
          <w:rFonts w:hint="eastAsia" w:ascii="仿宋_GB2312" w:hAnsi="仿宋_GB2312" w:eastAsia="仿宋_GB2312" w:cs="仿宋_GB2312"/>
          <w:b w:val="0"/>
          <w:i w:val="0"/>
          <w:caps w:val="0"/>
          <w:color w:val="auto"/>
          <w:spacing w:val="0"/>
          <w:sz w:val="32"/>
          <w:szCs w:val="32"/>
          <w:lang w:eastAsia="zh-CN"/>
        </w:rPr>
        <w:t>委办</w:t>
      </w:r>
      <w:r>
        <w:rPr>
          <w:rFonts w:hint="eastAsia" w:ascii="仿宋_GB2312" w:hAnsi="仿宋_GB2312" w:eastAsia="仿宋_GB2312" w:cs="仿宋_GB2312"/>
          <w:b w:val="0"/>
          <w:i w:val="0"/>
          <w:caps w:val="0"/>
          <w:color w:val="auto"/>
          <w:spacing w:val="0"/>
          <w:sz w:val="32"/>
          <w:szCs w:val="32"/>
        </w:rPr>
        <w:t>信息公开进行监督，督促及时更新政务信息，提高公开质量和公开实效。广泛接受服务对象的监督，切实做好政府信息公开工作。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120" w:firstLineChars="1600"/>
        <w:jc w:val="left"/>
        <w:textAlignment w:val="auto"/>
        <w:outlineLvl w:val="9"/>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120" w:firstLineChars="1600"/>
        <w:jc w:val="left"/>
        <w:textAlignment w:val="auto"/>
        <w:outlineLvl w:val="9"/>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2020年1月16日</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outlineLvl w:val="9"/>
        <w:rPr>
          <w:rFonts w:hint="eastAsia" w:ascii="仿宋" w:hAnsi="仿宋" w:eastAsia="仿宋_GB2312" w:cs="仿宋_GB2312"/>
          <w:b w:val="0"/>
          <w:i w:val="0"/>
          <w:caps w:val="0"/>
          <w:color w:val="auto"/>
          <w:spacing w:val="0"/>
          <w:sz w:val="32"/>
          <w:szCs w:val="32"/>
        </w:rPr>
      </w:pPr>
    </w:p>
    <w:p>
      <w:pPr>
        <w:rPr>
          <w:rFonts w:hint="default" w:eastAsia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8982FE"/>
    <w:multiLevelType w:val="singleLevel"/>
    <w:tmpl w:val="D98982F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58"/>
    <w:rsid w:val="00024810"/>
    <w:rsid w:val="000414C6"/>
    <w:rsid w:val="00087FF0"/>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BF42A9"/>
    <w:rsid w:val="00C61A42"/>
    <w:rsid w:val="00C762CA"/>
    <w:rsid w:val="00CA24FE"/>
    <w:rsid w:val="00D201BD"/>
    <w:rsid w:val="00D33F3A"/>
    <w:rsid w:val="00D7673F"/>
    <w:rsid w:val="00E03F11"/>
    <w:rsid w:val="00E04258"/>
    <w:rsid w:val="00E82A61"/>
    <w:rsid w:val="00EA3993"/>
    <w:rsid w:val="00FA3378"/>
    <w:rsid w:val="00FE3091"/>
    <w:rsid w:val="01B377CA"/>
    <w:rsid w:val="20CB3950"/>
    <w:rsid w:val="22BA0E62"/>
    <w:rsid w:val="2E8510A4"/>
    <w:rsid w:val="37C964F7"/>
    <w:rsid w:val="3FD24EF5"/>
    <w:rsid w:val="4DE93206"/>
    <w:rsid w:val="53DD1B8E"/>
    <w:rsid w:val="59C06F0B"/>
    <w:rsid w:val="5C2D02B4"/>
    <w:rsid w:val="5CBF1F0F"/>
    <w:rsid w:val="64261252"/>
    <w:rsid w:val="6B4B790B"/>
    <w:rsid w:val="7781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172</Words>
  <Characters>984</Characters>
  <Lines>8</Lines>
  <Paragraphs>2</Paragraphs>
  <TotalTime>79</TotalTime>
  <ScaleCrop>false</ScaleCrop>
  <LinksUpToDate>false</LinksUpToDate>
  <CharactersWithSpaces>1154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侯侯</cp:lastModifiedBy>
  <dcterms:modified xsi:type="dcterms:W3CDTF">2020-06-10T01:44:32Z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