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桓台县城区街道办事处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2020年度</w:t>
      </w:r>
      <w:r>
        <w:rPr>
          <w:rFonts w:hint="eastAsia" w:ascii="方正小标宋简体" w:hAnsi="方正小标宋简体" w:eastAsia="方正小标宋简体" w:cs="方正小标宋简体"/>
          <w:b w:val="0"/>
          <w:bCs/>
          <w:color w:val="auto"/>
          <w:sz w:val="44"/>
          <w:szCs w:val="44"/>
        </w:rPr>
        <w:t>政府信息公开工作年度报告</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黑体" w:hAnsi="黑体" w:eastAsia="黑体" w:cs="黑体"/>
          <w:b w:val="0"/>
          <w:bCs/>
          <w:color w:val="auto"/>
          <w:sz w:val="32"/>
          <w:szCs w:val="32"/>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根据《中华人民共和国政府信息公开条例》（以下简称《条例》）和《山东省政府信息公开办法》的规定，现公布</w:t>
      </w:r>
      <w:r>
        <w:rPr>
          <w:rFonts w:hint="eastAsia" w:ascii="仿宋_GB2312" w:hAnsi="仿宋_GB2312" w:eastAsia="仿宋_GB2312" w:cs="仿宋_GB2312"/>
          <w:b w:val="0"/>
          <w:i w:val="0"/>
          <w:caps w:val="0"/>
          <w:color w:val="auto"/>
          <w:spacing w:val="0"/>
          <w:sz w:val="32"/>
          <w:szCs w:val="32"/>
          <w:lang w:eastAsia="zh-CN"/>
        </w:rPr>
        <w:t>城区街道办事处</w:t>
      </w:r>
      <w:r>
        <w:rPr>
          <w:rFonts w:hint="eastAsia" w:ascii="仿宋_GB2312" w:hAnsi="仿宋_GB2312" w:eastAsia="仿宋_GB2312" w:cs="仿宋_GB2312"/>
          <w:b w:val="0"/>
          <w:i w:val="0"/>
          <w:caps w:val="0"/>
          <w:color w:val="auto"/>
          <w:spacing w:val="0"/>
          <w:sz w:val="32"/>
          <w:szCs w:val="32"/>
          <w:lang w:val="en-US" w:eastAsia="zh-CN"/>
        </w:rPr>
        <w:t>2020</w:t>
      </w:r>
      <w:r>
        <w:rPr>
          <w:rFonts w:hint="eastAsia" w:ascii="仿宋_GB2312" w:hAnsi="仿宋_GB2312" w:eastAsia="仿宋_GB2312" w:cs="仿宋_GB2312"/>
          <w:b w:val="0"/>
          <w:i w:val="0"/>
          <w:caps w:val="0"/>
          <w:color w:val="auto"/>
          <w:spacing w:val="0"/>
          <w:sz w:val="32"/>
          <w:szCs w:val="32"/>
        </w:rPr>
        <w:t>年</w:t>
      </w:r>
      <w:r>
        <w:rPr>
          <w:rFonts w:hint="eastAsia" w:ascii="仿宋_GB2312" w:hAnsi="仿宋_GB2312" w:eastAsia="仿宋_GB2312" w:cs="仿宋_GB2312"/>
          <w:b w:val="0"/>
          <w:i w:val="0"/>
          <w:caps w:val="0"/>
          <w:color w:val="auto"/>
          <w:spacing w:val="0"/>
          <w:sz w:val="32"/>
          <w:szCs w:val="32"/>
          <w:lang w:eastAsia="zh-CN"/>
        </w:rPr>
        <w:t>度</w:t>
      </w:r>
      <w:r>
        <w:rPr>
          <w:rFonts w:hint="eastAsia" w:ascii="仿宋_GB2312" w:hAnsi="仿宋_GB2312" w:eastAsia="仿宋_GB2312" w:cs="仿宋_GB2312"/>
          <w:b w:val="0"/>
          <w:i w:val="0"/>
          <w:caps w:val="0"/>
          <w:color w:val="auto"/>
          <w:spacing w:val="0"/>
          <w:sz w:val="32"/>
          <w:szCs w:val="32"/>
        </w:rPr>
        <w:t>政府信息公开年度报告，内容涵盖城区街道办事处20</w:t>
      </w:r>
      <w:r>
        <w:rPr>
          <w:rFonts w:hint="eastAsia" w:ascii="仿宋_GB2312" w:hAnsi="仿宋_GB2312" w:eastAsia="仿宋_GB2312" w:cs="仿宋_GB2312"/>
          <w:b w:val="0"/>
          <w:i w:val="0"/>
          <w:caps w:val="0"/>
          <w:color w:val="auto"/>
          <w:spacing w:val="0"/>
          <w:sz w:val="32"/>
          <w:szCs w:val="32"/>
          <w:lang w:val="en-US" w:eastAsia="zh-CN"/>
        </w:rPr>
        <w:t>20</w:t>
      </w:r>
      <w:r>
        <w:rPr>
          <w:rFonts w:hint="eastAsia" w:ascii="仿宋_GB2312" w:hAnsi="仿宋_GB2312" w:eastAsia="仿宋_GB2312" w:cs="仿宋_GB2312"/>
          <w:b w:val="0"/>
          <w:i w:val="0"/>
          <w:caps w:val="0"/>
          <w:color w:val="auto"/>
          <w:spacing w:val="0"/>
          <w:sz w:val="32"/>
          <w:szCs w:val="32"/>
        </w:rPr>
        <w:t>年1月1日至12月31日期间的政府信息公开工作情况。如对本报告有任何疑问，请与本单位政府信息公开受理机构联系（地址：桓台县城区街道办事处，邮编：256400，电话:0533-8182329）。</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w:t>
      </w:r>
      <w:r>
        <w:rPr>
          <w:rFonts w:hint="eastAsia" w:ascii="仿宋_GB2312" w:hAnsi="仿宋_GB2312" w:eastAsia="仿宋_GB2312" w:cs="仿宋_GB2312"/>
          <w:b w:val="0"/>
          <w:i w:val="0"/>
          <w:caps w:val="0"/>
          <w:color w:val="auto"/>
          <w:spacing w:val="0"/>
          <w:sz w:val="32"/>
          <w:szCs w:val="32"/>
          <w:lang w:val="en-US" w:eastAsia="zh-CN"/>
        </w:rPr>
        <w:t>20</w:t>
      </w:r>
      <w:r>
        <w:rPr>
          <w:rFonts w:hint="eastAsia" w:ascii="仿宋_GB2312" w:hAnsi="仿宋_GB2312" w:eastAsia="仿宋_GB2312" w:cs="仿宋_GB2312"/>
          <w:b w:val="0"/>
          <w:i w:val="0"/>
          <w:caps w:val="0"/>
          <w:color w:val="auto"/>
          <w:spacing w:val="0"/>
          <w:sz w:val="32"/>
          <w:szCs w:val="32"/>
        </w:rPr>
        <w:t>年，城区街道办事处政府信息公开工作在上级主管部门及城区街道党工委、办事处的正确领导下，按照省、市、县有关要求，加强领导，精心实施，在完善政府信息公开制度、建立健全政府信息公开保障机制、规范梳理政府信息公开目录和指南、搭建政府信息公开网上平台等方面有较大进展，结合街道实际，突出重点，创新形式，不断提高政府信息公开工作水平，不断深化公开内容，加强政府信息公开工作业务培训，不断创新政府信息公开载体形式，从而保障政府信息公开工作的扎实有效开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w:t>
      </w:r>
      <w:r>
        <w:rPr>
          <w:rFonts w:hint="eastAsia" w:ascii="仿宋_GB2312" w:hAnsi="仿宋_GB2312" w:eastAsia="仿宋_GB2312" w:cs="仿宋_GB2312"/>
          <w:b w:val="0"/>
          <w:i w:val="0"/>
          <w:caps w:val="0"/>
          <w:color w:val="auto"/>
          <w:spacing w:val="0"/>
          <w:sz w:val="32"/>
          <w:szCs w:val="32"/>
          <w:lang w:val="en-US" w:eastAsia="zh-CN"/>
        </w:rPr>
        <w:t>20</w:t>
      </w:r>
      <w:r>
        <w:rPr>
          <w:rFonts w:hint="eastAsia" w:ascii="仿宋_GB2312" w:hAnsi="仿宋_GB2312" w:eastAsia="仿宋_GB2312" w:cs="仿宋_GB2312"/>
          <w:b w:val="0"/>
          <w:i w:val="0"/>
          <w:caps w:val="0"/>
          <w:color w:val="auto"/>
          <w:spacing w:val="0"/>
          <w:sz w:val="32"/>
          <w:szCs w:val="32"/>
        </w:rPr>
        <w:t>年，城区街道按照市、县统一部署，加强组织领导，健全工作机制，认真贯彻《条例》和各级规定的各项要求，扎实推进政府信息公开工作。</w:t>
      </w:r>
      <w:r>
        <w:rPr>
          <w:rFonts w:hint="eastAsia" w:ascii="仿宋_GB2312" w:hAnsi="仿宋_GB2312" w:eastAsia="仿宋_GB2312" w:cs="仿宋_GB2312"/>
          <w:b w:val="0"/>
          <w:i w:val="0"/>
          <w:caps w:val="0"/>
          <w:color w:val="auto"/>
          <w:spacing w:val="0"/>
          <w:sz w:val="32"/>
          <w:szCs w:val="32"/>
          <w:lang w:eastAsia="zh-CN"/>
        </w:rPr>
        <w:t>城区</w:t>
      </w:r>
      <w:r>
        <w:rPr>
          <w:rFonts w:hint="eastAsia" w:ascii="仿宋_GB2312" w:hAnsi="仿宋_GB2312" w:eastAsia="仿宋_GB2312" w:cs="仿宋_GB2312"/>
          <w:b w:val="0"/>
          <w:i w:val="0"/>
          <w:caps w:val="0"/>
          <w:color w:val="auto"/>
          <w:spacing w:val="0"/>
          <w:sz w:val="32"/>
          <w:szCs w:val="32"/>
        </w:rPr>
        <w:t>街道高度重视政府信息公开工作，实行专人负责制，成立了由党工委副书记任组长的城区街道办事处政府信息公开工作领导小组，领导小组下设办公室在党政办，负责统筹协调编制政府信息公开内容，全力推进</w:t>
      </w:r>
      <w:r>
        <w:rPr>
          <w:rFonts w:hint="eastAsia" w:ascii="仿宋_GB2312" w:hAnsi="仿宋_GB2312" w:eastAsia="仿宋_GB2312" w:cs="仿宋_GB2312"/>
          <w:b w:val="0"/>
          <w:i w:val="0"/>
          <w:caps w:val="0"/>
          <w:color w:val="auto"/>
          <w:spacing w:val="0"/>
          <w:sz w:val="32"/>
          <w:szCs w:val="32"/>
          <w:lang w:eastAsia="zh-CN"/>
        </w:rPr>
        <w:t>城区</w:t>
      </w:r>
      <w:r>
        <w:rPr>
          <w:rFonts w:hint="eastAsia" w:ascii="仿宋_GB2312" w:hAnsi="仿宋_GB2312" w:eastAsia="仿宋_GB2312" w:cs="仿宋_GB2312"/>
          <w:b w:val="0"/>
          <w:i w:val="0"/>
          <w:caps w:val="0"/>
          <w:color w:val="auto"/>
          <w:spacing w:val="0"/>
          <w:sz w:val="32"/>
          <w:szCs w:val="32"/>
        </w:rPr>
        <w:t>街道办事处的政府信息公开工作。依据《条例》和桓台县政府信息公开有关文件要求，继续根据《城区街道办事处政府信息公开审查制度》《城区街道办事处政府信息依申请公开制度》等明确政府信息的工作内容、形式和公开、受理、回复的反馈机制，严格遵循政府信息公开基本原则开展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rPr>
        <w:t>20</w:t>
      </w:r>
      <w:r>
        <w:rPr>
          <w:rFonts w:hint="eastAsia" w:ascii="仿宋_GB2312" w:hAnsi="仿宋_GB2312" w:eastAsia="仿宋_GB2312" w:cs="仿宋_GB2312"/>
          <w:b w:val="0"/>
          <w:i w:val="0"/>
          <w:caps w:val="0"/>
          <w:color w:val="auto"/>
          <w:spacing w:val="0"/>
          <w:sz w:val="32"/>
          <w:szCs w:val="32"/>
          <w:lang w:val="en-US" w:eastAsia="zh-CN"/>
        </w:rPr>
        <w:t>20</w:t>
      </w:r>
      <w:r>
        <w:rPr>
          <w:rFonts w:hint="eastAsia" w:ascii="仿宋_GB2312" w:hAnsi="仿宋_GB2312" w:eastAsia="仿宋_GB2312" w:cs="仿宋_GB2312"/>
          <w:b w:val="0"/>
          <w:i w:val="0"/>
          <w:caps w:val="0"/>
          <w:color w:val="auto"/>
          <w:spacing w:val="0"/>
          <w:sz w:val="32"/>
          <w:szCs w:val="32"/>
        </w:rPr>
        <w:t>年，城区街道办事处严格按照《条例》和上级部门的总体要求做好政府信息公开工作，力求做到积极稳妥，及时准确，公开、公正、便民。在桓台县人民政府网站上主动公开信息，20</w:t>
      </w:r>
      <w:r>
        <w:rPr>
          <w:rFonts w:hint="eastAsia" w:ascii="仿宋_GB2312" w:hAnsi="仿宋_GB2312" w:eastAsia="仿宋_GB2312" w:cs="仿宋_GB2312"/>
          <w:b w:val="0"/>
          <w:i w:val="0"/>
          <w:caps w:val="0"/>
          <w:color w:val="auto"/>
          <w:spacing w:val="0"/>
          <w:sz w:val="32"/>
          <w:szCs w:val="32"/>
          <w:lang w:val="en-US" w:eastAsia="zh-CN"/>
        </w:rPr>
        <w:t>20</w:t>
      </w:r>
      <w:r>
        <w:rPr>
          <w:rFonts w:hint="eastAsia" w:ascii="仿宋_GB2312" w:hAnsi="仿宋_GB2312" w:eastAsia="仿宋_GB2312" w:cs="仿宋_GB2312"/>
          <w:b w:val="0"/>
          <w:i w:val="0"/>
          <w:caps w:val="0"/>
          <w:color w:val="auto"/>
          <w:spacing w:val="0"/>
          <w:sz w:val="32"/>
          <w:szCs w:val="32"/>
        </w:rPr>
        <w:t>年全年发布</w:t>
      </w:r>
      <w:r>
        <w:rPr>
          <w:rFonts w:hint="eastAsia" w:ascii="仿宋_GB2312" w:hAnsi="仿宋_GB2312" w:eastAsia="仿宋_GB2312" w:cs="仿宋_GB2312"/>
          <w:b w:val="0"/>
          <w:i w:val="0"/>
          <w:caps w:val="0"/>
          <w:color w:val="auto"/>
          <w:spacing w:val="0"/>
          <w:sz w:val="32"/>
          <w:szCs w:val="32"/>
          <w:lang w:val="en-US" w:eastAsia="zh-CN"/>
        </w:rPr>
        <w:t>48</w:t>
      </w:r>
      <w:r>
        <w:rPr>
          <w:rFonts w:hint="eastAsia" w:ascii="仿宋_GB2312" w:hAnsi="仿宋_GB2312" w:eastAsia="仿宋_GB2312" w:cs="仿宋_GB2312"/>
          <w:b w:val="0"/>
          <w:i w:val="0"/>
          <w:caps w:val="0"/>
          <w:color w:val="auto"/>
          <w:spacing w:val="0"/>
          <w:sz w:val="32"/>
          <w:szCs w:val="32"/>
        </w:rPr>
        <w:t>条信息，涉及政策解读、办事指南、业务工作及其他信息公开；</w:t>
      </w:r>
      <w:r>
        <w:rPr>
          <w:rFonts w:ascii="仿宋_GB2312" w:hAnsi="宋体" w:eastAsia="仿宋_GB2312" w:cs="仿宋_GB2312"/>
          <w:b w:val="0"/>
          <w:i w:val="0"/>
          <w:caps w:val="0"/>
          <w:color w:val="auto"/>
          <w:spacing w:val="0"/>
          <w:sz w:val="32"/>
          <w:szCs w:val="32"/>
        </w:rPr>
        <w:t>承办政协委员提案1件，无人大议案或建议</w:t>
      </w:r>
      <w:r>
        <w:rPr>
          <w:rFonts w:hint="eastAsia" w:ascii="仿宋_GB2312" w:hAnsi="宋体" w:eastAsia="仿宋_GB2312" w:cs="仿宋_GB2312"/>
          <w:b w:val="0"/>
          <w:i w:val="0"/>
          <w:caps w:val="0"/>
          <w:color w:val="auto"/>
          <w:spacing w:val="0"/>
          <w:sz w:val="32"/>
          <w:szCs w:val="32"/>
          <w:lang w:eastAsia="zh-CN"/>
        </w:rPr>
        <w:t>，</w:t>
      </w:r>
      <w:r>
        <w:rPr>
          <w:rFonts w:ascii="仿宋_GB2312" w:hAnsi="宋体" w:eastAsia="仿宋_GB2312" w:cs="仿宋_GB2312"/>
          <w:b w:val="0"/>
          <w:i w:val="0"/>
          <w:caps w:val="0"/>
          <w:color w:val="auto"/>
          <w:spacing w:val="0"/>
          <w:sz w:val="32"/>
          <w:szCs w:val="32"/>
        </w:rPr>
        <w:t>其中政协提案办复率100%，所提问题已解决或基本解决</w:t>
      </w:r>
      <w:r>
        <w:rPr>
          <w:rFonts w:hint="eastAsia" w:ascii="仿宋_GB2312" w:hAnsi="宋体" w:eastAsia="仿宋_GB2312" w:cs="仿宋_GB2312"/>
          <w:b w:val="0"/>
          <w:i w:val="0"/>
          <w:caps w:val="0"/>
          <w:color w:val="auto"/>
          <w:spacing w:val="0"/>
          <w:sz w:val="32"/>
          <w:szCs w:val="32"/>
          <w:lang w:eastAsia="zh-CN"/>
        </w:rPr>
        <w:t>。</w:t>
      </w:r>
      <w:r>
        <w:rPr>
          <w:rFonts w:ascii="仿宋_GB2312" w:hAnsi="宋体" w:eastAsia="仿宋_GB2312" w:cs="仿宋_GB2312"/>
          <w:b w:val="0"/>
          <w:i w:val="0"/>
          <w:caps w:val="0"/>
          <w:color w:val="auto"/>
          <w:spacing w:val="0"/>
          <w:sz w:val="32"/>
          <w:szCs w:val="32"/>
        </w:rPr>
        <w:t>本年度未收到群众的政府信息公开申请</w:t>
      </w:r>
      <w:r>
        <w:rPr>
          <w:rFonts w:hint="eastAsia" w:ascii="仿宋_GB2312" w:hAnsi="宋体" w:eastAsia="仿宋_GB2312" w:cs="仿宋_GB2312"/>
          <w:b w:val="0"/>
          <w:i w:val="0"/>
          <w:caps w:val="0"/>
          <w:color w:val="auto"/>
          <w:spacing w:val="0"/>
          <w:sz w:val="32"/>
          <w:szCs w:val="32"/>
          <w:lang w:eastAsia="zh-CN"/>
        </w:rPr>
        <w:t>。</w:t>
      </w:r>
      <w:r>
        <w:rPr>
          <w:rFonts w:hint="eastAsia" w:ascii="仿宋_GB2312" w:hAnsi="仿宋_GB2312" w:eastAsia="仿宋_GB2312" w:cs="仿宋_GB2312"/>
          <w:b w:val="0"/>
          <w:i w:val="0"/>
          <w:caps w:val="0"/>
          <w:color w:val="auto"/>
          <w:spacing w:val="0"/>
          <w:sz w:val="32"/>
          <w:szCs w:val="32"/>
        </w:rPr>
        <w:t>同时主要通过政府宣传栏、微信公众平台等方式主动公开政务，公开公示本镇的有关工作信息、工作动态、工作报告、办事指南政府有关公告等。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二、主动公开政府信息情况</w:t>
      </w: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jc w:val="center"/>
              <w:rPr>
                <w:rFonts w:hint="eastAsia"/>
                <w:color w:val="auto"/>
                <w:sz w:val="24"/>
                <w:szCs w:val="24"/>
              </w:rPr>
            </w:pPr>
            <w:r>
              <w:rPr>
                <w:rFonts w:hint="eastAsia"/>
                <w:color w:val="auto"/>
                <w:sz w:val="24"/>
                <w:szCs w:val="24"/>
              </w:rPr>
              <w:t>本年新制作数量</w:t>
            </w:r>
          </w:p>
        </w:tc>
        <w:tc>
          <w:tcPr>
            <w:tcW w:w="2030" w:type="dxa"/>
            <w:vAlign w:val="center"/>
          </w:tcPr>
          <w:p>
            <w:pPr>
              <w:jc w:val="center"/>
              <w:rPr>
                <w:color w:val="auto"/>
                <w:sz w:val="24"/>
                <w:szCs w:val="24"/>
              </w:rPr>
            </w:pPr>
            <w:r>
              <w:rPr>
                <w:rFonts w:hint="eastAsia"/>
                <w:color w:val="auto"/>
                <w:sz w:val="24"/>
                <w:szCs w:val="24"/>
              </w:rPr>
              <w:t>本年新</w:t>
            </w:r>
          </w:p>
          <w:p>
            <w:pPr>
              <w:jc w:val="center"/>
              <w:rPr>
                <w:rFonts w:hint="eastAsia"/>
                <w:color w:val="auto"/>
                <w:sz w:val="24"/>
                <w:szCs w:val="24"/>
              </w:rPr>
            </w:pPr>
            <w:r>
              <w:rPr>
                <w:rFonts w:hint="eastAsia"/>
                <w:color w:val="auto"/>
                <w:sz w:val="24"/>
                <w:szCs w:val="24"/>
              </w:rPr>
              <w:t>公开数量</w:t>
            </w:r>
          </w:p>
        </w:tc>
        <w:tc>
          <w:tcPr>
            <w:tcW w:w="2222" w:type="dxa"/>
            <w:vAlign w:val="center"/>
          </w:tcPr>
          <w:p>
            <w:pPr>
              <w:jc w:val="center"/>
              <w:rPr>
                <w:color w:val="auto"/>
                <w:sz w:val="24"/>
                <w:szCs w:val="24"/>
              </w:rPr>
            </w:pPr>
            <w:r>
              <w:rPr>
                <w:rFonts w:hint="eastAsia"/>
                <w:color w:val="auto"/>
                <w:sz w:val="24"/>
                <w:szCs w:val="24"/>
              </w:rPr>
              <w:t>对外公开</w:t>
            </w:r>
          </w:p>
          <w:p>
            <w:pPr>
              <w:jc w:val="center"/>
              <w:rPr>
                <w:rFonts w:hint="eastAsia"/>
                <w:color w:val="auto"/>
                <w:sz w:val="24"/>
                <w:szCs w:val="24"/>
              </w:rPr>
            </w:pPr>
            <w:r>
              <w:rPr>
                <w:rFonts w:hint="eastAsia"/>
                <w:color w:val="auto"/>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color w:val="auto"/>
                <w:sz w:val="24"/>
                <w:szCs w:val="24"/>
              </w:rPr>
            </w:pPr>
            <w:r>
              <w:rPr>
                <w:rFonts w:hint="eastAsia"/>
                <w:color w:val="auto"/>
                <w:sz w:val="24"/>
                <w:szCs w:val="24"/>
              </w:rPr>
              <w:t>规章</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030"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222"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94" w:type="dxa"/>
            <w:vAlign w:val="center"/>
          </w:tcPr>
          <w:p>
            <w:pPr>
              <w:rPr>
                <w:rFonts w:hint="eastAsia"/>
                <w:color w:val="auto"/>
                <w:sz w:val="24"/>
                <w:szCs w:val="24"/>
              </w:rPr>
            </w:pPr>
            <w:r>
              <w:rPr>
                <w:rFonts w:hint="eastAsia"/>
                <w:color w:val="auto"/>
                <w:sz w:val="24"/>
                <w:szCs w:val="24"/>
              </w:rPr>
              <w:t>规范性文件</w:t>
            </w:r>
          </w:p>
        </w:tc>
        <w:tc>
          <w:tcPr>
            <w:tcW w:w="1985" w:type="dxa"/>
            <w:vAlign w:val="center"/>
          </w:tcPr>
          <w:p>
            <w:pPr>
              <w:jc w:val="center"/>
              <w:rPr>
                <w:rFonts w:hint="default" w:eastAsiaTheme="minorEastAsia"/>
                <w:color w:val="auto"/>
                <w:sz w:val="24"/>
                <w:szCs w:val="24"/>
                <w:lang w:val="en-US" w:eastAsia="zh-CN"/>
              </w:rPr>
            </w:pPr>
            <w:r>
              <w:rPr>
                <w:rFonts w:hint="eastAsia"/>
                <w:color w:val="auto"/>
                <w:sz w:val="24"/>
                <w:szCs w:val="24"/>
                <w:lang w:val="en-US" w:eastAsia="zh-CN"/>
              </w:rPr>
              <w:t>0</w:t>
            </w:r>
          </w:p>
        </w:tc>
        <w:tc>
          <w:tcPr>
            <w:tcW w:w="2030" w:type="dxa"/>
            <w:vAlign w:val="center"/>
          </w:tcPr>
          <w:p>
            <w:pPr>
              <w:jc w:val="center"/>
              <w:rPr>
                <w:rFonts w:hint="default" w:eastAsiaTheme="minorEastAsia"/>
                <w:color w:val="auto"/>
                <w:sz w:val="24"/>
                <w:szCs w:val="24"/>
                <w:lang w:val="en-US" w:eastAsia="zh-CN"/>
              </w:rPr>
            </w:pPr>
            <w:r>
              <w:rPr>
                <w:rFonts w:hint="eastAsia"/>
                <w:color w:val="auto"/>
                <w:sz w:val="24"/>
                <w:szCs w:val="24"/>
                <w:lang w:val="en-US" w:eastAsia="zh-CN"/>
              </w:rPr>
              <w:t>0</w:t>
            </w:r>
          </w:p>
        </w:tc>
        <w:tc>
          <w:tcPr>
            <w:tcW w:w="2222" w:type="dxa"/>
            <w:vAlign w:val="center"/>
          </w:tcPr>
          <w:p>
            <w:pPr>
              <w:jc w:val="center"/>
              <w:rPr>
                <w:rFonts w:hint="default" w:eastAsiaTheme="minorEastAsia"/>
                <w:color w:val="auto"/>
                <w:sz w:val="24"/>
                <w:szCs w:val="24"/>
                <w:lang w:val="en-US" w:eastAsia="zh-CN"/>
              </w:rPr>
            </w:pPr>
            <w:r>
              <w:rPr>
                <w:rFonts w:hint="eastAsia"/>
                <w:color w:val="auto"/>
                <w:sz w:val="24"/>
                <w:szCs w:val="24"/>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rPr>
                <w:rFonts w:hint="eastAsia"/>
                <w:color w:val="auto"/>
                <w:sz w:val="24"/>
                <w:szCs w:val="24"/>
              </w:rPr>
            </w:pPr>
            <w:r>
              <w:rPr>
                <w:rFonts w:hint="eastAsia"/>
                <w:color w:val="auto"/>
                <w:sz w:val="24"/>
                <w:szCs w:val="24"/>
              </w:rPr>
              <w:t>上一年项目数量</w:t>
            </w:r>
          </w:p>
        </w:tc>
        <w:tc>
          <w:tcPr>
            <w:tcW w:w="2030" w:type="dxa"/>
            <w:vAlign w:val="center"/>
          </w:tcPr>
          <w:p>
            <w:pPr>
              <w:jc w:val="center"/>
              <w:rPr>
                <w:rFonts w:hint="eastAsia"/>
                <w:color w:val="auto"/>
                <w:sz w:val="24"/>
                <w:szCs w:val="24"/>
              </w:rPr>
            </w:pPr>
            <w:r>
              <w:rPr>
                <w:rFonts w:hint="eastAsia"/>
                <w:color w:val="auto"/>
                <w:sz w:val="24"/>
                <w:szCs w:val="24"/>
              </w:rPr>
              <w:t>本年增/减</w:t>
            </w:r>
          </w:p>
        </w:tc>
        <w:tc>
          <w:tcPr>
            <w:tcW w:w="2222" w:type="dxa"/>
            <w:vAlign w:val="center"/>
          </w:tcPr>
          <w:p>
            <w:pPr>
              <w:jc w:val="center"/>
              <w:rPr>
                <w:rFonts w:hint="eastAsia"/>
                <w:color w:val="auto"/>
                <w:sz w:val="24"/>
                <w:szCs w:val="24"/>
              </w:rPr>
            </w:pPr>
            <w:r>
              <w:rPr>
                <w:rFonts w:hint="eastAsia"/>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color w:val="auto"/>
                <w:sz w:val="24"/>
                <w:szCs w:val="24"/>
              </w:rPr>
            </w:pPr>
            <w:r>
              <w:rPr>
                <w:rFonts w:hint="eastAsia"/>
                <w:color w:val="auto"/>
                <w:sz w:val="24"/>
                <w:szCs w:val="24"/>
              </w:rPr>
              <w:t>行政许可</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030"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222"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color w:val="auto"/>
                <w:sz w:val="24"/>
                <w:szCs w:val="24"/>
              </w:rPr>
            </w:pPr>
            <w:r>
              <w:rPr>
                <w:rFonts w:hint="eastAsia"/>
                <w:color w:val="auto"/>
                <w:sz w:val="24"/>
                <w:szCs w:val="24"/>
              </w:rPr>
              <w:t>其他对外管理服务事项</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030"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222"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jc w:val="center"/>
              <w:rPr>
                <w:rFonts w:hint="eastAsia"/>
                <w:color w:val="auto"/>
                <w:sz w:val="24"/>
                <w:szCs w:val="24"/>
              </w:rPr>
            </w:pPr>
            <w:r>
              <w:rPr>
                <w:rFonts w:hint="eastAsia"/>
                <w:color w:val="auto"/>
                <w:sz w:val="24"/>
                <w:szCs w:val="24"/>
              </w:rPr>
              <w:t>上一年项目数量</w:t>
            </w:r>
          </w:p>
        </w:tc>
        <w:tc>
          <w:tcPr>
            <w:tcW w:w="2030" w:type="dxa"/>
            <w:vAlign w:val="center"/>
          </w:tcPr>
          <w:p>
            <w:pPr>
              <w:jc w:val="center"/>
              <w:rPr>
                <w:rFonts w:hint="eastAsia"/>
                <w:color w:val="auto"/>
                <w:sz w:val="24"/>
                <w:szCs w:val="24"/>
              </w:rPr>
            </w:pPr>
            <w:r>
              <w:rPr>
                <w:rFonts w:hint="eastAsia"/>
                <w:color w:val="auto"/>
                <w:sz w:val="24"/>
                <w:szCs w:val="24"/>
              </w:rPr>
              <w:t>本年增/减</w:t>
            </w:r>
          </w:p>
        </w:tc>
        <w:tc>
          <w:tcPr>
            <w:tcW w:w="2222" w:type="dxa"/>
            <w:vAlign w:val="center"/>
          </w:tcPr>
          <w:p>
            <w:pPr>
              <w:jc w:val="center"/>
              <w:rPr>
                <w:rFonts w:hint="eastAsia"/>
                <w:color w:val="auto"/>
                <w:sz w:val="24"/>
                <w:szCs w:val="24"/>
              </w:rPr>
            </w:pPr>
            <w:r>
              <w:rPr>
                <w:rFonts w:hint="eastAsia"/>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color w:val="auto"/>
                <w:sz w:val="24"/>
                <w:szCs w:val="24"/>
              </w:rPr>
            </w:pPr>
            <w:r>
              <w:rPr>
                <w:rFonts w:hint="eastAsia"/>
                <w:color w:val="auto"/>
                <w:sz w:val="24"/>
                <w:szCs w:val="24"/>
              </w:rPr>
              <w:t>行政处罚</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030"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222"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color w:val="auto"/>
                <w:sz w:val="24"/>
                <w:szCs w:val="24"/>
              </w:rPr>
            </w:pPr>
            <w:r>
              <w:rPr>
                <w:rFonts w:hint="eastAsia"/>
                <w:color w:val="auto"/>
                <w:sz w:val="24"/>
                <w:szCs w:val="24"/>
              </w:rPr>
              <w:t>行政强制</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030"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2222"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jc w:val="center"/>
              <w:rPr>
                <w:rFonts w:hint="eastAsia"/>
                <w:color w:val="auto"/>
                <w:sz w:val="24"/>
                <w:szCs w:val="24"/>
              </w:rPr>
            </w:pPr>
            <w:r>
              <w:rPr>
                <w:rFonts w:hint="eastAsia"/>
                <w:color w:val="auto"/>
                <w:sz w:val="24"/>
                <w:szCs w:val="24"/>
              </w:rPr>
              <w:t>上一年项目数量</w:t>
            </w:r>
          </w:p>
        </w:tc>
        <w:tc>
          <w:tcPr>
            <w:tcW w:w="4252" w:type="dxa"/>
            <w:gridSpan w:val="2"/>
            <w:vAlign w:val="center"/>
          </w:tcPr>
          <w:p>
            <w:pPr>
              <w:jc w:val="center"/>
              <w:rPr>
                <w:rFonts w:hint="eastAsia"/>
                <w:color w:val="auto"/>
                <w:sz w:val="24"/>
                <w:szCs w:val="24"/>
              </w:rPr>
            </w:pPr>
            <w:r>
              <w:rPr>
                <w:rFonts w:hint="eastAsia"/>
                <w:color w:val="auto"/>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color w:val="auto"/>
                <w:sz w:val="24"/>
                <w:szCs w:val="24"/>
              </w:rPr>
            </w:pPr>
            <w:r>
              <w:rPr>
                <w:rFonts w:hint="eastAsia"/>
                <w:color w:val="auto"/>
                <w:sz w:val="24"/>
                <w:szCs w:val="24"/>
              </w:rPr>
              <w:t>行政事业性收费</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4252" w:type="dxa"/>
            <w:gridSpan w:val="2"/>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jc w:val="center"/>
              <w:rPr>
                <w:rFonts w:hint="eastAsia"/>
                <w:color w:val="auto"/>
                <w:sz w:val="24"/>
                <w:szCs w:val="24"/>
              </w:rPr>
            </w:pPr>
            <w:r>
              <w:rPr>
                <w:rFonts w:hint="eastAsia"/>
                <w:color w:val="auto"/>
                <w:sz w:val="24"/>
                <w:szCs w:val="24"/>
              </w:rPr>
              <w:t>采购项目数量</w:t>
            </w:r>
          </w:p>
        </w:tc>
        <w:tc>
          <w:tcPr>
            <w:tcW w:w="4252" w:type="dxa"/>
            <w:gridSpan w:val="2"/>
            <w:vAlign w:val="center"/>
          </w:tcPr>
          <w:p>
            <w:pPr>
              <w:jc w:val="center"/>
              <w:rPr>
                <w:rFonts w:hint="eastAsia"/>
                <w:color w:val="auto"/>
                <w:sz w:val="24"/>
                <w:szCs w:val="24"/>
              </w:rPr>
            </w:pPr>
            <w:r>
              <w:rPr>
                <w:rFonts w:hint="eastAsia"/>
                <w:color w:val="auto"/>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color w:val="auto"/>
                <w:sz w:val="24"/>
                <w:szCs w:val="24"/>
              </w:rPr>
            </w:pPr>
            <w:r>
              <w:rPr>
                <w:rFonts w:hint="eastAsia"/>
                <w:color w:val="auto"/>
                <w:sz w:val="24"/>
                <w:szCs w:val="24"/>
              </w:rPr>
              <w:t>政府集中采购</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c>
          <w:tcPr>
            <w:tcW w:w="4252" w:type="dxa"/>
            <w:gridSpan w:val="2"/>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0</w:t>
            </w:r>
          </w:p>
        </w:tc>
      </w:tr>
    </w:tbl>
    <w:p>
      <w:pPr>
        <w:ind w:firstLine="640" w:firstLineChars="200"/>
        <w:rPr>
          <w:rFonts w:hint="eastAsia" w:ascii="黑体" w:hAnsi="黑体" w:eastAsia="黑体"/>
          <w:b w:val="0"/>
          <w:bCs/>
          <w:color w:val="auto"/>
          <w:sz w:val="32"/>
          <w:szCs w:val="32"/>
        </w:rPr>
      </w:pPr>
      <w:r>
        <w:rPr>
          <w:rFonts w:hint="eastAsia" w:ascii="黑体" w:hAnsi="黑体" w:eastAsia="黑体"/>
          <w:b w:val="0"/>
          <w:bCs/>
          <w:color w:val="auto"/>
          <w:sz w:val="32"/>
          <w:szCs w:val="32"/>
        </w:rPr>
        <w:t>三、收到和处理政府信息公开申请情况</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rPr>
                <w:rFonts w:hint="eastAsia"/>
                <w:color w:val="auto"/>
              </w:rPr>
            </w:pPr>
            <w:r>
              <w:rPr>
                <w:rFonts w:hint="eastAsia"/>
                <w:color w:val="auto"/>
              </w:rPr>
              <w:t>（本列数据的勾稽关系为：第一项加第二项之和，等于第三项加第四项之和）</w:t>
            </w:r>
          </w:p>
        </w:tc>
        <w:tc>
          <w:tcPr>
            <w:tcW w:w="4961" w:type="dxa"/>
            <w:gridSpan w:val="7"/>
            <w:vAlign w:val="center"/>
          </w:tcPr>
          <w:p>
            <w:pPr>
              <w:jc w:val="center"/>
              <w:rPr>
                <w:rFonts w:hint="eastAsia"/>
                <w:color w:val="auto"/>
                <w:szCs w:val="21"/>
              </w:rPr>
            </w:pPr>
            <w:r>
              <w:rPr>
                <w:rFonts w:hint="eastAsia"/>
                <w:color w:val="auto"/>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tcPr>
          <w:p>
            <w:pPr>
              <w:rPr>
                <w:rFonts w:hint="eastAsia"/>
                <w:color w:val="auto"/>
              </w:rPr>
            </w:pPr>
          </w:p>
        </w:tc>
        <w:tc>
          <w:tcPr>
            <w:tcW w:w="567" w:type="dxa"/>
            <w:vMerge w:val="restart"/>
            <w:vAlign w:val="center"/>
          </w:tcPr>
          <w:p>
            <w:pPr>
              <w:jc w:val="center"/>
              <w:rPr>
                <w:rFonts w:hint="eastAsia"/>
                <w:color w:val="auto"/>
                <w:sz w:val="18"/>
                <w:szCs w:val="18"/>
              </w:rPr>
            </w:pPr>
            <w:r>
              <w:rPr>
                <w:rFonts w:hint="eastAsia"/>
                <w:color w:val="auto"/>
                <w:szCs w:val="21"/>
              </w:rPr>
              <w:t>自然人</w:t>
            </w:r>
          </w:p>
        </w:tc>
        <w:tc>
          <w:tcPr>
            <w:tcW w:w="3544" w:type="dxa"/>
            <w:gridSpan w:val="5"/>
            <w:vAlign w:val="center"/>
          </w:tcPr>
          <w:p>
            <w:pPr>
              <w:jc w:val="center"/>
              <w:rPr>
                <w:rFonts w:hint="eastAsia"/>
                <w:color w:val="auto"/>
                <w:szCs w:val="21"/>
              </w:rPr>
            </w:pPr>
            <w:r>
              <w:rPr>
                <w:rFonts w:hint="eastAsia"/>
                <w:color w:val="auto"/>
                <w:szCs w:val="21"/>
              </w:rPr>
              <w:t>法人或其他组织</w:t>
            </w:r>
          </w:p>
        </w:tc>
        <w:tc>
          <w:tcPr>
            <w:tcW w:w="850" w:type="dxa"/>
            <w:vMerge w:val="restart"/>
            <w:vAlign w:val="center"/>
          </w:tcPr>
          <w:p>
            <w:pPr>
              <w:rPr>
                <w:rFonts w:hint="eastAsia"/>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tcPr>
          <w:p>
            <w:pPr>
              <w:rPr>
                <w:rFonts w:hint="eastAsia"/>
                <w:color w:val="auto"/>
              </w:rPr>
            </w:pPr>
          </w:p>
        </w:tc>
        <w:tc>
          <w:tcPr>
            <w:tcW w:w="567" w:type="dxa"/>
            <w:vMerge w:val="continue"/>
          </w:tcPr>
          <w:p>
            <w:pPr>
              <w:rPr>
                <w:rFonts w:hint="eastAsia"/>
                <w:color w:val="auto"/>
                <w:sz w:val="18"/>
                <w:szCs w:val="18"/>
              </w:rPr>
            </w:pPr>
          </w:p>
        </w:tc>
        <w:tc>
          <w:tcPr>
            <w:tcW w:w="709" w:type="dxa"/>
            <w:vAlign w:val="center"/>
          </w:tcPr>
          <w:p>
            <w:pPr>
              <w:rPr>
                <w:rFonts w:hint="eastAsia"/>
                <w:color w:val="auto"/>
                <w:szCs w:val="21"/>
              </w:rPr>
            </w:pPr>
            <w:r>
              <w:rPr>
                <w:rFonts w:hint="eastAsia"/>
                <w:color w:val="auto"/>
                <w:szCs w:val="21"/>
              </w:rPr>
              <w:t>商业企业</w:t>
            </w:r>
          </w:p>
        </w:tc>
        <w:tc>
          <w:tcPr>
            <w:tcW w:w="708" w:type="dxa"/>
            <w:vAlign w:val="center"/>
          </w:tcPr>
          <w:p>
            <w:pPr>
              <w:rPr>
                <w:rFonts w:hint="eastAsia"/>
                <w:color w:val="auto"/>
                <w:szCs w:val="21"/>
              </w:rPr>
            </w:pPr>
            <w:r>
              <w:rPr>
                <w:rFonts w:hint="eastAsia"/>
                <w:color w:val="auto"/>
                <w:szCs w:val="21"/>
              </w:rPr>
              <w:t>科研机构</w:t>
            </w:r>
          </w:p>
        </w:tc>
        <w:tc>
          <w:tcPr>
            <w:tcW w:w="709" w:type="dxa"/>
            <w:vAlign w:val="center"/>
          </w:tcPr>
          <w:p>
            <w:pPr>
              <w:rPr>
                <w:rFonts w:hint="eastAsia"/>
                <w:color w:val="auto"/>
                <w:szCs w:val="21"/>
              </w:rPr>
            </w:pPr>
            <w:r>
              <w:rPr>
                <w:rFonts w:hint="eastAsia"/>
                <w:color w:val="auto"/>
                <w:szCs w:val="21"/>
              </w:rPr>
              <w:t>社会公益组织</w:t>
            </w:r>
          </w:p>
        </w:tc>
        <w:tc>
          <w:tcPr>
            <w:tcW w:w="709" w:type="dxa"/>
            <w:vAlign w:val="center"/>
          </w:tcPr>
          <w:p>
            <w:pPr>
              <w:rPr>
                <w:rFonts w:hint="eastAsia"/>
                <w:color w:val="auto"/>
                <w:szCs w:val="21"/>
              </w:rPr>
            </w:pPr>
            <w:r>
              <w:rPr>
                <w:rFonts w:hint="eastAsia"/>
                <w:color w:val="auto"/>
                <w:szCs w:val="21"/>
              </w:rPr>
              <w:t>法律服务机构</w:t>
            </w:r>
          </w:p>
        </w:tc>
        <w:tc>
          <w:tcPr>
            <w:tcW w:w="709" w:type="dxa"/>
            <w:vAlign w:val="center"/>
          </w:tcPr>
          <w:p>
            <w:pPr>
              <w:rPr>
                <w:rFonts w:hint="eastAsia"/>
                <w:color w:val="auto"/>
                <w:szCs w:val="21"/>
              </w:rPr>
            </w:pPr>
            <w:r>
              <w:rPr>
                <w:rFonts w:hint="eastAsia"/>
                <w:color w:val="auto"/>
                <w:szCs w:val="21"/>
              </w:rPr>
              <w:t>其他</w:t>
            </w:r>
          </w:p>
        </w:tc>
        <w:tc>
          <w:tcPr>
            <w:tcW w:w="850" w:type="dxa"/>
            <w:vMerge w:val="continue"/>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0" w:type="dxa"/>
            <w:gridSpan w:val="3"/>
          </w:tcPr>
          <w:p>
            <w:pPr>
              <w:rPr>
                <w:rFonts w:hint="eastAsia"/>
                <w:color w:val="auto"/>
              </w:rPr>
            </w:pPr>
            <w:r>
              <w:rPr>
                <w:rFonts w:hint="eastAsia"/>
                <w:color w:val="auto"/>
              </w:rPr>
              <w:t>一、本年新收政府信息公开申请数量</w:t>
            </w:r>
          </w:p>
        </w:tc>
        <w:tc>
          <w:tcPr>
            <w:tcW w:w="567" w:type="dxa"/>
            <w:vAlign w:val="center"/>
          </w:tcPr>
          <w:p>
            <w:pPr>
              <w:jc w:val="center"/>
              <w:rPr>
                <w:rFonts w:hint="eastAsia" w:eastAsiaTheme="minorEastAsia"/>
                <w:color w:val="auto"/>
                <w:lang w:val="en-US" w:eastAsia="zh-CN"/>
              </w:rPr>
            </w:pPr>
            <w:r>
              <w:rPr>
                <w:rFonts w:hint="eastAsia"/>
                <w:color w:val="auto"/>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850"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820" w:type="dxa"/>
            <w:gridSpan w:val="3"/>
          </w:tcPr>
          <w:p>
            <w:pPr>
              <w:rPr>
                <w:rFonts w:hint="eastAsia"/>
                <w:color w:val="auto"/>
              </w:rPr>
            </w:pPr>
            <w:r>
              <w:rPr>
                <w:rFonts w:hint="eastAsia"/>
                <w:color w:val="auto"/>
              </w:rPr>
              <w:t>二、上年结转政府信息公开申请数量</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7" w:type="dxa"/>
            <w:vMerge w:val="restart"/>
            <w:vAlign w:val="center"/>
          </w:tcPr>
          <w:p>
            <w:pPr>
              <w:jc w:val="both"/>
              <w:rPr>
                <w:rFonts w:hint="eastAsia"/>
                <w:color w:val="auto"/>
              </w:rPr>
            </w:pPr>
            <w:r>
              <w:rPr>
                <w:rFonts w:hint="eastAsia"/>
                <w:color w:val="auto"/>
              </w:rPr>
              <w:t>三、本年度办理结果</w:t>
            </w:r>
          </w:p>
        </w:tc>
        <w:tc>
          <w:tcPr>
            <w:tcW w:w="4253"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（一）予以公开</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eastAsiaTheme="minorEastAsia"/>
                <w:color w:val="auto"/>
                <w:lang w:val="en-US" w:eastAsia="zh-CN"/>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hint="eastAsia"/>
                <w:color w:val="auto"/>
              </w:rPr>
            </w:pPr>
          </w:p>
        </w:tc>
        <w:tc>
          <w:tcPr>
            <w:tcW w:w="4253"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（二）部分公开（区分处理的，只计这一情形，不计其他情形）</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67" w:type="dxa"/>
            <w:vMerge w:val="continue"/>
          </w:tcPr>
          <w:p>
            <w:pPr>
              <w:rPr>
                <w:rFonts w:hint="eastAsia"/>
                <w:color w:val="auto"/>
              </w:rPr>
            </w:pPr>
          </w:p>
        </w:tc>
        <w:tc>
          <w:tcPr>
            <w:tcW w:w="1560" w:type="dxa"/>
            <w:vMerge w:val="restart"/>
            <w:vAlign w:val="center"/>
          </w:tcPr>
          <w:p>
            <w:pPr>
              <w:rPr>
                <w:rFonts w:asciiTheme="minorEastAsia" w:hAnsiTheme="minorEastAsia"/>
                <w:color w:val="auto"/>
                <w:sz w:val="18"/>
                <w:szCs w:val="18"/>
              </w:rPr>
            </w:pPr>
            <w:r>
              <w:rPr>
                <w:rFonts w:hint="eastAsia" w:asciiTheme="minorEastAsia" w:hAnsiTheme="minorEastAsia"/>
                <w:color w:val="auto"/>
                <w:sz w:val="18"/>
                <w:szCs w:val="18"/>
              </w:rPr>
              <w:t>（三）不予公开</w:t>
            </w:r>
          </w:p>
        </w:tc>
        <w:tc>
          <w:tcPr>
            <w:tcW w:w="2693" w:type="dxa"/>
          </w:tcPr>
          <w:p>
            <w:pPr>
              <w:rPr>
                <w:rFonts w:asciiTheme="minorEastAsia" w:hAnsiTheme="minorEastAsia"/>
                <w:color w:val="auto"/>
                <w:sz w:val="18"/>
                <w:szCs w:val="18"/>
              </w:rPr>
            </w:pPr>
            <w:r>
              <w:rPr>
                <w:rFonts w:asciiTheme="minorEastAsia" w:hAnsiTheme="minorEastAsia"/>
                <w:color w:val="auto"/>
                <w:sz w:val="18"/>
                <w:szCs w:val="18"/>
              </w:rPr>
              <w:t>1</w:t>
            </w:r>
            <w:r>
              <w:rPr>
                <w:rFonts w:hint="eastAsia" w:asciiTheme="minorEastAsia" w:hAnsiTheme="minorEastAsia"/>
                <w:color w:val="auto"/>
                <w:sz w:val="18"/>
                <w:szCs w:val="18"/>
              </w:rPr>
              <w:t>．属于国家秘密</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7" w:type="dxa"/>
            <w:vMerge w:val="continue"/>
          </w:tcPr>
          <w:p>
            <w:pPr>
              <w:rPr>
                <w:rFonts w:hint="eastAsia"/>
                <w:color w:val="auto"/>
              </w:rPr>
            </w:pPr>
          </w:p>
        </w:tc>
        <w:tc>
          <w:tcPr>
            <w:tcW w:w="1560" w:type="dxa"/>
            <w:vMerge w:val="continue"/>
            <w:vAlign w:val="center"/>
          </w:tcPr>
          <w:p>
            <w:pPr>
              <w:rPr>
                <w:rFonts w:asciiTheme="minorEastAsia" w:hAnsiTheme="minor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2．其他法律行政法规禁止公开</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3．危及“三安全一稳定”</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4．保护第三方合法权益</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5．属于三类内部事务信息</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6．属于四类过程性信息</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7．属于行政执法案卷</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8．属于行政查询事项</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vMerge w:val="continue"/>
          </w:tcPr>
          <w:p>
            <w:pPr>
              <w:rPr>
                <w:rFonts w:hint="eastAsia"/>
                <w:color w:val="auto"/>
              </w:rPr>
            </w:pPr>
          </w:p>
        </w:tc>
        <w:tc>
          <w:tcPr>
            <w:tcW w:w="1560" w:type="dxa"/>
            <w:vMerge w:val="restart"/>
            <w:vAlign w:val="center"/>
          </w:tcPr>
          <w:p>
            <w:pPr>
              <w:rPr>
                <w:rFonts w:hint="eastAsia"/>
                <w:color w:val="auto"/>
                <w:sz w:val="18"/>
                <w:szCs w:val="18"/>
              </w:rPr>
            </w:pPr>
            <w:r>
              <w:rPr>
                <w:rFonts w:hint="eastAsia"/>
                <w:color w:val="auto"/>
                <w:sz w:val="18"/>
                <w:szCs w:val="18"/>
              </w:rPr>
              <w:t>（四）无法提供</w:t>
            </w: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1．本机关不掌握相关政府信息</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2．没有现成信息需要另行制作</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3．补正后申请内容仍不明确</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7" w:type="dxa"/>
            <w:vMerge w:val="continue"/>
          </w:tcPr>
          <w:p>
            <w:pPr>
              <w:rPr>
                <w:rFonts w:hint="eastAsia"/>
                <w:color w:val="auto"/>
              </w:rPr>
            </w:pPr>
          </w:p>
        </w:tc>
        <w:tc>
          <w:tcPr>
            <w:tcW w:w="1560" w:type="dxa"/>
            <w:vMerge w:val="restart"/>
            <w:vAlign w:val="center"/>
          </w:tcPr>
          <w:p>
            <w:pPr>
              <w:rPr>
                <w:rFonts w:hint="eastAsia"/>
                <w:color w:val="auto"/>
                <w:sz w:val="18"/>
                <w:szCs w:val="18"/>
              </w:rPr>
            </w:pPr>
            <w:r>
              <w:rPr>
                <w:rFonts w:hint="eastAsia"/>
                <w:color w:val="auto"/>
                <w:sz w:val="18"/>
                <w:szCs w:val="18"/>
              </w:rPr>
              <w:t>（五）</w:t>
            </w:r>
            <w:r>
              <w:rPr>
                <w:rFonts w:hint="eastAsia" w:asciiTheme="minorEastAsia" w:hAnsiTheme="minorEastAsia"/>
                <w:color w:val="auto"/>
                <w:sz w:val="18"/>
                <w:szCs w:val="18"/>
              </w:rPr>
              <w:t>不予处理</w:t>
            </w: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1．信访举报投诉类申请</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2．重复申请</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rPr>
                <w:rFonts w:asciiTheme="minorEastAsia" w:hAnsiTheme="minorEastAsia"/>
                <w:color w:val="auto"/>
                <w:sz w:val="18"/>
                <w:szCs w:val="18"/>
              </w:rPr>
            </w:pPr>
            <w:r>
              <w:rPr>
                <w:rFonts w:asciiTheme="minorEastAsia" w:hAnsiTheme="minorEastAsia"/>
                <w:color w:val="auto"/>
                <w:sz w:val="18"/>
                <w:szCs w:val="18"/>
              </w:rPr>
              <w:t>3</w:t>
            </w:r>
            <w:r>
              <w:rPr>
                <w:rFonts w:hint="eastAsia" w:asciiTheme="minorEastAsia" w:hAnsiTheme="minorEastAsia"/>
                <w:color w:val="auto"/>
                <w:sz w:val="18"/>
                <w:szCs w:val="18"/>
              </w:rPr>
              <w:t>．要求提供公开出版物</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4．无正当理由大量反复申请</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5．要求行政机关确认或重新出具已获取信息</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7" w:type="dxa"/>
          </w:tcPr>
          <w:p>
            <w:pPr>
              <w:rPr>
                <w:rFonts w:hint="eastAsia"/>
                <w:color w:val="auto"/>
              </w:rPr>
            </w:pPr>
          </w:p>
        </w:tc>
        <w:tc>
          <w:tcPr>
            <w:tcW w:w="4253" w:type="dxa"/>
            <w:gridSpan w:val="2"/>
            <w:vAlign w:val="center"/>
          </w:tcPr>
          <w:p>
            <w:pPr>
              <w:rPr>
                <w:rFonts w:hint="eastAsia"/>
                <w:color w:val="auto"/>
                <w:sz w:val="18"/>
                <w:szCs w:val="18"/>
              </w:rPr>
            </w:pPr>
            <w:r>
              <w:rPr>
                <w:rFonts w:hint="eastAsia"/>
                <w:color w:val="auto"/>
                <w:sz w:val="18"/>
                <w:szCs w:val="18"/>
              </w:rPr>
              <w:t>（六）其他处理</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7" w:type="dxa"/>
          </w:tcPr>
          <w:p>
            <w:pPr>
              <w:rPr>
                <w:rFonts w:hint="eastAsia"/>
                <w:color w:val="auto"/>
              </w:rPr>
            </w:pPr>
          </w:p>
        </w:tc>
        <w:tc>
          <w:tcPr>
            <w:tcW w:w="4253" w:type="dxa"/>
            <w:gridSpan w:val="2"/>
            <w:vAlign w:val="center"/>
          </w:tcPr>
          <w:p>
            <w:pPr>
              <w:rPr>
                <w:rFonts w:hint="eastAsia"/>
                <w:color w:val="auto"/>
                <w:sz w:val="18"/>
                <w:szCs w:val="18"/>
              </w:rPr>
            </w:pPr>
            <w:r>
              <w:rPr>
                <w:rFonts w:hint="eastAsia"/>
                <w:color w:val="auto"/>
                <w:sz w:val="18"/>
                <w:szCs w:val="18"/>
              </w:rPr>
              <w:t>（七）总计</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eastAsiaTheme="minorEastAsia"/>
                <w:color w:val="auto"/>
                <w:lang w:val="en-US" w:eastAsia="zh-CN"/>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3"/>
            <w:vAlign w:val="center"/>
          </w:tcPr>
          <w:p>
            <w:pPr>
              <w:rPr>
                <w:rFonts w:hint="eastAsia"/>
                <w:color w:val="auto"/>
              </w:rPr>
            </w:pPr>
            <w:r>
              <w:rPr>
                <w:rFonts w:hint="eastAsia"/>
                <w:color w:val="auto"/>
              </w:rPr>
              <w:t>四、结转下年度继续办理</w:t>
            </w:r>
          </w:p>
        </w:tc>
        <w:tc>
          <w:tcPr>
            <w:tcW w:w="567" w:type="dxa"/>
            <w:vAlign w:val="center"/>
          </w:tcPr>
          <w:p>
            <w:pPr>
              <w:jc w:val="center"/>
              <w:rPr>
                <w:rFonts w:hint="eastAsia"/>
                <w:color w:val="auto"/>
              </w:rPr>
            </w:pPr>
            <w:r>
              <w:rPr>
                <w:rFonts w:hint="eastAsia"/>
                <w:color w:val="auto"/>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8"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709" w:type="dxa"/>
            <w:vAlign w:val="center"/>
          </w:tcPr>
          <w:p>
            <w:pPr>
              <w:jc w:val="center"/>
              <w:rPr>
                <w:rFonts w:hint="eastAsia"/>
                <w:color w:val="auto"/>
              </w:rPr>
            </w:pPr>
            <w:r>
              <w:rPr>
                <w:rFonts w:hint="eastAsia"/>
                <w:color w:val="auto"/>
                <w:szCs w:val="21"/>
                <w:lang w:val="en-US" w:eastAsia="zh-CN"/>
              </w:rPr>
              <w:t>0</w:t>
            </w:r>
          </w:p>
        </w:tc>
        <w:tc>
          <w:tcPr>
            <w:tcW w:w="850" w:type="dxa"/>
            <w:vAlign w:val="center"/>
          </w:tcPr>
          <w:p>
            <w:pPr>
              <w:jc w:val="center"/>
              <w:rPr>
                <w:rFonts w:hint="eastAsia" w:eastAsiaTheme="minorEastAsia"/>
                <w:color w:val="auto"/>
                <w:lang w:val="en-US" w:eastAsia="zh-CN"/>
              </w:rPr>
            </w:pPr>
            <w:r>
              <w:rPr>
                <w:rFonts w:hint="eastAsia"/>
                <w:color w:val="auto"/>
                <w:szCs w:val="21"/>
                <w:lang w:val="en-US" w:eastAsia="zh-CN"/>
              </w:rPr>
              <w:t>0</w:t>
            </w:r>
          </w:p>
        </w:tc>
      </w:tr>
    </w:tbl>
    <w:p>
      <w:pPr>
        <w:ind w:firstLine="640" w:firstLineChars="200"/>
        <w:rPr>
          <w:rFonts w:ascii="黑体" w:hAnsi="黑体" w:eastAsia="黑体"/>
          <w:b w:val="0"/>
          <w:bCs/>
          <w:color w:val="auto"/>
          <w:sz w:val="32"/>
          <w:szCs w:val="32"/>
        </w:rPr>
      </w:pPr>
      <w:r>
        <w:rPr>
          <w:rFonts w:hint="eastAsia" w:ascii="黑体" w:hAnsi="黑体" w:eastAsia="黑体"/>
          <w:b w:val="0"/>
          <w:bCs/>
          <w:color w:val="auto"/>
          <w:sz w:val="32"/>
          <w:szCs w:val="32"/>
        </w:rPr>
        <w:t>四</w:t>
      </w:r>
      <w:r>
        <w:rPr>
          <w:rFonts w:hint="eastAsia" w:ascii="黑体" w:hAnsi="黑体" w:eastAsia="黑体"/>
          <w:b w:val="0"/>
          <w:bCs/>
          <w:color w:val="auto"/>
          <w:sz w:val="32"/>
          <w:szCs w:val="32"/>
          <w:lang w:eastAsia="zh-CN"/>
        </w:rPr>
        <w:t>、</w:t>
      </w:r>
      <w:r>
        <w:rPr>
          <w:rFonts w:hint="eastAsia" w:ascii="黑体" w:hAnsi="黑体" w:eastAsia="黑体"/>
          <w:b w:val="0"/>
          <w:bCs/>
          <w:color w:val="auto"/>
          <w:sz w:val="32"/>
          <w:szCs w:val="32"/>
        </w:rPr>
        <w:t>政府信息公开行政复议、行政诉讼情况</w:t>
      </w:r>
    </w:p>
    <w:tbl>
      <w:tblPr>
        <w:tblStyle w:val="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02" w:type="dxa"/>
            <w:gridSpan w:val="5"/>
            <w:vAlign w:val="center"/>
          </w:tcPr>
          <w:p>
            <w:pPr>
              <w:jc w:val="center"/>
              <w:rPr>
                <w:rFonts w:hint="eastAsia"/>
                <w:color w:val="auto"/>
                <w:szCs w:val="21"/>
              </w:rPr>
            </w:pPr>
            <w:r>
              <w:rPr>
                <w:rFonts w:hint="eastAsia"/>
                <w:color w:val="auto"/>
                <w:szCs w:val="21"/>
              </w:rPr>
              <w:t>行政复议</w:t>
            </w:r>
          </w:p>
        </w:tc>
        <w:tc>
          <w:tcPr>
            <w:tcW w:w="6804" w:type="dxa"/>
            <w:gridSpan w:val="10"/>
            <w:vAlign w:val="center"/>
          </w:tcPr>
          <w:p>
            <w:pPr>
              <w:jc w:val="center"/>
              <w:rPr>
                <w:rFonts w:hint="eastAsia"/>
                <w:color w:val="auto"/>
                <w:szCs w:val="21"/>
              </w:rPr>
            </w:pPr>
            <w:r>
              <w:rPr>
                <w:rFonts w:hint="eastAsia"/>
                <w:color w:val="auto"/>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vMerge w:val="restart"/>
            <w:vAlign w:val="center"/>
          </w:tcPr>
          <w:p>
            <w:pPr>
              <w:jc w:val="center"/>
              <w:rPr>
                <w:rFonts w:hint="eastAsia"/>
                <w:color w:val="auto"/>
                <w:szCs w:val="21"/>
              </w:rPr>
            </w:pPr>
            <w:r>
              <w:rPr>
                <w:rFonts w:hint="eastAsia"/>
                <w:color w:val="auto"/>
                <w:szCs w:val="21"/>
              </w:rPr>
              <w:t>结果维持</w:t>
            </w:r>
          </w:p>
        </w:tc>
        <w:tc>
          <w:tcPr>
            <w:tcW w:w="708" w:type="dxa"/>
            <w:vMerge w:val="restart"/>
            <w:vAlign w:val="center"/>
          </w:tcPr>
          <w:p>
            <w:pPr>
              <w:jc w:val="center"/>
              <w:rPr>
                <w:rFonts w:hint="eastAsia"/>
                <w:color w:val="auto"/>
                <w:szCs w:val="21"/>
              </w:rPr>
            </w:pPr>
            <w:r>
              <w:rPr>
                <w:rFonts w:hint="eastAsia"/>
                <w:color w:val="auto"/>
                <w:szCs w:val="21"/>
              </w:rPr>
              <w:t>结果纠正</w:t>
            </w:r>
          </w:p>
        </w:tc>
        <w:tc>
          <w:tcPr>
            <w:tcW w:w="709" w:type="dxa"/>
            <w:vMerge w:val="restart"/>
            <w:vAlign w:val="center"/>
          </w:tcPr>
          <w:p>
            <w:pPr>
              <w:jc w:val="center"/>
              <w:rPr>
                <w:rFonts w:hint="eastAsia"/>
                <w:color w:val="auto"/>
                <w:szCs w:val="21"/>
              </w:rPr>
            </w:pPr>
            <w:r>
              <w:rPr>
                <w:rFonts w:hint="eastAsia"/>
                <w:color w:val="auto"/>
                <w:szCs w:val="21"/>
              </w:rPr>
              <w:t>其他结果</w:t>
            </w:r>
          </w:p>
        </w:tc>
        <w:tc>
          <w:tcPr>
            <w:tcW w:w="682" w:type="dxa"/>
            <w:vMerge w:val="restart"/>
            <w:vAlign w:val="center"/>
          </w:tcPr>
          <w:p>
            <w:pPr>
              <w:jc w:val="center"/>
              <w:rPr>
                <w:rFonts w:hint="eastAsia"/>
                <w:color w:val="auto"/>
                <w:szCs w:val="21"/>
              </w:rPr>
            </w:pPr>
            <w:r>
              <w:rPr>
                <w:rFonts w:hint="eastAsia"/>
                <w:color w:val="auto"/>
                <w:szCs w:val="21"/>
              </w:rPr>
              <w:t>尚未审结</w:t>
            </w:r>
          </w:p>
        </w:tc>
        <w:tc>
          <w:tcPr>
            <w:tcW w:w="594" w:type="dxa"/>
            <w:vMerge w:val="restart"/>
            <w:vAlign w:val="center"/>
          </w:tcPr>
          <w:p>
            <w:pPr>
              <w:jc w:val="center"/>
              <w:rPr>
                <w:rFonts w:hint="eastAsia"/>
                <w:color w:val="auto"/>
                <w:szCs w:val="21"/>
              </w:rPr>
            </w:pPr>
            <w:r>
              <w:rPr>
                <w:rFonts w:hint="eastAsia"/>
                <w:color w:val="auto"/>
                <w:szCs w:val="21"/>
              </w:rPr>
              <w:t>总计</w:t>
            </w:r>
          </w:p>
        </w:tc>
        <w:tc>
          <w:tcPr>
            <w:tcW w:w="3402" w:type="dxa"/>
            <w:gridSpan w:val="5"/>
            <w:vAlign w:val="center"/>
          </w:tcPr>
          <w:p>
            <w:pPr>
              <w:jc w:val="center"/>
              <w:rPr>
                <w:rFonts w:hint="eastAsia"/>
                <w:color w:val="auto"/>
                <w:szCs w:val="21"/>
              </w:rPr>
            </w:pPr>
            <w:r>
              <w:rPr>
                <w:rFonts w:hint="eastAsia"/>
                <w:color w:val="auto"/>
                <w:szCs w:val="21"/>
              </w:rPr>
              <w:t>未经复议直接起诉</w:t>
            </w:r>
          </w:p>
        </w:tc>
        <w:tc>
          <w:tcPr>
            <w:tcW w:w="3402" w:type="dxa"/>
            <w:gridSpan w:val="5"/>
            <w:vAlign w:val="center"/>
          </w:tcPr>
          <w:p>
            <w:pPr>
              <w:jc w:val="center"/>
              <w:rPr>
                <w:rFonts w:hint="eastAsia"/>
                <w:color w:val="auto"/>
                <w:szCs w:val="21"/>
              </w:rPr>
            </w:pPr>
            <w:r>
              <w:rPr>
                <w:rFonts w:hint="eastAsia"/>
                <w:color w:val="auto"/>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jc w:val="center"/>
              <w:rPr>
                <w:rFonts w:hint="eastAsia"/>
                <w:color w:val="auto"/>
                <w:sz w:val="18"/>
                <w:szCs w:val="18"/>
              </w:rPr>
            </w:pPr>
          </w:p>
        </w:tc>
        <w:tc>
          <w:tcPr>
            <w:tcW w:w="708" w:type="dxa"/>
            <w:vMerge w:val="continue"/>
            <w:vAlign w:val="center"/>
          </w:tcPr>
          <w:p>
            <w:pPr>
              <w:jc w:val="center"/>
              <w:rPr>
                <w:rFonts w:hint="eastAsia"/>
                <w:color w:val="auto"/>
                <w:sz w:val="18"/>
                <w:szCs w:val="18"/>
              </w:rPr>
            </w:pPr>
          </w:p>
        </w:tc>
        <w:tc>
          <w:tcPr>
            <w:tcW w:w="709" w:type="dxa"/>
            <w:vMerge w:val="continue"/>
            <w:vAlign w:val="center"/>
          </w:tcPr>
          <w:p>
            <w:pPr>
              <w:jc w:val="center"/>
              <w:rPr>
                <w:rFonts w:hint="eastAsia"/>
                <w:color w:val="auto"/>
                <w:sz w:val="18"/>
                <w:szCs w:val="18"/>
              </w:rPr>
            </w:pPr>
          </w:p>
        </w:tc>
        <w:tc>
          <w:tcPr>
            <w:tcW w:w="682" w:type="dxa"/>
            <w:vMerge w:val="continue"/>
            <w:vAlign w:val="center"/>
          </w:tcPr>
          <w:p>
            <w:pPr>
              <w:jc w:val="center"/>
              <w:rPr>
                <w:rFonts w:hint="eastAsia"/>
                <w:color w:val="auto"/>
                <w:szCs w:val="21"/>
              </w:rPr>
            </w:pPr>
          </w:p>
        </w:tc>
        <w:tc>
          <w:tcPr>
            <w:tcW w:w="594" w:type="dxa"/>
            <w:vMerge w:val="continue"/>
            <w:vAlign w:val="center"/>
          </w:tcPr>
          <w:p>
            <w:pPr>
              <w:jc w:val="center"/>
              <w:rPr>
                <w:rFonts w:hint="eastAsia"/>
                <w:color w:val="auto"/>
                <w:szCs w:val="21"/>
              </w:rPr>
            </w:pPr>
          </w:p>
        </w:tc>
        <w:tc>
          <w:tcPr>
            <w:tcW w:w="709" w:type="dxa"/>
            <w:vAlign w:val="center"/>
          </w:tcPr>
          <w:p>
            <w:pPr>
              <w:jc w:val="center"/>
              <w:rPr>
                <w:rFonts w:hint="eastAsia"/>
                <w:color w:val="auto"/>
                <w:szCs w:val="21"/>
              </w:rPr>
            </w:pPr>
            <w:r>
              <w:rPr>
                <w:rFonts w:hint="eastAsia"/>
                <w:color w:val="auto"/>
                <w:szCs w:val="21"/>
              </w:rPr>
              <w:t>结果维持</w:t>
            </w:r>
          </w:p>
        </w:tc>
        <w:tc>
          <w:tcPr>
            <w:tcW w:w="709" w:type="dxa"/>
            <w:vAlign w:val="center"/>
          </w:tcPr>
          <w:p>
            <w:pPr>
              <w:jc w:val="center"/>
              <w:rPr>
                <w:rFonts w:hint="eastAsia"/>
                <w:color w:val="auto"/>
                <w:szCs w:val="21"/>
              </w:rPr>
            </w:pPr>
            <w:r>
              <w:rPr>
                <w:rFonts w:hint="eastAsia"/>
                <w:color w:val="auto"/>
                <w:szCs w:val="21"/>
              </w:rPr>
              <w:t>结果纠正</w:t>
            </w:r>
          </w:p>
        </w:tc>
        <w:tc>
          <w:tcPr>
            <w:tcW w:w="709" w:type="dxa"/>
            <w:vAlign w:val="center"/>
          </w:tcPr>
          <w:p>
            <w:pPr>
              <w:jc w:val="center"/>
              <w:rPr>
                <w:rFonts w:hint="eastAsia"/>
                <w:color w:val="auto"/>
                <w:szCs w:val="21"/>
              </w:rPr>
            </w:pPr>
            <w:r>
              <w:rPr>
                <w:rFonts w:hint="eastAsia"/>
                <w:color w:val="auto"/>
                <w:szCs w:val="21"/>
              </w:rPr>
              <w:t>其他结果</w:t>
            </w:r>
          </w:p>
        </w:tc>
        <w:tc>
          <w:tcPr>
            <w:tcW w:w="708" w:type="dxa"/>
            <w:vAlign w:val="center"/>
          </w:tcPr>
          <w:p>
            <w:pPr>
              <w:jc w:val="center"/>
              <w:rPr>
                <w:rFonts w:hint="eastAsia"/>
                <w:color w:val="auto"/>
                <w:szCs w:val="21"/>
              </w:rPr>
            </w:pPr>
            <w:r>
              <w:rPr>
                <w:rFonts w:hint="eastAsia"/>
                <w:color w:val="auto"/>
                <w:szCs w:val="21"/>
              </w:rPr>
              <w:t>尚未审结</w:t>
            </w:r>
          </w:p>
        </w:tc>
        <w:tc>
          <w:tcPr>
            <w:tcW w:w="567" w:type="dxa"/>
            <w:vAlign w:val="center"/>
          </w:tcPr>
          <w:p>
            <w:pPr>
              <w:jc w:val="center"/>
              <w:rPr>
                <w:rFonts w:hint="eastAsia"/>
                <w:color w:val="auto"/>
                <w:szCs w:val="21"/>
              </w:rPr>
            </w:pPr>
            <w:r>
              <w:rPr>
                <w:rFonts w:hint="eastAsia"/>
                <w:color w:val="auto"/>
                <w:szCs w:val="21"/>
              </w:rPr>
              <w:t>总计</w:t>
            </w:r>
          </w:p>
        </w:tc>
        <w:tc>
          <w:tcPr>
            <w:tcW w:w="851" w:type="dxa"/>
            <w:vAlign w:val="center"/>
          </w:tcPr>
          <w:p>
            <w:pPr>
              <w:jc w:val="center"/>
              <w:rPr>
                <w:rFonts w:hint="eastAsia"/>
                <w:color w:val="auto"/>
                <w:szCs w:val="21"/>
              </w:rPr>
            </w:pPr>
            <w:r>
              <w:rPr>
                <w:rFonts w:hint="eastAsia"/>
                <w:color w:val="auto"/>
                <w:szCs w:val="21"/>
              </w:rPr>
              <w:t>结果维持</w:t>
            </w:r>
          </w:p>
        </w:tc>
        <w:tc>
          <w:tcPr>
            <w:tcW w:w="650" w:type="dxa"/>
            <w:vAlign w:val="center"/>
          </w:tcPr>
          <w:p>
            <w:pPr>
              <w:jc w:val="center"/>
              <w:rPr>
                <w:rFonts w:hint="eastAsia"/>
                <w:color w:val="auto"/>
                <w:szCs w:val="21"/>
              </w:rPr>
            </w:pPr>
            <w:r>
              <w:rPr>
                <w:rFonts w:hint="eastAsia"/>
                <w:color w:val="auto"/>
                <w:szCs w:val="21"/>
              </w:rPr>
              <w:t>结果纠正</w:t>
            </w:r>
          </w:p>
        </w:tc>
        <w:tc>
          <w:tcPr>
            <w:tcW w:w="767" w:type="dxa"/>
            <w:vAlign w:val="center"/>
          </w:tcPr>
          <w:p>
            <w:pPr>
              <w:jc w:val="center"/>
              <w:rPr>
                <w:rFonts w:hint="eastAsia"/>
                <w:color w:val="auto"/>
                <w:szCs w:val="21"/>
              </w:rPr>
            </w:pPr>
            <w:r>
              <w:rPr>
                <w:rFonts w:hint="eastAsia"/>
                <w:color w:val="auto"/>
                <w:szCs w:val="21"/>
              </w:rPr>
              <w:t>其他结果</w:t>
            </w:r>
          </w:p>
        </w:tc>
        <w:tc>
          <w:tcPr>
            <w:tcW w:w="709" w:type="dxa"/>
            <w:vAlign w:val="center"/>
          </w:tcPr>
          <w:p>
            <w:pPr>
              <w:jc w:val="center"/>
              <w:rPr>
                <w:rFonts w:hint="eastAsia"/>
                <w:color w:val="auto"/>
                <w:szCs w:val="21"/>
              </w:rPr>
            </w:pPr>
            <w:r>
              <w:rPr>
                <w:rFonts w:hint="eastAsia"/>
                <w:color w:val="auto"/>
                <w:szCs w:val="21"/>
              </w:rPr>
              <w:t>尚未审结</w:t>
            </w:r>
          </w:p>
        </w:tc>
        <w:tc>
          <w:tcPr>
            <w:tcW w:w="425" w:type="dxa"/>
            <w:vAlign w:val="center"/>
          </w:tcPr>
          <w:p>
            <w:pPr>
              <w:jc w:val="center"/>
              <w:rPr>
                <w:rFonts w:hint="eastAsia"/>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8"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709" w:type="dxa"/>
            <w:vAlign w:val="center"/>
          </w:tcPr>
          <w:p>
            <w:pPr>
              <w:jc w:val="center"/>
              <w:rPr>
                <w:rFonts w:hint="eastAsia" w:eastAsiaTheme="minorEastAsia"/>
                <w:color w:val="auto"/>
                <w:sz w:val="18"/>
                <w:szCs w:val="18"/>
                <w:lang w:val="en-US" w:eastAsia="zh-CN"/>
              </w:rPr>
            </w:pPr>
            <w:r>
              <w:rPr>
                <w:rFonts w:hint="eastAsia"/>
                <w:color w:val="auto"/>
                <w:sz w:val="18"/>
                <w:szCs w:val="18"/>
                <w:lang w:val="en-US" w:eastAsia="zh-CN"/>
              </w:rPr>
              <w:t>0</w:t>
            </w:r>
          </w:p>
        </w:tc>
        <w:tc>
          <w:tcPr>
            <w:tcW w:w="682"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594"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8"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567"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851"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650"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67"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709"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c>
          <w:tcPr>
            <w:tcW w:w="425" w:type="dxa"/>
            <w:vAlign w:val="center"/>
          </w:tcPr>
          <w:p>
            <w:pPr>
              <w:jc w:val="center"/>
              <w:rPr>
                <w:rFonts w:hint="eastAsia" w:eastAsiaTheme="minorEastAsia"/>
                <w:color w:val="auto"/>
                <w:szCs w:val="21"/>
                <w:lang w:val="en-US" w:eastAsia="zh-CN"/>
              </w:rPr>
            </w:pPr>
            <w:r>
              <w:rPr>
                <w:rFonts w:hint="eastAsia"/>
                <w:color w:val="auto"/>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存在的主要问题及改进情况</w:t>
      </w:r>
    </w:p>
    <w:p>
      <w:pPr>
        <w:pStyle w:val="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500" w:firstLineChars="200"/>
        <w:textAlignment w:val="auto"/>
        <w:rPr>
          <w:rFonts w:hint="eastAsia" w:ascii="仿宋_GB2312" w:hAnsi="仿宋_GB2312" w:eastAsia="仿宋_GB2312" w:cs="仿宋_GB2312"/>
          <w:i w:val="0"/>
          <w:caps w:val="0"/>
          <w:color w:val="auto"/>
          <w:spacing w:val="0"/>
          <w:sz w:val="32"/>
          <w:szCs w:val="32"/>
          <w:lang w:eastAsia="zh-CN"/>
        </w:rPr>
      </w:pPr>
      <w:r>
        <w:rPr>
          <w:rFonts w:ascii="仿宋" w:hAnsi="仿宋" w:eastAsia="仿宋" w:cs="仿宋"/>
          <w:i w:val="0"/>
          <w:caps w:val="0"/>
          <w:color w:val="auto"/>
          <w:spacing w:val="0"/>
          <w:sz w:val="25"/>
          <w:szCs w:val="25"/>
        </w:rPr>
        <w:t> </w:t>
      </w:r>
      <w:r>
        <w:rPr>
          <w:rFonts w:hint="eastAsia" w:ascii="仿宋_GB2312" w:hAnsi="仿宋_GB2312" w:eastAsia="仿宋_GB2312" w:cs="仿宋_GB2312"/>
          <w:i w:val="0"/>
          <w:caps w:val="0"/>
          <w:color w:val="auto"/>
          <w:spacing w:val="0"/>
          <w:sz w:val="32"/>
          <w:szCs w:val="32"/>
        </w:rPr>
        <w:t>20</w:t>
      </w:r>
      <w:r>
        <w:rPr>
          <w:rFonts w:hint="eastAsia" w:ascii="仿宋_GB2312" w:hAnsi="仿宋_GB2312" w:eastAsia="仿宋_GB2312" w:cs="仿宋_GB2312"/>
          <w:i w:val="0"/>
          <w:caps w:val="0"/>
          <w:color w:val="auto"/>
          <w:spacing w:val="0"/>
          <w:sz w:val="32"/>
          <w:szCs w:val="32"/>
          <w:lang w:val="en-US" w:eastAsia="zh-CN"/>
        </w:rPr>
        <w:t>20</w:t>
      </w:r>
      <w:r>
        <w:rPr>
          <w:rFonts w:hint="eastAsia" w:ascii="仿宋_GB2312" w:hAnsi="仿宋_GB2312" w:eastAsia="仿宋_GB2312" w:cs="仿宋_GB2312"/>
          <w:i w:val="0"/>
          <w:caps w:val="0"/>
          <w:color w:val="auto"/>
          <w:spacing w:val="0"/>
          <w:sz w:val="32"/>
          <w:szCs w:val="32"/>
        </w:rPr>
        <w:t>年，城区街道办事处政府信息公开工作在上级有关部门的领导下取得成效，但仍存在部分问题，比如对《条例》和市、县政府信息公开工作规定的学习不够全面、掌握还不够牢固；公开政务的主动性不够强；</w:t>
      </w:r>
      <w:r>
        <w:rPr>
          <w:rFonts w:hint="eastAsia" w:ascii="仿宋_GB2312" w:hAnsi="仿宋_GB2312" w:eastAsia="仿宋_GB2312" w:cs="仿宋_GB2312"/>
          <w:i w:val="0"/>
          <w:caps w:val="0"/>
          <w:color w:val="auto"/>
          <w:spacing w:val="0"/>
          <w:sz w:val="32"/>
          <w:szCs w:val="32"/>
          <w:lang w:eastAsia="zh-CN"/>
        </w:rPr>
        <w:t>政务公开培训举办较少等。</w:t>
      </w:r>
    </w:p>
    <w:p>
      <w:pPr>
        <w:pStyle w:val="3"/>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exact"/>
        <w:ind w:left="0" w:right="0" w:firstLine="516"/>
        <w:textAlignment w:val="auto"/>
        <w:rPr>
          <w:rFonts w:hint="eastAsia" w:ascii="黑体" w:hAnsi="黑体" w:eastAsia="黑体"/>
          <w:b w:val="0"/>
          <w:bCs/>
          <w:color w:val="auto"/>
          <w:sz w:val="32"/>
          <w:szCs w:val="32"/>
        </w:rPr>
      </w:pPr>
      <w:r>
        <w:rPr>
          <w:rFonts w:hint="eastAsia" w:ascii="仿宋_GB2312" w:hAnsi="仿宋_GB2312" w:eastAsia="仿宋_GB2312" w:cs="仿宋_GB2312"/>
          <w:i w:val="0"/>
          <w:caps w:val="0"/>
          <w:color w:val="auto"/>
          <w:spacing w:val="0"/>
          <w:sz w:val="32"/>
          <w:szCs w:val="32"/>
        </w:rPr>
        <w:t>202</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rPr>
        <w:t>年，城区街道办事处将按照《条例》和市、县对政府信息公开的相关要求，大力推进政府信息公开工作，积极公开政府工作信息，不断强化对工作人员尤其是信息员的理论培训和业务培训，进一步完善政府信息公开各项规章制度，形成以制度管人、以制度谋事的长效机制，进一步规范政府信息公开工作。同时，紧紧围绕实施政府信息公开工作，多渠道、多形式，向社会和广大群众深入宣传政府信息公开工作，努力形成各级干部认真抓好政府信息公开、群众积极关心政府信息公开的社会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color w:val="auto"/>
          <w:sz w:val="32"/>
          <w:szCs w:val="32"/>
        </w:rPr>
      </w:pPr>
      <w:r>
        <w:rPr>
          <w:rFonts w:hint="eastAsia" w:ascii="黑体" w:hAnsi="黑体" w:eastAsia="黑体"/>
          <w:b w:val="0"/>
          <w:bCs/>
          <w:color w:val="auto"/>
          <w:sz w:val="32"/>
          <w:szCs w:val="32"/>
        </w:rPr>
        <w:t>六、其他需要报告的事项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lang w:eastAsia="zh-CN"/>
        </w:rPr>
      </w:pPr>
      <w:r>
        <w:rPr>
          <w:rFonts w:hint="eastAsia" w:ascii="仿宋_GB2312" w:hAnsi="仿宋_GB2312" w:eastAsia="仿宋_GB2312" w:cs="仿宋_GB2312"/>
          <w:b w:val="0"/>
          <w:i w:val="0"/>
          <w:caps w:val="0"/>
          <w:color w:val="auto"/>
          <w:spacing w:val="0"/>
          <w:sz w:val="32"/>
          <w:szCs w:val="32"/>
          <w:lang w:eastAsia="zh-CN"/>
        </w:rPr>
        <w:t>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outlineLvl w:val="9"/>
        <w:rPr>
          <w:rFonts w:hint="eastAsia" w:ascii="仿宋_GB2312" w:hAnsi="仿宋_GB2312" w:eastAsia="仿宋_GB2312" w:cs="仿宋_GB2312"/>
          <w:b w:val="0"/>
          <w:i w:val="0"/>
          <w:caps w:val="0"/>
          <w:color w:val="auto"/>
          <w:spacing w:val="0"/>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120" w:firstLineChars="1600"/>
        <w:jc w:val="left"/>
        <w:textAlignment w:val="auto"/>
        <w:outlineLvl w:val="9"/>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城区街道办事处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120" w:firstLineChars="1600"/>
        <w:jc w:val="left"/>
        <w:textAlignment w:val="auto"/>
        <w:outlineLvl w:val="9"/>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2021年1月25日</w:t>
      </w:r>
    </w:p>
    <w:p>
      <w:pPr>
        <w:pStyle w:val="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outlineLvl w:val="9"/>
        <w:rPr>
          <w:rFonts w:hint="eastAsia" w:ascii="仿宋" w:hAnsi="仿宋" w:eastAsia="仿宋_GB2312" w:cs="仿宋_GB2312"/>
          <w:b w:val="0"/>
          <w:i w:val="0"/>
          <w:caps w:val="0"/>
          <w:color w:val="auto"/>
          <w:spacing w:val="0"/>
          <w:sz w:val="32"/>
          <w:szCs w:val="32"/>
        </w:rPr>
      </w:pPr>
    </w:p>
    <w:p>
      <w:pPr>
        <w:rPr>
          <w:rFonts w:hint="default" w:eastAsiaTheme="minorEastAsia"/>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1B377CA"/>
    <w:rsid w:val="11775114"/>
    <w:rsid w:val="20CB3950"/>
    <w:rsid w:val="21E55A99"/>
    <w:rsid w:val="22BA0E62"/>
    <w:rsid w:val="2C8B7350"/>
    <w:rsid w:val="2E8510A4"/>
    <w:rsid w:val="37C964F7"/>
    <w:rsid w:val="3FD24EF5"/>
    <w:rsid w:val="4DE93206"/>
    <w:rsid w:val="53DD1B8E"/>
    <w:rsid w:val="59C06F0B"/>
    <w:rsid w:val="5C2D02B4"/>
    <w:rsid w:val="5CBF1F0F"/>
    <w:rsid w:val="61260D34"/>
    <w:rsid w:val="64261252"/>
    <w:rsid w:val="6B4B790B"/>
    <w:rsid w:val="6E332453"/>
    <w:rsid w:val="77814FF7"/>
    <w:rsid w:val="7D8E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3</TotalTime>
  <ScaleCrop>false</ScaleCrop>
  <LinksUpToDate>false</LinksUpToDate>
  <CharactersWithSpaces>1154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12614</cp:lastModifiedBy>
  <dcterms:modified xsi:type="dcterms:W3CDTF">2021-02-25T02:40:29Z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