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桓台县发展改革局</w:t>
      </w:r>
      <w:bookmarkStart w:id="1" w:name="_GoBack"/>
      <w:bookmarkEnd w:id="1"/>
      <w:r>
        <w:rPr>
          <w:rFonts w:hint="eastAsia" w:ascii="方正小标宋简体" w:hAnsi="方正小标宋简体" w:eastAsia="方正小标宋简体" w:cs="方正小标宋简体"/>
          <w:sz w:val="44"/>
          <w:szCs w:val="44"/>
        </w:rPr>
        <w:t>部门职责边界清单</w:t>
      </w:r>
    </w:p>
    <w:tbl>
      <w:tblPr>
        <w:tblStyle w:val="5"/>
        <w:tblW w:w="49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263"/>
        <w:gridCol w:w="1818"/>
        <w:gridCol w:w="3259"/>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92" w:type="pct"/>
            <w:vAlign w:val="center"/>
          </w:tcPr>
          <w:p>
            <w:pPr>
              <w:jc w:val="center"/>
              <w:rPr>
                <w:rFonts w:hint="eastAsia" w:ascii="仿宋_GB2312" w:hAnsi="仿宋_GB2312" w:eastAsia="仿宋_GB2312" w:cs="仿宋_GB2312"/>
                <w:b/>
                <w:bCs/>
                <w:color w:val="auto"/>
                <w:sz w:val="24"/>
                <w:highlight w:val="none"/>
                <w:lang w:eastAsia="zh-CN"/>
              </w:rPr>
            </w:pPr>
            <w:r>
              <w:rPr>
                <w:rFonts w:hint="eastAsia" w:ascii="仿宋_GB2312" w:hAnsi="仿宋_GB2312" w:eastAsia="仿宋_GB2312" w:cs="仿宋_GB2312"/>
                <w:b/>
                <w:bCs/>
                <w:color w:val="auto"/>
                <w:sz w:val="24"/>
                <w:highlight w:val="none"/>
                <w:lang w:val="en-US" w:eastAsia="zh-CN"/>
              </w:rPr>
              <w:t>序号</w:t>
            </w:r>
          </w:p>
        </w:tc>
        <w:tc>
          <w:tcPr>
            <w:tcW w:w="1282" w:type="pct"/>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边界事项名称</w:t>
            </w:r>
          </w:p>
        </w:tc>
        <w:tc>
          <w:tcPr>
            <w:tcW w:w="1030" w:type="pct"/>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提报部门</w:t>
            </w:r>
          </w:p>
        </w:tc>
        <w:tc>
          <w:tcPr>
            <w:tcW w:w="1846" w:type="pct"/>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涉及部门、单位</w:t>
            </w:r>
          </w:p>
        </w:tc>
        <w:tc>
          <w:tcPr>
            <w:tcW w:w="349" w:type="pct"/>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004</w:t>
            </w:r>
          </w:p>
        </w:tc>
        <w:tc>
          <w:tcPr>
            <w:tcW w:w="1282" w:type="pct"/>
            <w:vAlign w:val="center"/>
          </w:tcPr>
          <w:p>
            <w:pPr>
              <w:jc w:val="center"/>
              <w:rPr>
                <w:rFonts w:ascii="仿宋_GB2312" w:hAnsi="仿宋_GB2312" w:eastAsia="仿宋_GB2312" w:cs="仿宋_GB2312"/>
                <w:color w:val="auto"/>
                <w:sz w:val="24"/>
                <w:highlight w:val="none"/>
              </w:rPr>
            </w:pPr>
            <w:r>
              <w:rPr>
                <w:rFonts w:hint="eastAsia" w:ascii="仿宋_GB2312" w:hAnsi="宋体" w:eastAsia="仿宋_GB2312" w:cs="宋体"/>
                <w:color w:val="auto"/>
                <w:kern w:val="0"/>
                <w:sz w:val="24"/>
                <w:highlight w:val="none"/>
              </w:rPr>
              <w:t>重点建设项目管理</w:t>
            </w:r>
          </w:p>
        </w:tc>
        <w:tc>
          <w:tcPr>
            <w:tcW w:w="1030" w:type="pct"/>
            <w:vAlign w:val="center"/>
          </w:tcPr>
          <w:p>
            <w:pPr>
              <w:widowControl/>
              <w:jc w:val="center"/>
              <w:rPr>
                <w:rFonts w:ascii="仿宋_GB2312" w:hAnsi="仿宋_GB2312" w:eastAsia="仿宋_GB2312" w:cs="仿宋_GB2312"/>
                <w:color w:val="auto"/>
                <w:sz w:val="24"/>
                <w:highlight w:val="none"/>
              </w:rPr>
            </w:pPr>
            <w:r>
              <w:rPr>
                <w:rFonts w:hint="eastAsia" w:ascii="仿宋_GB2312" w:hAnsi="宋体" w:eastAsia="仿宋_GB2312" w:cs="宋体"/>
                <w:color w:val="auto"/>
                <w:kern w:val="0"/>
                <w:sz w:val="24"/>
                <w:highlight w:val="none"/>
              </w:rPr>
              <w:t>县发展和改革局</w:t>
            </w:r>
          </w:p>
        </w:tc>
        <w:tc>
          <w:tcPr>
            <w:tcW w:w="1846" w:type="pct"/>
            <w:vAlign w:val="center"/>
          </w:tcPr>
          <w:p>
            <w:pPr>
              <w:jc w:val="left"/>
              <w:rPr>
                <w:rFonts w:hint="eastAsia" w:ascii="仿宋_GB2312" w:hAnsi="仿宋_GB2312" w:eastAsia="仿宋_GB2312" w:cs="仿宋_GB2312"/>
                <w:color w:val="auto"/>
                <w:sz w:val="24"/>
                <w:highlight w:val="none"/>
                <w:lang w:eastAsia="zh-CN"/>
              </w:rPr>
            </w:pPr>
            <w:r>
              <w:rPr>
                <w:rFonts w:hint="eastAsia" w:ascii="仿宋_GB2312" w:hAnsi="宋体" w:eastAsia="仿宋_GB2312" w:cs="宋体"/>
                <w:color w:val="auto"/>
                <w:kern w:val="0"/>
                <w:sz w:val="24"/>
                <w:highlight w:val="none"/>
              </w:rPr>
              <w:t>县发展和改革局、县住房和城乡建设局</w:t>
            </w:r>
            <w:r>
              <w:rPr>
                <w:rFonts w:hint="eastAsia" w:ascii="仿宋_GB2312" w:hAnsi="宋体" w:eastAsia="仿宋_GB2312" w:cs="宋体"/>
                <w:color w:val="auto"/>
                <w:kern w:val="0"/>
                <w:sz w:val="24"/>
                <w:highlight w:val="none"/>
                <w:lang w:eastAsia="zh-CN"/>
              </w:rPr>
              <w:t>、县行政审批服务局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pct"/>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005</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建设工程招标投标管理</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w:t>
            </w:r>
          </w:p>
        </w:tc>
        <w:tc>
          <w:tcPr>
            <w:tcW w:w="1846" w:type="pct"/>
            <w:vAlign w:val="center"/>
          </w:tcPr>
          <w:p>
            <w:pPr>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县发展和改革局、县住房和城乡建设局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006</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制（修）订相关服务标准和服务技术标准开展服务业品牌建设</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w:t>
            </w:r>
          </w:p>
        </w:tc>
        <w:tc>
          <w:tcPr>
            <w:tcW w:w="1846" w:type="pct"/>
            <w:vAlign w:val="center"/>
          </w:tcPr>
          <w:p>
            <w:pPr>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县发展和改革局、县市场监督管理局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007</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落实国家小麦最低收购价制度</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县发展和改革局、县农业农村局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008</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煤炭质量监管</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w:t>
            </w:r>
          </w:p>
        </w:tc>
        <w:tc>
          <w:tcPr>
            <w:tcW w:w="1846" w:type="pct"/>
            <w:vAlign w:val="center"/>
          </w:tcPr>
          <w:p>
            <w:pPr>
              <w:jc w:val="left"/>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县发展和改革局、县市场监督管理局、市生态环境局桓台分局</w:t>
            </w:r>
            <w:r>
              <w:rPr>
                <w:rFonts w:hint="eastAsia" w:ascii="仿宋_GB2312" w:hAnsi="宋体" w:eastAsia="仿宋_GB2312" w:cs="宋体"/>
                <w:color w:val="auto"/>
                <w:kern w:val="0"/>
                <w:sz w:val="24"/>
                <w:highlight w:val="none"/>
                <w:lang w:eastAsia="zh-CN"/>
              </w:rPr>
              <w:t>、县综合行政执法局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009</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煤炭清洁利用联合执法</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县发展和改革局、县交通运输局、县综合行政执法局、县市场监督管理局、市生态环境局桓台分局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color w:val="auto"/>
                <w:sz w:val="24"/>
                <w:highlight w:val="none"/>
              </w:rPr>
              <w:t>010</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政府投资的基本建设项目的初步设计以及概算审批</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县发展和改革局、县住房和城乡建设局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011</w:t>
            </w:r>
          </w:p>
        </w:tc>
        <w:tc>
          <w:tcPr>
            <w:tcW w:w="1282" w:type="pct"/>
            <w:vAlign w:val="center"/>
          </w:tcPr>
          <w:p>
            <w:pPr>
              <w:jc w:val="center"/>
              <w:rPr>
                <w:rFonts w:hint="eastAsia"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价格调节基金使用管理</w:t>
            </w:r>
          </w:p>
        </w:tc>
        <w:tc>
          <w:tcPr>
            <w:tcW w:w="1030" w:type="pct"/>
            <w:vAlign w:val="center"/>
          </w:tcPr>
          <w:p>
            <w:pPr>
              <w:widowControl/>
              <w:jc w:val="center"/>
              <w:rPr>
                <w:rFonts w:hint="eastAsia"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w:t>
            </w:r>
          </w:p>
        </w:tc>
        <w:tc>
          <w:tcPr>
            <w:tcW w:w="1846" w:type="pct"/>
            <w:vAlign w:val="center"/>
          </w:tcPr>
          <w:p>
            <w:pPr>
              <w:widowControl/>
              <w:jc w:val="left"/>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县发展和改革局</w:t>
            </w:r>
            <w:r>
              <w:rPr>
                <w:rFonts w:hint="eastAsia" w:ascii="仿宋_GB2312" w:hAnsi="宋体" w:eastAsia="仿宋_GB2312" w:cs="宋体"/>
                <w:color w:val="auto"/>
                <w:kern w:val="0"/>
                <w:sz w:val="24"/>
                <w:highlight w:val="none"/>
                <w:lang w:eastAsia="zh-CN"/>
              </w:rPr>
              <w:t>、县财政局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01</w:t>
            </w:r>
            <w:r>
              <w:rPr>
                <w:rFonts w:hint="eastAsia" w:ascii="仿宋_GB2312" w:hAnsi="仿宋_GB2312" w:eastAsia="仿宋_GB2312" w:cs="仿宋_GB2312"/>
                <w:color w:val="auto"/>
                <w:sz w:val="24"/>
                <w:highlight w:val="none"/>
                <w:lang w:val="en-US" w:eastAsia="zh-CN"/>
              </w:rPr>
              <w:t>6</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教育招生考试安全保障</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县教育和体育局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县教育和体育局、县委</w:t>
            </w:r>
          </w:p>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宣传部、县委网信办、县委</w:t>
            </w:r>
            <w:r>
              <w:rPr>
                <w:rFonts w:hint="eastAsia" w:ascii="仿宋_GB2312" w:hAnsi="宋体" w:eastAsia="仿宋_GB2312" w:cs="宋体"/>
                <w:color w:val="auto"/>
                <w:kern w:val="0"/>
                <w:sz w:val="24"/>
                <w:highlight w:val="none"/>
                <w:lang w:eastAsia="zh-CN"/>
              </w:rPr>
              <w:t>办公室</w:t>
            </w:r>
            <w:r>
              <w:rPr>
                <w:rFonts w:hint="eastAsia" w:ascii="仿宋_GB2312" w:hAnsi="宋体" w:eastAsia="仿宋_GB2312" w:cs="宋体"/>
                <w:color w:val="auto"/>
                <w:kern w:val="0"/>
                <w:sz w:val="24"/>
                <w:highlight w:val="none"/>
              </w:rPr>
              <w:t>（国家保密局）、县发展和改革局、县工业和信息化局、县公安局、县财政局、县交通运输局、县卫生健康局、县市场监督管理局、县综合行政执法局、国网桓台</w:t>
            </w:r>
            <w:r>
              <w:rPr>
                <w:rFonts w:hint="eastAsia" w:ascii="仿宋_GB2312" w:hAnsi="宋体" w:eastAsia="仿宋_GB2312" w:cs="宋体"/>
                <w:color w:val="auto"/>
                <w:kern w:val="0"/>
                <w:sz w:val="24"/>
                <w:highlight w:val="none"/>
                <w:lang w:eastAsia="zh-CN"/>
              </w:rPr>
              <w:t>县供电</w:t>
            </w:r>
            <w:r>
              <w:rPr>
                <w:rFonts w:hint="eastAsia" w:ascii="仿宋_GB2312" w:hAnsi="宋体" w:eastAsia="仿宋_GB2312" w:cs="宋体"/>
                <w:color w:val="auto"/>
                <w:kern w:val="0"/>
                <w:sz w:val="24"/>
                <w:highlight w:val="none"/>
              </w:rPr>
              <w:t>公司</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020</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企业家培训</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县工业和信息化局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县工业和信息化局、县发展和改革局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color w:val="auto"/>
                <w:sz w:val="24"/>
                <w:highlight w:val="none"/>
              </w:rPr>
              <w:t>02</w:t>
            </w:r>
            <w:r>
              <w:rPr>
                <w:rFonts w:hint="eastAsia" w:ascii="仿宋_GB2312" w:hAnsi="仿宋_GB2312" w:eastAsia="仿宋_GB2312" w:cs="仿宋_GB2312"/>
                <w:color w:val="auto"/>
                <w:sz w:val="24"/>
                <w:highlight w:val="none"/>
                <w:lang w:val="en-US" w:eastAsia="zh-CN"/>
              </w:rPr>
              <w:t>1</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电动汽车以及充电设施管理</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县工业和信息化局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县工业和信息化局、县发展和改革局（</w:t>
            </w:r>
            <w:r>
              <w:rPr>
                <w:rFonts w:hint="eastAsia" w:ascii="仿宋_GB2312" w:hAnsi="宋体" w:eastAsia="仿宋_GB2312" w:cs="宋体"/>
                <w:color w:val="auto"/>
                <w:kern w:val="0"/>
                <w:sz w:val="24"/>
                <w:highlight w:val="none"/>
                <w:lang w:eastAsia="zh-CN"/>
              </w:rPr>
              <w:t>县能源局</w:t>
            </w:r>
            <w:r>
              <w:rPr>
                <w:rFonts w:hint="eastAsia" w:ascii="仿宋_GB2312" w:hAnsi="宋体" w:eastAsia="仿宋_GB2312" w:cs="宋体"/>
                <w:color w:val="auto"/>
                <w:kern w:val="0"/>
                <w:sz w:val="24"/>
                <w:highlight w:val="none"/>
              </w:rPr>
              <w:t>）、县市场监督管理局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color w:val="auto"/>
                <w:sz w:val="24"/>
                <w:highlight w:val="none"/>
              </w:rPr>
              <w:t>02</w:t>
            </w:r>
            <w:r>
              <w:rPr>
                <w:rFonts w:hint="eastAsia" w:ascii="仿宋_GB2312" w:hAnsi="仿宋_GB2312" w:eastAsia="仿宋_GB2312" w:cs="仿宋_GB2312"/>
                <w:color w:val="auto"/>
                <w:sz w:val="24"/>
                <w:highlight w:val="none"/>
                <w:lang w:val="en-US" w:eastAsia="zh-CN"/>
              </w:rPr>
              <w:t>3</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企业技术改造投资项目管理</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县工业和信息化局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县发展和改革局、县工业和信息化局、县</w:t>
            </w:r>
            <w:bookmarkStart w:id="0" w:name="_Hlk43499181"/>
            <w:r>
              <w:rPr>
                <w:rFonts w:hint="eastAsia" w:ascii="仿宋_GB2312" w:hAnsi="宋体" w:eastAsia="仿宋_GB2312" w:cs="宋体"/>
                <w:color w:val="auto"/>
                <w:kern w:val="0"/>
                <w:sz w:val="24"/>
                <w:highlight w:val="none"/>
              </w:rPr>
              <w:t>行政审批服务局</w:t>
            </w:r>
            <w:bookmarkEnd w:id="0"/>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92" w:type="pct"/>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05</w:t>
            </w:r>
            <w:r>
              <w:rPr>
                <w:rFonts w:hint="eastAsia" w:ascii="仿宋_GB2312" w:hAnsi="仿宋_GB2312" w:eastAsia="仿宋_GB2312" w:cs="仿宋_GB2312"/>
                <w:color w:val="auto"/>
                <w:sz w:val="24"/>
                <w:highlight w:val="none"/>
                <w:lang w:val="en-US" w:eastAsia="zh-CN"/>
              </w:rPr>
              <w:t>7</w:t>
            </w:r>
          </w:p>
        </w:tc>
        <w:tc>
          <w:tcPr>
            <w:tcW w:w="1282" w:type="pct"/>
            <w:vAlign w:val="center"/>
          </w:tcPr>
          <w:p>
            <w:pP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城市建设资金计划拟订</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县住房和城乡建设局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县住房和城乡建设局、县发展和改革局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05</w:t>
            </w:r>
            <w:r>
              <w:rPr>
                <w:rFonts w:hint="eastAsia" w:ascii="仿宋_GB2312" w:hAnsi="仿宋_GB2312" w:eastAsia="仿宋_GB2312" w:cs="仿宋_GB2312"/>
                <w:color w:val="auto"/>
                <w:sz w:val="24"/>
                <w:highlight w:val="none"/>
                <w:lang w:val="en-US" w:eastAsia="zh-CN"/>
              </w:rPr>
              <w:t>9</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培育和发展住房租赁市场</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县住房和城乡建设局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县住房和城乡建设局、县自然资源局、县市场监督管理局、县发展和改革局、人民银行桓台支行、县银保监等部门</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06</w:t>
            </w:r>
            <w:r>
              <w:rPr>
                <w:rFonts w:hint="eastAsia" w:ascii="仿宋_GB2312" w:hAnsi="仿宋_GB2312" w:eastAsia="仿宋_GB2312" w:cs="仿宋_GB2312"/>
                <w:color w:val="auto"/>
                <w:sz w:val="24"/>
                <w:highlight w:val="none"/>
                <w:lang w:val="en-US" w:eastAsia="zh-CN"/>
              </w:rPr>
              <w:t>2</w:t>
            </w:r>
          </w:p>
        </w:tc>
        <w:tc>
          <w:tcPr>
            <w:tcW w:w="1282" w:type="pct"/>
            <w:vAlign w:val="center"/>
          </w:tcPr>
          <w:p>
            <w:pPr>
              <w:jc w:val="center"/>
              <w:rPr>
                <w:rFonts w:ascii="仿宋_GB2312" w:hAnsi="宋体" w:eastAsia="仿宋_GB2312" w:cs="宋体"/>
                <w:b/>
                <w:bCs/>
                <w:color w:val="auto"/>
                <w:kern w:val="0"/>
                <w:sz w:val="24"/>
                <w:highlight w:val="none"/>
              </w:rPr>
            </w:pPr>
            <w:r>
              <w:rPr>
                <w:rFonts w:hint="eastAsia" w:ascii="仿宋_GB2312" w:hAnsi="宋体" w:eastAsia="仿宋_GB2312" w:cs="宋体"/>
                <w:color w:val="auto"/>
                <w:kern w:val="0"/>
                <w:sz w:val="24"/>
                <w:highlight w:val="none"/>
              </w:rPr>
              <w:t>城镇老旧住宅小区整治改造</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县住房和城乡建设局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县住房和城乡建设局、县发展和改革局、县民政局、县公安局、县财政局、县自然资源局、市生态环境局桓台分局、县商务局、县教育和体育局、县卫生和健康局、县文化和旅游局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color w:val="auto"/>
                <w:sz w:val="24"/>
                <w:highlight w:val="none"/>
              </w:rPr>
              <w:t>07</w:t>
            </w:r>
            <w:r>
              <w:rPr>
                <w:rFonts w:hint="eastAsia" w:ascii="仿宋_GB2312" w:hAnsi="仿宋_GB2312" w:eastAsia="仿宋_GB2312" w:cs="仿宋_GB2312"/>
                <w:color w:val="auto"/>
                <w:sz w:val="24"/>
                <w:highlight w:val="none"/>
                <w:lang w:val="en-US" w:eastAsia="zh-CN"/>
              </w:rPr>
              <w:t>8</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节约用水管理</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县水利局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县水利局、县发展和改革局、县工业和信息化局、县住房和城乡建设局、县综合行政执法局（</w:t>
            </w:r>
            <w:r>
              <w:rPr>
                <w:rFonts w:hint="eastAsia" w:ascii="仿宋_GB2312" w:hAnsi="仿宋_GB2312" w:eastAsia="仿宋_GB2312" w:cs="仿宋_GB2312"/>
                <w:color w:val="auto"/>
                <w:sz w:val="24"/>
                <w:highlight w:val="none"/>
                <w:lang w:val="en-US" w:eastAsia="zh-CN"/>
              </w:rPr>
              <w:t>县</w:t>
            </w:r>
            <w:r>
              <w:rPr>
                <w:rFonts w:hint="eastAsia" w:ascii="仿宋_GB2312" w:hAnsi="宋体" w:eastAsia="仿宋_GB2312" w:cs="宋体"/>
                <w:color w:val="auto"/>
                <w:kern w:val="0"/>
                <w:sz w:val="24"/>
                <w:highlight w:val="none"/>
              </w:rPr>
              <w:t>城管局）、县农业农村局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color w:val="auto"/>
                <w:sz w:val="24"/>
                <w:highlight w:val="none"/>
              </w:rPr>
              <w:t>09</w:t>
            </w:r>
            <w:r>
              <w:rPr>
                <w:rFonts w:hint="eastAsia" w:ascii="仿宋_GB2312" w:hAnsi="仿宋_GB2312" w:eastAsia="仿宋_GB2312" w:cs="仿宋_GB2312"/>
                <w:color w:val="auto"/>
                <w:sz w:val="24"/>
                <w:highlight w:val="none"/>
                <w:lang w:val="en-US" w:eastAsia="zh-CN"/>
              </w:rPr>
              <w:t>4</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成品油监管</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县商务局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县商务局、县综合行政执法局、县发展和改革局、县工业和信息化局、市生态环境局桓台分局、县交通运输局、县应急管理局、县市场监督管理局、县税务局等部门单位</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10</w:t>
            </w:r>
            <w:r>
              <w:rPr>
                <w:rFonts w:hint="eastAsia" w:ascii="仿宋_GB2312" w:hAnsi="仿宋_GB2312" w:eastAsia="仿宋_GB2312" w:cs="仿宋_GB2312"/>
                <w:color w:val="auto"/>
                <w:sz w:val="24"/>
                <w:highlight w:val="none"/>
                <w:lang w:val="en-US" w:eastAsia="zh-CN"/>
              </w:rPr>
              <w:t>3</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人口发展规划和人口政策拟订</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县卫生和健康局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县卫生和健康局、县发展和改革局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10</w:t>
            </w:r>
            <w:r>
              <w:rPr>
                <w:rFonts w:hint="eastAsia" w:ascii="仿宋_GB2312" w:hAnsi="仿宋_GB2312" w:eastAsia="仿宋_GB2312" w:cs="仿宋_GB2312"/>
                <w:color w:val="auto"/>
                <w:sz w:val="24"/>
                <w:highlight w:val="none"/>
                <w:lang w:val="en-US" w:eastAsia="zh-CN"/>
              </w:rPr>
              <w:t>8</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防汛抗旱</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县应急管理局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应急管理局、县水利局、县综合行政执法局、县发展和改革局、县教育局、县工业和信息化局、县公安局、县财政局、县自然资源局、县住房和城乡建设局、县交通运输局、县农业农村局、县文化和旅游局、县气象局、县水利局、淄博供电公司桓台分公司、中国联通桓台分公司、桓台移动通信公司、中国电信桓台分公司、县消防救援大队</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09</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危险化学品监管</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县应急管理局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县应急管理局、市生态环境局桓台分局、县公安局、县交警大队、县交通运输局、县市场监督管理局、县行政审批服务局、县发展和改革局（</w:t>
            </w:r>
            <w:r>
              <w:rPr>
                <w:rFonts w:hint="eastAsia" w:ascii="仿宋_GB2312" w:hAnsi="仿宋_GB2312" w:eastAsia="仿宋_GB2312" w:cs="仿宋_GB2312"/>
                <w:color w:val="auto"/>
                <w:sz w:val="24"/>
                <w:highlight w:val="none"/>
                <w:lang w:val="en-US" w:eastAsia="zh-CN"/>
              </w:rPr>
              <w:t>县</w:t>
            </w:r>
            <w:r>
              <w:rPr>
                <w:rFonts w:hint="eastAsia" w:ascii="仿宋_GB2312" w:hAnsi="宋体" w:eastAsia="仿宋_GB2312" w:cs="宋体"/>
                <w:color w:val="auto"/>
                <w:kern w:val="0"/>
                <w:sz w:val="24"/>
                <w:highlight w:val="none"/>
                <w:lang w:eastAsia="zh-CN"/>
              </w:rPr>
              <w:t>能源局</w:t>
            </w:r>
            <w:r>
              <w:rPr>
                <w:rFonts w:hint="eastAsia" w:ascii="仿宋_GB2312" w:hAnsi="宋体" w:eastAsia="仿宋_GB2312" w:cs="宋体"/>
                <w:color w:val="auto"/>
                <w:kern w:val="0"/>
                <w:sz w:val="24"/>
                <w:highlight w:val="none"/>
              </w:rPr>
              <w:t>）</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color w:val="auto"/>
                <w:sz w:val="24"/>
                <w:highlight w:val="none"/>
              </w:rPr>
              <w:t>11</w:t>
            </w:r>
            <w:r>
              <w:rPr>
                <w:rFonts w:hint="eastAsia" w:ascii="仿宋_GB2312" w:hAnsi="仿宋_GB2312" w:eastAsia="仿宋_GB2312" w:cs="仿宋_GB2312"/>
                <w:color w:val="auto"/>
                <w:sz w:val="24"/>
                <w:highlight w:val="none"/>
                <w:lang w:val="en-US" w:eastAsia="zh-CN"/>
              </w:rPr>
              <w:t>1</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县级救灾物资管理</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县应急管理局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县应急管理局、县发展和改革局（</w:t>
            </w:r>
            <w:r>
              <w:rPr>
                <w:rFonts w:hint="eastAsia" w:ascii="仿宋_GB2312" w:hAnsi="仿宋_GB2312" w:eastAsia="仿宋_GB2312" w:cs="仿宋_GB2312"/>
                <w:color w:val="auto"/>
                <w:sz w:val="24"/>
                <w:highlight w:val="none"/>
                <w:lang w:val="en-US" w:eastAsia="zh-CN"/>
              </w:rPr>
              <w:t>县</w:t>
            </w:r>
            <w:r>
              <w:rPr>
                <w:rFonts w:hint="eastAsia" w:ascii="仿宋_GB2312" w:hAnsi="宋体" w:eastAsia="仿宋_GB2312" w:cs="宋体"/>
                <w:color w:val="auto"/>
                <w:kern w:val="0"/>
                <w:sz w:val="24"/>
                <w:highlight w:val="none"/>
                <w:lang w:eastAsia="zh-CN"/>
              </w:rPr>
              <w:t>能源局</w:t>
            </w:r>
            <w:r>
              <w:rPr>
                <w:rFonts w:hint="eastAsia" w:ascii="仿宋_GB2312" w:hAnsi="宋体" w:eastAsia="仿宋_GB2312" w:cs="宋体"/>
                <w:color w:val="auto"/>
                <w:kern w:val="0"/>
                <w:sz w:val="24"/>
                <w:highlight w:val="none"/>
              </w:rPr>
              <w:t>）</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92" w:type="pct"/>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114</w:t>
            </w:r>
          </w:p>
        </w:tc>
        <w:tc>
          <w:tcPr>
            <w:tcW w:w="1282" w:type="pct"/>
            <w:vAlign w:val="center"/>
          </w:tcPr>
          <w:p>
            <w:pPr>
              <w:jc w:val="center"/>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lang w:eastAsia="zh-CN"/>
              </w:rPr>
              <w:t>审批与批后监管</w:t>
            </w:r>
          </w:p>
        </w:tc>
        <w:tc>
          <w:tcPr>
            <w:tcW w:w="1030" w:type="pct"/>
            <w:vAlign w:val="center"/>
          </w:tcPr>
          <w:p>
            <w:pPr>
              <w:widowControl/>
              <w:jc w:val="center"/>
              <w:rPr>
                <w:rFonts w:hint="eastAsia"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县行政审批服务局</w:t>
            </w:r>
          </w:p>
        </w:tc>
        <w:tc>
          <w:tcPr>
            <w:tcW w:w="1846" w:type="pct"/>
            <w:vAlign w:val="center"/>
          </w:tcPr>
          <w:p>
            <w:pPr>
              <w:widowControl/>
              <w:jc w:val="left"/>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lang w:eastAsia="zh-CN"/>
              </w:rPr>
              <w:t>县政府办公室、</w:t>
            </w:r>
            <w:r>
              <w:rPr>
                <w:rFonts w:hint="eastAsia" w:ascii="仿宋_GB2312" w:hAnsi="宋体" w:eastAsia="仿宋_GB2312" w:cs="宋体"/>
                <w:color w:val="auto"/>
                <w:kern w:val="0"/>
                <w:sz w:val="24"/>
                <w:highlight w:val="none"/>
              </w:rPr>
              <w:t>县发展和改革局</w:t>
            </w:r>
            <w:r>
              <w:rPr>
                <w:rFonts w:hint="eastAsia" w:ascii="仿宋_GB2312" w:hAnsi="宋体" w:eastAsia="仿宋_GB2312" w:cs="宋体"/>
                <w:color w:val="auto"/>
                <w:kern w:val="0"/>
                <w:sz w:val="24"/>
                <w:highlight w:val="none"/>
                <w:lang w:eastAsia="zh-CN"/>
              </w:rPr>
              <w:t>、县工业和信息化局、县教育和体育局、县财政局、县人力资源和社会保障局、县民政局、县科技局、县水利局、县农业农村局、县交通运输局、县综合行政执法局、县市场监督管理局、县自然资源局（县林业局）、县文化和旅游局、县住房和城乡建设局、县商务局、县卫生健康局</w:t>
            </w:r>
          </w:p>
        </w:tc>
        <w:tc>
          <w:tcPr>
            <w:tcW w:w="349" w:type="pct"/>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18</w:t>
            </w:r>
          </w:p>
        </w:tc>
        <w:tc>
          <w:tcPr>
            <w:tcW w:w="1282" w:type="pct"/>
            <w:vAlign w:val="center"/>
          </w:tcPr>
          <w:p>
            <w:pPr>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价格收费行为事中事后监管、价格和收费公示</w:t>
            </w:r>
          </w:p>
        </w:tc>
        <w:tc>
          <w:tcPr>
            <w:tcW w:w="1030" w:type="pct"/>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县市场监督管理局</w:t>
            </w:r>
          </w:p>
        </w:tc>
        <w:tc>
          <w:tcPr>
            <w:tcW w:w="1846" w:type="pct"/>
            <w:vAlign w:val="center"/>
          </w:tcPr>
          <w:p>
            <w:pPr>
              <w:widowControl/>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县市场监督管理局、县发展和改革局</w:t>
            </w:r>
          </w:p>
        </w:tc>
        <w:tc>
          <w:tcPr>
            <w:tcW w:w="349" w:type="pct"/>
            <w:vAlign w:val="center"/>
          </w:tcPr>
          <w:p>
            <w:pPr>
              <w:jc w:val="center"/>
              <w:rPr>
                <w:rFonts w:ascii="仿宋_GB2312" w:hAnsi="仿宋_GB2312" w:eastAsia="仿宋_GB2312" w:cs="仿宋_GB2312"/>
                <w:color w:val="auto"/>
                <w:sz w:val="24"/>
                <w:highlight w:val="none"/>
              </w:rPr>
            </w:pPr>
          </w:p>
        </w:tc>
      </w:tr>
    </w:tbl>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注：序号前加*事项为部门“三定”规定明确的事项。</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keepNext w:val="0"/>
        <w:keepLines w:val="0"/>
        <w:pageBreakBefore w:val="0"/>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4.重点建设项目管理</w:t>
      </w:r>
    </w:p>
    <w:p>
      <w:pPr>
        <w:keepNext w:val="0"/>
        <w:keepLines w:val="0"/>
        <w:pageBreakBefore w:val="0"/>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县发展和改革局：负责规划重大建设项目的布局，安排政府拨款建设项目和重大建设项目，对政府出资的重大项目建设过程中的招投标、建设进度、工程质量、资金使用以及投资概算控制进行监督检查。</w:t>
      </w:r>
    </w:p>
    <w:p>
      <w:pPr>
        <w:keepNext w:val="0"/>
        <w:keepLines w:val="0"/>
        <w:pageBreakBefore w:val="0"/>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5.建设工程招标投标管理</w:t>
      </w:r>
    </w:p>
    <w:p>
      <w:pPr>
        <w:keepNext w:val="0"/>
        <w:keepLines w:val="0"/>
        <w:pageBreakBefore w:val="0"/>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县发展和改革局：负责依法对政府重大工程建设项目的招标投标活动实施监督检查。</w:t>
      </w:r>
    </w:p>
    <w:p>
      <w:pPr>
        <w:keepNext w:val="0"/>
        <w:keepLines w:val="0"/>
        <w:pageBreakBefore w:val="0"/>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p>
    <w:p>
      <w:pPr>
        <w:keepNext w:val="0"/>
        <w:keepLines w:val="0"/>
        <w:pageBreakBefore w:val="0"/>
        <w:kinsoku/>
        <w:wordWrap/>
        <w:overflowPunct/>
        <w:autoSpaceDE/>
        <w:autoSpaceDN/>
        <w:bidi w:val="0"/>
        <w:adjustRightInd/>
        <w:snapToGrid/>
        <w:spacing w:line="500" w:lineRule="exact"/>
        <w:ind w:firstLine="643" w:firstLineChars="200"/>
        <w:textAlignment w:val="auto"/>
        <w:rPr>
          <w:rFonts w:ascii="仿宋_GB2312" w:hAnsi="宋体" w:eastAsia="仿宋_GB2312" w:cs="宋体"/>
          <w:kern w:val="0"/>
          <w:sz w:val="32"/>
          <w:szCs w:val="32"/>
        </w:rPr>
      </w:pPr>
      <w:r>
        <w:rPr>
          <w:rFonts w:hint="eastAsia" w:ascii="仿宋_GB2312" w:hAnsi="宋体" w:eastAsia="仿宋_GB2312" w:cs="宋体"/>
          <w:b/>
          <w:bCs/>
          <w:kern w:val="0"/>
          <w:sz w:val="32"/>
          <w:szCs w:val="32"/>
        </w:rPr>
        <w:t>6.制（修）订相关服务标准和服务技术标准开展服务业品牌建设</w:t>
      </w:r>
    </w:p>
    <w:p>
      <w:pPr>
        <w:keepNext w:val="0"/>
        <w:keepLines w:val="0"/>
        <w:pageBreakBefore w:val="0"/>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县发展和改革局：组织协调制（修）订相关服务标准和服务技术标准，开展服务业品牌建设工作。</w:t>
      </w:r>
    </w:p>
    <w:p>
      <w:pPr>
        <w:keepNext w:val="0"/>
        <w:keepLines w:val="0"/>
        <w:pageBreakBefore w:val="0"/>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7.落实国家小麦最低收购价制度</w:t>
      </w:r>
    </w:p>
    <w:p>
      <w:pPr>
        <w:keepNext w:val="0"/>
        <w:keepLines w:val="0"/>
        <w:pageBreakBefore w:val="0"/>
        <w:kinsoku/>
        <w:wordWrap/>
        <w:overflowPunct/>
        <w:autoSpaceDE/>
        <w:autoSpaceDN/>
        <w:bidi w:val="0"/>
        <w:adjustRightInd/>
        <w:snapToGrid/>
        <w:spacing w:line="5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县发展和改革局：负责协调落实小麦最低收购价政策，监测收购价格变化情况，会同有关部门解决最低收购价政策执行中的重大问题。负责指导协调桓台区域内政策性粮食收购企业严格执行最低收购价政策，负责监督检查最低收购价政策执行和最低收购价粮食安全储存管理等工作。</w:t>
      </w:r>
    </w:p>
    <w:p>
      <w:pPr>
        <w:keepNext w:val="0"/>
        <w:keepLines w:val="0"/>
        <w:pageBreakBefore w:val="0"/>
        <w:widowControl/>
        <w:kinsoku/>
        <w:wordWrap/>
        <w:overflowPunct/>
        <w:autoSpaceDE/>
        <w:autoSpaceDN/>
        <w:bidi w:val="0"/>
        <w:adjustRightInd/>
        <w:snapToGrid/>
        <w:spacing w:line="500" w:lineRule="exact"/>
        <w:ind w:left="479" w:leftChars="228" w:firstLine="0" w:firstLineChars="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8.煤炭质量监管</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eastAsia="仿宋_GB2312"/>
          <w:color w:val="000000"/>
          <w:sz w:val="32"/>
          <w:szCs w:val="32"/>
        </w:rPr>
      </w:pPr>
      <w:r>
        <w:rPr>
          <w:rFonts w:hint="eastAsia" w:ascii="仿宋_GB2312" w:hAnsi="宋体" w:eastAsia="仿宋_GB2312" w:cs="宋体"/>
          <w:kern w:val="0"/>
          <w:sz w:val="32"/>
          <w:szCs w:val="32"/>
        </w:rPr>
        <w:t>县发展和改革局：</w:t>
      </w:r>
      <w:r>
        <w:rPr>
          <w:rFonts w:hint="eastAsia" w:ascii="仿宋_GB2312" w:eastAsia="仿宋_GB2312"/>
          <w:color w:val="000000"/>
          <w:sz w:val="32"/>
          <w:szCs w:val="32"/>
        </w:rPr>
        <w:t>负责在职责范围内依法对煤炭质量实施监管。指导煤炭生产加工工作和煤炭质量管理工作。依法指导对商品煤进行抽检。</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eastAsia="仿宋_GB2312"/>
          <w:b/>
          <w:bCs/>
          <w:color w:val="000000"/>
          <w:sz w:val="32"/>
          <w:szCs w:val="32"/>
        </w:rPr>
        <w:t>9.</w:t>
      </w:r>
      <w:r>
        <w:rPr>
          <w:rFonts w:hint="eastAsia" w:ascii="仿宋_GB2312" w:hAnsi="宋体" w:eastAsia="仿宋_GB2312" w:cs="宋体"/>
          <w:b/>
          <w:bCs/>
          <w:kern w:val="0"/>
          <w:sz w:val="32"/>
          <w:szCs w:val="32"/>
        </w:rPr>
        <w:t>煤炭清洁利用联合执法</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hAnsi="宋体" w:eastAsia="仿宋_GB2312" w:cs="宋体"/>
          <w:kern w:val="0"/>
          <w:sz w:val="32"/>
          <w:szCs w:val="32"/>
        </w:rPr>
        <w:t>县发展和改革局：</w:t>
      </w:r>
      <w:r>
        <w:rPr>
          <w:rFonts w:hint="eastAsia" w:ascii="仿宋_GB2312" w:eastAsia="仿宋_GB2312"/>
          <w:sz w:val="32"/>
          <w:szCs w:val="32"/>
        </w:rPr>
        <w:t>负责对储煤场、煤炭质量、煤炭购销台账进行执法检查；负责对煤炭运输车辆运输的煤炭质量及来源去向等情况进行执法检查；依法督导燃煤单位节约利用煤炭资源。</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eastAsia="仿宋_GB2312"/>
          <w:b/>
          <w:bCs/>
          <w:sz w:val="32"/>
          <w:szCs w:val="32"/>
        </w:rPr>
        <w:t>10.</w:t>
      </w:r>
      <w:r>
        <w:rPr>
          <w:rFonts w:hint="eastAsia" w:ascii="仿宋_GB2312" w:hAnsi="宋体" w:eastAsia="仿宋_GB2312" w:cs="宋体"/>
          <w:b/>
          <w:bCs/>
          <w:kern w:val="0"/>
          <w:sz w:val="32"/>
          <w:szCs w:val="32"/>
        </w:rPr>
        <w:t>政府投资的基本建设项目的初步设计以及概算审批</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县发展和改革局：负责管前期，牵头组织审查概算方案并会同县住房城乡建设局审批，参与初步设计工作。</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hint="eastAsia" w:ascii="仿宋_GB2312" w:hAnsi="宋体" w:eastAsia="仿宋_GB2312" w:cs="宋体"/>
          <w:b/>
          <w:bCs/>
          <w:color w:val="auto"/>
          <w:kern w:val="0"/>
          <w:sz w:val="32"/>
          <w:szCs w:val="32"/>
          <w:shd w:val="clear" w:color="auto" w:fill="auto"/>
        </w:rPr>
      </w:pPr>
      <w:r>
        <w:rPr>
          <w:rFonts w:hint="eastAsia" w:ascii="仿宋_GB2312" w:hAnsi="宋体" w:eastAsia="仿宋_GB2312" w:cs="宋体"/>
          <w:b/>
          <w:bCs/>
          <w:color w:val="auto"/>
          <w:kern w:val="0"/>
          <w:sz w:val="32"/>
          <w:szCs w:val="32"/>
          <w:shd w:val="clear" w:color="auto" w:fill="auto"/>
          <w:lang w:val="en-US" w:eastAsia="zh-CN"/>
        </w:rPr>
        <w:t>11.</w:t>
      </w:r>
      <w:r>
        <w:rPr>
          <w:rFonts w:hint="eastAsia" w:ascii="仿宋_GB2312" w:hAnsi="宋体" w:eastAsia="仿宋_GB2312" w:cs="宋体"/>
          <w:b/>
          <w:bCs/>
          <w:color w:val="auto"/>
          <w:kern w:val="0"/>
          <w:sz w:val="32"/>
          <w:szCs w:val="32"/>
          <w:shd w:val="clear" w:color="auto" w:fill="auto"/>
        </w:rPr>
        <w:t>价格调节基金使用管理</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hint="eastAsia" w:ascii="仿宋_GB2312" w:hAnsi="宋体" w:eastAsia="仿宋_GB2312" w:cs="宋体"/>
          <w:b w:val="0"/>
          <w:bCs w:val="0"/>
          <w:color w:val="auto"/>
          <w:kern w:val="0"/>
          <w:sz w:val="32"/>
          <w:szCs w:val="32"/>
          <w:shd w:val="clear" w:color="auto" w:fill="auto"/>
        </w:rPr>
      </w:pPr>
      <w:r>
        <w:rPr>
          <w:rFonts w:hint="eastAsia" w:ascii="仿宋_GB2312" w:hAnsi="宋体" w:eastAsia="仿宋_GB2312" w:cs="宋体"/>
          <w:b w:val="0"/>
          <w:bCs w:val="0"/>
          <w:color w:val="auto"/>
          <w:kern w:val="0"/>
          <w:sz w:val="32"/>
          <w:szCs w:val="32"/>
          <w:shd w:val="clear" w:color="auto" w:fill="auto"/>
        </w:rPr>
        <w:t>县发展</w:t>
      </w:r>
      <w:r>
        <w:rPr>
          <w:rFonts w:hint="eastAsia" w:ascii="仿宋_GB2312" w:hAnsi="宋体" w:eastAsia="仿宋_GB2312" w:cs="宋体"/>
          <w:b w:val="0"/>
          <w:bCs w:val="0"/>
          <w:color w:val="auto"/>
          <w:kern w:val="0"/>
          <w:sz w:val="32"/>
          <w:szCs w:val="32"/>
          <w:shd w:val="clear" w:color="auto" w:fill="auto"/>
          <w:lang w:eastAsia="zh-CN"/>
        </w:rPr>
        <w:t>和</w:t>
      </w:r>
      <w:r>
        <w:rPr>
          <w:rFonts w:hint="eastAsia" w:ascii="仿宋_GB2312" w:hAnsi="宋体" w:eastAsia="仿宋_GB2312" w:cs="宋体"/>
          <w:b w:val="0"/>
          <w:bCs w:val="0"/>
          <w:color w:val="auto"/>
          <w:kern w:val="0"/>
          <w:sz w:val="32"/>
          <w:szCs w:val="32"/>
          <w:shd w:val="clear" w:color="auto" w:fill="auto"/>
        </w:rPr>
        <w:t>改革局：负责县级价格调节基金的筹集、使用和管理的具体工作，会同财政部门制定使用方案，并跟踪检查和年度评估。</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hint="eastAsia" w:ascii="仿宋_GB2312" w:hAnsi="宋体" w:eastAsia="仿宋_GB2312" w:cs="宋体"/>
          <w:b/>
          <w:bCs/>
          <w:kern w:val="0"/>
          <w:sz w:val="32"/>
          <w:szCs w:val="32"/>
          <w:lang w:val="en-US" w:eastAsia="zh-CN"/>
        </w:rPr>
        <w:t>6</w:t>
      </w:r>
      <w:r>
        <w:rPr>
          <w:rFonts w:hint="eastAsia" w:ascii="仿宋_GB2312" w:hAnsi="宋体" w:eastAsia="仿宋_GB2312" w:cs="宋体"/>
          <w:b/>
          <w:bCs/>
          <w:kern w:val="0"/>
          <w:sz w:val="32"/>
          <w:szCs w:val="32"/>
        </w:rPr>
        <w:t>.教育招生考试安全保障</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县发展和改革局：负责招生考试收费标准审批和执行情况监督等与本部门有关的工作。</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lang w:val="en-US" w:eastAsia="zh-CN"/>
        </w:rPr>
        <w:t>20</w:t>
      </w:r>
      <w:r>
        <w:rPr>
          <w:rFonts w:hint="eastAsia" w:ascii="仿宋_GB2312" w:hAnsi="宋体" w:eastAsia="仿宋_GB2312" w:cs="宋体"/>
          <w:b/>
          <w:bCs/>
          <w:kern w:val="0"/>
          <w:sz w:val="32"/>
          <w:szCs w:val="32"/>
        </w:rPr>
        <w:t>.企业家培训</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县发展和改革局：负责制定服务业企业家培训规划，实施服务业企业家素质提升工程。</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kern w:val="0"/>
          <w:sz w:val="32"/>
          <w:szCs w:val="32"/>
        </w:rPr>
      </w:pPr>
      <w:r>
        <w:rPr>
          <w:rFonts w:hint="eastAsia" w:ascii="仿宋_GB2312" w:hAnsi="宋体" w:eastAsia="仿宋_GB2312" w:cs="宋体"/>
          <w:b/>
          <w:bCs/>
          <w:kern w:val="0"/>
          <w:sz w:val="32"/>
          <w:szCs w:val="32"/>
        </w:rPr>
        <w:t>2</w:t>
      </w:r>
      <w:r>
        <w:rPr>
          <w:rFonts w:hint="eastAsia" w:ascii="仿宋_GB2312" w:hAnsi="宋体" w:eastAsia="仿宋_GB2312" w:cs="宋体"/>
          <w:b/>
          <w:bCs/>
          <w:kern w:val="0"/>
          <w:sz w:val="32"/>
          <w:szCs w:val="32"/>
          <w:lang w:val="en-US" w:eastAsia="zh-CN"/>
        </w:rPr>
        <w:t>1</w:t>
      </w:r>
      <w:r>
        <w:rPr>
          <w:rFonts w:hint="eastAsia" w:ascii="仿宋_GB2312" w:hAnsi="宋体" w:eastAsia="仿宋_GB2312" w:cs="宋体"/>
          <w:b/>
          <w:bCs/>
          <w:kern w:val="0"/>
          <w:sz w:val="32"/>
          <w:szCs w:val="32"/>
        </w:rPr>
        <w:t>.电动汽车以及充电设施管理</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w:t>
      </w:r>
      <w:r>
        <w:rPr>
          <w:rFonts w:hint="eastAsia" w:ascii="仿宋_GB2312" w:hAnsi="宋体" w:eastAsia="仿宋_GB2312" w:cs="宋体"/>
          <w:kern w:val="0"/>
          <w:sz w:val="32"/>
          <w:szCs w:val="32"/>
          <w:lang w:eastAsia="zh-CN"/>
        </w:rPr>
        <w:t>县能源局</w:t>
      </w:r>
      <w:r>
        <w:rPr>
          <w:rFonts w:hint="eastAsia" w:ascii="仿宋_GB2312" w:hAnsi="宋体" w:eastAsia="仿宋_GB2312" w:cs="宋体"/>
          <w:kern w:val="0"/>
          <w:sz w:val="32"/>
          <w:szCs w:val="32"/>
        </w:rPr>
        <w:t>）：牵头负责电动汽车充电设施发展的相关工作，根据电动汽车发展规划和产业政策，拟订电动汽车充电设施发展规划和扶持政策，并负责将其与全县能源规划相衔接。牵头负责电动汽车充电设施发展的相关工作，根据电动汽车发展规划和产业政策，拟订电动汽车充电设施发展规划和扶持政策，并负责将其与全县能源规划相衔接。</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2</w:t>
      </w:r>
      <w:r>
        <w:rPr>
          <w:rFonts w:hint="eastAsia" w:ascii="仿宋_GB2312" w:hAnsi="宋体" w:eastAsia="仿宋_GB2312" w:cs="宋体"/>
          <w:b/>
          <w:bCs/>
          <w:kern w:val="0"/>
          <w:sz w:val="32"/>
          <w:szCs w:val="32"/>
          <w:lang w:val="en-US" w:eastAsia="zh-CN"/>
        </w:rPr>
        <w:t>3</w:t>
      </w:r>
      <w:r>
        <w:rPr>
          <w:rFonts w:hint="eastAsia" w:ascii="仿宋_GB2312" w:hAnsi="宋体" w:eastAsia="仿宋_GB2312" w:cs="宋体"/>
          <w:b/>
          <w:bCs/>
          <w:kern w:val="0"/>
          <w:sz w:val="32"/>
          <w:szCs w:val="32"/>
        </w:rPr>
        <w:t>.企业技术改造投资项目管理</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县发展和改革局：对需报国务院或者国务院投资主管部门核准的企业技术改造投资项目，由县发展改革局初审后，按程序报省、市发展改革部门审核。</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color w:val="000000"/>
          <w:kern w:val="0"/>
          <w:sz w:val="32"/>
          <w:szCs w:val="32"/>
        </w:rPr>
        <w:t>5</w:t>
      </w:r>
      <w:r>
        <w:rPr>
          <w:rFonts w:hint="eastAsia" w:ascii="仿宋_GB2312" w:hAnsi="宋体" w:eastAsia="仿宋_GB2312" w:cs="宋体"/>
          <w:b/>
          <w:bCs/>
          <w:color w:val="000000"/>
          <w:kern w:val="0"/>
          <w:sz w:val="32"/>
          <w:szCs w:val="32"/>
          <w:lang w:val="en-US" w:eastAsia="zh-CN"/>
        </w:rPr>
        <w:t>7</w:t>
      </w:r>
      <w:r>
        <w:rPr>
          <w:rFonts w:hint="eastAsia" w:ascii="仿宋_GB2312" w:hAnsi="宋体" w:eastAsia="仿宋_GB2312" w:cs="宋体"/>
          <w:b/>
          <w:bCs/>
          <w:color w:val="000000"/>
          <w:kern w:val="0"/>
          <w:sz w:val="32"/>
          <w:szCs w:val="32"/>
        </w:rPr>
        <w:t>.</w:t>
      </w:r>
      <w:r>
        <w:rPr>
          <w:rFonts w:hint="eastAsia" w:ascii="仿宋_GB2312" w:hAnsi="宋体" w:eastAsia="仿宋_GB2312" w:cs="宋体"/>
          <w:b/>
          <w:bCs/>
          <w:kern w:val="0"/>
          <w:sz w:val="32"/>
          <w:szCs w:val="32"/>
        </w:rPr>
        <w:t>城市建设资金计划拟订</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县发展和改革局：根据提出的建议计划和建设的重点需要，进行综合平衡，在同有关部门衔接的基础上，提出建设资金的使用计划，纳入固定资产投资计划，并下达执行。</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b/>
          <w:bCs/>
          <w:kern w:val="0"/>
          <w:sz w:val="32"/>
          <w:szCs w:val="32"/>
        </w:rPr>
        <w:t>5</w:t>
      </w:r>
      <w:r>
        <w:rPr>
          <w:rFonts w:hint="eastAsia" w:ascii="仿宋_GB2312" w:hAnsi="宋体" w:eastAsia="仿宋_GB2312" w:cs="宋体"/>
          <w:b/>
          <w:bCs/>
          <w:kern w:val="0"/>
          <w:sz w:val="32"/>
          <w:szCs w:val="32"/>
          <w:lang w:val="en-US" w:eastAsia="zh-CN"/>
        </w:rPr>
        <w:t>9</w:t>
      </w:r>
      <w:r>
        <w:rPr>
          <w:rFonts w:hint="eastAsia" w:ascii="仿宋_GB2312" w:hAnsi="宋体" w:eastAsia="仿宋_GB2312" w:cs="宋体"/>
          <w:b/>
          <w:bCs/>
          <w:kern w:val="0"/>
          <w:sz w:val="32"/>
          <w:szCs w:val="32"/>
        </w:rPr>
        <w:t>.培育和发展住房租赁市场</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color w:val="auto"/>
          <w:kern w:val="0"/>
          <w:sz w:val="32"/>
          <w:szCs w:val="32"/>
        </w:rPr>
        <w:t>县发展和改革局、人民银行桓台支行、县银保监等部门：根据各自职责</w:t>
      </w:r>
      <w:r>
        <w:rPr>
          <w:rFonts w:hint="eastAsia" w:ascii="仿宋_GB2312" w:hAnsi="宋体" w:eastAsia="仿宋_GB2312" w:cs="宋体"/>
          <w:kern w:val="0"/>
          <w:sz w:val="32"/>
          <w:szCs w:val="32"/>
        </w:rPr>
        <w:t>任务分别为培育和发展住房租赁市场提供金融支持。</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6</w:t>
      </w:r>
      <w:r>
        <w:rPr>
          <w:rFonts w:hint="eastAsia" w:ascii="仿宋_GB2312" w:hAnsi="宋体" w:eastAsia="仿宋_GB2312" w:cs="宋体"/>
          <w:b/>
          <w:bCs/>
          <w:kern w:val="0"/>
          <w:sz w:val="32"/>
          <w:szCs w:val="32"/>
          <w:lang w:val="en-US" w:eastAsia="zh-CN"/>
        </w:rPr>
        <w:t>2</w:t>
      </w:r>
      <w:r>
        <w:rPr>
          <w:rFonts w:hint="eastAsia" w:ascii="仿宋_GB2312" w:hAnsi="宋体" w:eastAsia="仿宋_GB2312" w:cs="宋体"/>
          <w:b/>
          <w:bCs/>
          <w:kern w:val="0"/>
          <w:sz w:val="32"/>
          <w:szCs w:val="32"/>
        </w:rPr>
        <w:t>.城镇老旧住宅小区整治改造</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县发展和改革局：负责指导老旧小区改造项目立项、中央预算内投资资金和投资项目管理。</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7</w:t>
      </w:r>
      <w:r>
        <w:rPr>
          <w:rFonts w:hint="eastAsia" w:ascii="仿宋_GB2312" w:hAnsi="宋体" w:eastAsia="仿宋_GB2312" w:cs="宋体"/>
          <w:b/>
          <w:bCs/>
          <w:kern w:val="0"/>
          <w:sz w:val="32"/>
          <w:szCs w:val="32"/>
          <w:lang w:val="en-US" w:eastAsia="zh-CN"/>
        </w:rPr>
        <w:t>8</w:t>
      </w:r>
      <w:r>
        <w:rPr>
          <w:rFonts w:hint="eastAsia" w:ascii="仿宋_GB2312" w:hAnsi="宋体" w:eastAsia="仿宋_GB2312" w:cs="宋体"/>
          <w:b/>
          <w:bCs/>
          <w:kern w:val="0"/>
          <w:sz w:val="32"/>
          <w:szCs w:val="32"/>
        </w:rPr>
        <w:t>.节约用水管理</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县发展和改革局：负责做好节约用水规划、指标与国民经济和社会发展规划协调衔接，参与节约用水规范性文件、规划、政策的制定，负责提出水价改革方案和建议，完善水价体系。</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9</w:t>
      </w:r>
      <w:r>
        <w:rPr>
          <w:rFonts w:hint="eastAsia" w:ascii="仿宋_GB2312" w:hAnsi="宋体" w:eastAsia="仿宋_GB2312" w:cs="宋体"/>
          <w:b/>
          <w:bCs/>
          <w:kern w:val="0"/>
          <w:sz w:val="32"/>
          <w:szCs w:val="32"/>
          <w:lang w:val="en-US" w:eastAsia="zh-CN"/>
        </w:rPr>
        <w:t>4</w:t>
      </w:r>
      <w:r>
        <w:rPr>
          <w:rFonts w:hint="eastAsia" w:ascii="仿宋_GB2312" w:hAnsi="宋体" w:eastAsia="仿宋_GB2312" w:cs="宋体"/>
          <w:b/>
          <w:bCs/>
          <w:kern w:val="0"/>
          <w:sz w:val="32"/>
          <w:szCs w:val="32"/>
        </w:rPr>
        <w:t>.成品油监管</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县发展和改革局：负责油品供应保障工作，牵头地炼企业争取进口原油使用资质和油品质量升级项目中央财政贷款贴息工作，支持企业升级改造。</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10</w:t>
      </w:r>
      <w:r>
        <w:rPr>
          <w:rFonts w:hint="eastAsia" w:ascii="仿宋_GB2312" w:hAnsi="宋体" w:eastAsia="仿宋_GB2312" w:cs="宋体"/>
          <w:b/>
          <w:bCs/>
          <w:color w:val="000000"/>
          <w:kern w:val="0"/>
          <w:sz w:val="32"/>
          <w:szCs w:val="32"/>
          <w:lang w:val="en-US" w:eastAsia="zh-CN"/>
        </w:rPr>
        <w:t>3</w:t>
      </w:r>
      <w:r>
        <w:rPr>
          <w:rFonts w:hint="eastAsia" w:ascii="仿宋_GB2312" w:hAnsi="宋体" w:eastAsia="仿宋_GB2312" w:cs="宋体"/>
          <w:b/>
          <w:bCs/>
          <w:color w:val="000000"/>
          <w:kern w:val="0"/>
          <w:sz w:val="32"/>
          <w:szCs w:val="32"/>
        </w:rPr>
        <w:t>.人口发展规划和人口政策拟订</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w:t>
      </w:r>
      <w:r>
        <w:rPr>
          <w:rFonts w:hint="eastAsia" w:ascii="仿宋_GB2312" w:hAnsi="宋体" w:eastAsia="仿宋_GB2312" w:cs="宋体"/>
          <w:color w:val="000000"/>
          <w:kern w:val="0"/>
          <w:sz w:val="32"/>
          <w:szCs w:val="32"/>
        </w:rPr>
        <w:t>研究拟订人口发展规划及人口政策。</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10</w:t>
      </w:r>
      <w:r>
        <w:rPr>
          <w:rFonts w:hint="eastAsia" w:ascii="仿宋_GB2312" w:hAnsi="宋体" w:eastAsia="仿宋_GB2312" w:cs="宋体"/>
          <w:b/>
          <w:bCs/>
          <w:kern w:val="0"/>
          <w:sz w:val="32"/>
          <w:szCs w:val="32"/>
          <w:lang w:val="en-US" w:eastAsia="zh-CN"/>
        </w:rPr>
        <w:t>8</w:t>
      </w:r>
      <w:r>
        <w:rPr>
          <w:rFonts w:hint="eastAsia" w:ascii="仿宋_GB2312" w:hAnsi="宋体" w:eastAsia="仿宋_GB2312" w:cs="宋体"/>
          <w:b/>
          <w:bCs/>
          <w:kern w:val="0"/>
          <w:sz w:val="32"/>
          <w:szCs w:val="32"/>
        </w:rPr>
        <w:t>.防汛抗旱</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县发展和改革局：负责防汛抗旱设施、重点工程除险加固和应急工程规划及建设的协调安排和监督管理，维护灾区市场价格秩序，保障灾区粮食供应和督促监管领域企业的防汛工作。</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hint="eastAsia" w:ascii="仿宋_GB2312" w:hAnsi="宋体" w:eastAsia="仿宋_GB2312" w:cs="宋体"/>
          <w:b/>
          <w:bCs/>
          <w:kern w:val="0"/>
          <w:sz w:val="32"/>
          <w:szCs w:val="32"/>
          <w:lang w:val="en-US" w:eastAsia="zh-CN"/>
        </w:rPr>
        <w:t>09</w:t>
      </w:r>
      <w:r>
        <w:rPr>
          <w:rFonts w:hint="eastAsia" w:ascii="仿宋_GB2312" w:hAnsi="宋体" w:eastAsia="仿宋_GB2312" w:cs="宋体"/>
          <w:b/>
          <w:bCs/>
          <w:kern w:val="0"/>
          <w:sz w:val="32"/>
          <w:szCs w:val="32"/>
        </w:rPr>
        <w:t>.危险化学品监管</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w:t>
      </w:r>
      <w:r>
        <w:rPr>
          <w:rFonts w:hint="eastAsia" w:ascii="仿宋_GB2312" w:hAnsi="宋体" w:eastAsia="仿宋_GB2312" w:cs="宋体"/>
          <w:kern w:val="0"/>
          <w:sz w:val="32"/>
          <w:szCs w:val="32"/>
          <w:lang w:eastAsia="zh-CN"/>
        </w:rPr>
        <w:t>县能源局</w:t>
      </w:r>
      <w:r>
        <w:rPr>
          <w:rFonts w:hint="eastAsia" w:ascii="仿宋_GB2312" w:hAnsi="宋体" w:eastAsia="仿宋_GB2312" w:cs="宋体"/>
          <w:kern w:val="0"/>
          <w:sz w:val="32"/>
          <w:szCs w:val="32"/>
        </w:rPr>
        <w:t>）：负责全县石油天然气管道保护的监督管理工作，负责石油天然气管道保护的指导协调和监督检查，督促石油天然气管道企业履行管道保护主体责任，负责职责范围内的管道运行安全。</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kern w:val="0"/>
          <w:sz w:val="32"/>
          <w:szCs w:val="32"/>
        </w:rPr>
      </w:pPr>
      <w:r>
        <w:rPr>
          <w:rFonts w:hint="eastAsia" w:ascii="仿宋_GB2312" w:hAnsi="宋体" w:eastAsia="仿宋_GB2312" w:cs="宋体"/>
          <w:b/>
          <w:bCs/>
          <w:kern w:val="0"/>
          <w:sz w:val="32"/>
          <w:szCs w:val="32"/>
        </w:rPr>
        <w:t>11</w:t>
      </w:r>
      <w:r>
        <w:rPr>
          <w:rFonts w:hint="eastAsia" w:ascii="仿宋_GB2312" w:hAnsi="宋体" w:eastAsia="仿宋_GB2312" w:cs="宋体"/>
          <w:b/>
          <w:bCs/>
          <w:kern w:val="0"/>
          <w:sz w:val="32"/>
          <w:szCs w:val="32"/>
          <w:lang w:val="en-US" w:eastAsia="zh-CN"/>
        </w:rPr>
        <w:t>1</w:t>
      </w:r>
      <w:r>
        <w:rPr>
          <w:rFonts w:hint="eastAsia" w:ascii="仿宋_GB2312" w:hAnsi="宋体" w:eastAsia="仿宋_GB2312" w:cs="宋体"/>
          <w:b/>
          <w:bCs/>
          <w:kern w:val="0"/>
          <w:sz w:val="32"/>
          <w:szCs w:val="32"/>
        </w:rPr>
        <w:t>.县级救灾物资管理</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县发展和改革局（粮食和储备部门）：负责根据县级救灾物资储备规划、品种目录和标准、年度购置计划，按权限组织实施县级救灾物资的收储、轮换和日常管理，根据动用指令按程序组织调出。</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11</w:t>
      </w:r>
      <w:r>
        <w:rPr>
          <w:rFonts w:hint="eastAsia" w:ascii="仿宋_GB2312" w:hAnsi="宋体" w:eastAsia="仿宋_GB2312" w:cs="宋体"/>
          <w:b/>
          <w:bCs/>
          <w:kern w:val="0"/>
          <w:sz w:val="32"/>
          <w:szCs w:val="32"/>
          <w:lang w:val="en-US" w:eastAsia="zh-CN"/>
        </w:rPr>
        <w:t>4</w:t>
      </w:r>
      <w:r>
        <w:rPr>
          <w:rFonts w:hint="eastAsia" w:ascii="仿宋_GB2312" w:hAnsi="宋体" w:eastAsia="仿宋_GB2312" w:cs="宋体"/>
          <w:b/>
          <w:bCs/>
          <w:kern w:val="0"/>
          <w:sz w:val="32"/>
          <w:szCs w:val="32"/>
        </w:rPr>
        <w:t>.</w:t>
      </w:r>
      <w:r>
        <w:rPr>
          <w:rFonts w:hint="eastAsia" w:ascii="仿宋_GB2312" w:hAnsi="宋体" w:eastAsia="仿宋_GB2312" w:cs="宋体"/>
          <w:b/>
          <w:bCs/>
          <w:kern w:val="0"/>
          <w:sz w:val="32"/>
          <w:szCs w:val="32"/>
          <w:highlight w:val="none"/>
          <w:lang w:eastAsia="zh-CN"/>
        </w:rPr>
        <w:t>审批与批后监管</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highlight w:val="none"/>
          <w:lang w:eastAsia="zh-CN"/>
        </w:rPr>
        <w:t>县政府办公室、</w:t>
      </w:r>
      <w:r>
        <w:rPr>
          <w:rFonts w:hint="eastAsia" w:ascii="仿宋_GB2312" w:hAnsi="宋体" w:eastAsia="仿宋_GB2312" w:cs="宋体"/>
          <w:kern w:val="0"/>
          <w:sz w:val="32"/>
          <w:szCs w:val="32"/>
          <w:highlight w:val="none"/>
        </w:rPr>
        <w:t>县发展和改革局</w:t>
      </w:r>
      <w:r>
        <w:rPr>
          <w:rFonts w:hint="eastAsia" w:ascii="仿宋_GB2312" w:hAnsi="宋体" w:eastAsia="仿宋_GB2312" w:cs="宋体"/>
          <w:kern w:val="0"/>
          <w:sz w:val="32"/>
          <w:szCs w:val="32"/>
          <w:highlight w:val="none"/>
          <w:lang w:eastAsia="zh-CN"/>
        </w:rPr>
        <w:t>、县工业和信息化局、县教育和体育局、县财政局、县人力资源和社会保障局、县民政局、县科技局、县水利局、县农业农村局、县交通运输局、县综合行政执法局、县市场监督管理局、县自然资源局（县林业局）、县文化和旅游局、县住房和城乡建设局、县商务局、县卫生健康局</w:t>
      </w:r>
      <w:r>
        <w:rPr>
          <w:rFonts w:hint="eastAsia" w:ascii="仿宋_GB2312" w:hAnsi="宋体" w:eastAsia="仿宋_GB2312" w:cs="宋体"/>
          <w:kern w:val="0"/>
          <w:sz w:val="32"/>
          <w:szCs w:val="32"/>
        </w:rPr>
        <w:t>：负责对行政审批服务局办理的</w:t>
      </w:r>
      <w:r>
        <w:rPr>
          <w:rFonts w:hint="eastAsia" w:ascii="仿宋_GB2312" w:hAnsi="宋体" w:eastAsia="仿宋_GB2312" w:cs="宋体"/>
          <w:kern w:val="0"/>
          <w:sz w:val="32"/>
          <w:szCs w:val="32"/>
          <w:lang w:eastAsia="zh-CN"/>
        </w:rPr>
        <w:t>审批事项及关联事项</w:t>
      </w:r>
      <w:r>
        <w:rPr>
          <w:rFonts w:hint="eastAsia" w:ascii="仿宋_GB2312" w:hAnsi="宋体" w:eastAsia="仿宋_GB2312" w:cs="宋体"/>
          <w:kern w:val="0"/>
          <w:sz w:val="32"/>
          <w:szCs w:val="32"/>
        </w:rPr>
        <w:t>开展后续监管。</w:t>
      </w:r>
    </w:p>
    <w:p>
      <w:pPr>
        <w:keepNext w:val="0"/>
        <w:keepLines w:val="0"/>
        <w:pageBreakBefore w:val="0"/>
        <w:widowControl/>
        <w:kinsoku/>
        <w:wordWrap/>
        <w:overflowPunct/>
        <w:autoSpaceDE/>
        <w:autoSpaceDN/>
        <w:bidi w:val="0"/>
        <w:adjustRightInd/>
        <w:snapToGrid/>
        <w:spacing w:line="500" w:lineRule="exact"/>
        <w:ind w:firstLine="643" w:firstLineChars="200"/>
        <w:textAlignment w:val="auto"/>
        <w:rPr>
          <w:rFonts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118</w:t>
      </w:r>
      <w:r>
        <w:rPr>
          <w:rFonts w:hint="eastAsia" w:ascii="仿宋_GB2312" w:hAnsi="宋体" w:eastAsia="仿宋_GB2312" w:cs="宋体"/>
          <w:b/>
          <w:bCs/>
          <w:kern w:val="0"/>
          <w:sz w:val="32"/>
          <w:szCs w:val="32"/>
        </w:rPr>
        <w:t>.价格收费行为事中事后监管、价格和收费公示</w:t>
      </w:r>
    </w:p>
    <w:p>
      <w:pPr>
        <w:keepNext w:val="0"/>
        <w:keepLines w:val="0"/>
        <w:pageBreakBefore w:val="0"/>
        <w:widowControl/>
        <w:kinsoku/>
        <w:wordWrap/>
        <w:overflowPunct/>
        <w:autoSpaceDE/>
        <w:autoSpaceDN/>
        <w:bidi w:val="0"/>
        <w:adjustRightInd/>
        <w:snapToGrid/>
        <w:spacing w:line="5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县发展和改革局：负责通过成本监审、规范定价程序、推进信息公开以及跟踪评估等方式对政府定价商品和收费进行事中事后监管；负责解释市场监督管理局在行政执法过程中对公示牌中涉及政府管价商品和收费政策需要进行认定的事项。</w:t>
      </w:r>
    </w:p>
    <w:p>
      <w:pPr>
        <w:rPr>
          <w:rFonts w:ascii="仿宋_GB2312" w:hAnsi="仿宋_GB2312" w:eastAsia="仿宋_GB2312" w:cs="仿宋_GB2312"/>
          <w:sz w:val="32"/>
          <w:szCs w:val="32"/>
        </w:rPr>
      </w:pPr>
    </w:p>
    <w:sectPr>
      <w:pgSz w:w="11906" w:h="16838"/>
      <w:pgMar w:top="1440" w:right="1519"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00"/>
    <w:rsid w:val="00036FC6"/>
    <w:rsid w:val="000438CB"/>
    <w:rsid w:val="001226D7"/>
    <w:rsid w:val="001A715D"/>
    <w:rsid w:val="001D77D6"/>
    <w:rsid w:val="00224AE3"/>
    <w:rsid w:val="00230EB4"/>
    <w:rsid w:val="0034114A"/>
    <w:rsid w:val="003B45BA"/>
    <w:rsid w:val="003E1141"/>
    <w:rsid w:val="003E5DE4"/>
    <w:rsid w:val="00435A89"/>
    <w:rsid w:val="0046457C"/>
    <w:rsid w:val="00465FDC"/>
    <w:rsid w:val="00477A44"/>
    <w:rsid w:val="004825B4"/>
    <w:rsid w:val="004B3BAB"/>
    <w:rsid w:val="004C50B8"/>
    <w:rsid w:val="00535C97"/>
    <w:rsid w:val="00544EC1"/>
    <w:rsid w:val="005656C2"/>
    <w:rsid w:val="005E1BA7"/>
    <w:rsid w:val="006953F6"/>
    <w:rsid w:val="006A45B2"/>
    <w:rsid w:val="006F3516"/>
    <w:rsid w:val="0070064A"/>
    <w:rsid w:val="007527C6"/>
    <w:rsid w:val="008039DB"/>
    <w:rsid w:val="008B4BC0"/>
    <w:rsid w:val="008D2856"/>
    <w:rsid w:val="00944970"/>
    <w:rsid w:val="00953550"/>
    <w:rsid w:val="00976B94"/>
    <w:rsid w:val="00A51E00"/>
    <w:rsid w:val="00A83570"/>
    <w:rsid w:val="00AC3055"/>
    <w:rsid w:val="00B13572"/>
    <w:rsid w:val="00BD5212"/>
    <w:rsid w:val="00C528DD"/>
    <w:rsid w:val="00CB0CE1"/>
    <w:rsid w:val="00CC5916"/>
    <w:rsid w:val="00CC5BA7"/>
    <w:rsid w:val="00CE5282"/>
    <w:rsid w:val="00D96BDC"/>
    <w:rsid w:val="00DD2C19"/>
    <w:rsid w:val="00DD49BA"/>
    <w:rsid w:val="00DE5914"/>
    <w:rsid w:val="00E06E58"/>
    <w:rsid w:val="00E434FD"/>
    <w:rsid w:val="00F903BE"/>
    <w:rsid w:val="00FC66B4"/>
    <w:rsid w:val="00FD7584"/>
    <w:rsid w:val="00FF12DB"/>
    <w:rsid w:val="01822BC6"/>
    <w:rsid w:val="01AF72FF"/>
    <w:rsid w:val="020F569C"/>
    <w:rsid w:val="024A3390"/>
    <w:rsid w:val="028B5789"/>
    <w:rsid w:val="02D4595E"/>
    <w:rsid w:val="05010E15"/>
    <w:rsid w:val="074119A5"/>
    <w:rsid w:val="07E5564B"/>
    <w:rsid w:val="083073BE"/>
    <w:rsid w:val="086E6C2D"/>
    <w:rsid w:val="08C74D41"/>
    <w:rsid w:val="0A4C2B24"/>
    <w:rsid w:val="0A76556A"/>
    <w:rsid w:val="0B3936A7"/>
    <w:rsid w:val="0B411C87"/>
    <w:rsid w:val="0C4F1613"/>
    <w:rsid w:val="0CAB704E"/>
    <w:rsid w:val="0D181205"/>
    <w:rsid w:val="0D3C0217"/>
    <w:rsid w:val="0DEE7910"/>
    <w:rsid w:val="0DFE154C"/>
    <w:rsid w:val="0EDF3298"/>
    <w:rsid w:val="0F0646A7"/>
    <w:rsid w:val="0F163E6C"/>
    <w:rsid w:val="10476B4F"/>
    <w:rsid w:val="10636DB5"/>
    <w:rsid w:val="10763DD8"/>
    <w:rsid w:val="10982D35"/>
    <w:rsid w:val="10C975D2"/>
    <w:rsid w:val="118434B4"/>
    <w:rsid w:val="11A834F5"/>
    <w:rsid w:val="11EC3CD9"/>
    <w:rsid w:val="11F52284"/>
    <w:rsid w:val="135D5910"/>
    <w:rsid w:val="144022C7"/>
    <w:rsid w:val="15AE6A9E"/>
    <w:rsid w:val="15D96655"/>
    <w:rsid w:val="17A311C1"/>
    <w:rsid w:val="17BA0768"/>
    <w:rsid w:val="17D04010"/>
    <w:rsid w:val="1913389B"/>
    <w:rsid w:val="192E3910"/>
    <w:rsid w:val="19312B88"/>
    <w:rsid w:val="197F1DEF"/>
    <w:rsid w:val="19C910C1"/>
    <w:rsid w:val="1A0F1B0B"/>
    <w:rsid w:val="1A6A7B2A"/>
    <w:rsid w:val="1AF40574"/>
    <w:rsid w:val="1B442AC1"/>
    <w:rsid w:val="1B7274DE"/>
    <w:rsid w:val="1B9340F2"/>
    <w:rsid w:val="1BDE221E"/>
    <w:rsid w:val="1BFF20BE"/>
    <w:rsid w:val="1C5A6844"/>
    <w:rsid w:val="1CF55E9E"/>
    <w:rsid w:val="1D23507C"/>
    <w:rsid w:val="1DE3607F"/>
    <w:rsid w:val="1E134A18"/>
    <w:rsid w:val="20376D7C"/>
    <w:rsid w:val="203C297D"/>
    <w:rsid w:val="20443044"/>
    <w:rsid w:val="20913EE8"/>
    <w:rsid w:val="219F30A0"/>
    <w:rsid w:val="220847FA"/>
    <w:rsid w:val="22300E1A"/>
    <w:rsid w:val="23156950"/>
    <w:rsid w:val="23B7396B"/>
    <w:rsid w:val="241D3B6B"/>
    <w:rsid w:val="24626183"/>
    <w:rsid w:val="24877987"/>
    <w:rsid w:val="254D7C42"/>
    <w:rsid w:val="256E65D0"/>
    <w:rsid w:val="2595287F"/>
    <w:rsid w:val="25BA1F97"/>
    <w:rsid w:val="290D10A3"/>
    <w:rsid w:val="29942C83"/>
    <w:rsid w:val="29B6524C"/>
    <w:rsid w:val="29BF0463"/>
    <w:rsid w:val="29E10B0A"/>
    <w:rsid w:val="2A3E65F4"/>
    <w:rsid w:val="2AFB0942"/>
    <w:rsid w:val="2B186CCF"/>
    <w:rsid w:val="2B4D6ABF"/>
    <w:rsid w:val="2B594D45"/>
    <w:rsid w:val="2C203F85"/>
    <w:rsid w:val="2C75379A"/>
    <w:rsid w:val="2CA21282"/>
    <w:rsid w:val="2CEB79F3"/>
    <w:rsid w:val="2D99298C"/>
    <w:rsid w:val="2DEA2D83"/>
    <w:rsid w:val="2E462A41"/>
    <w:rsid w:val="2ED571DE"/>
    <w:rsid w:val="2F0A0A20"/>
    <w:rsid w:val="2F153E0B"/>
    <w:rsid w:val="2F182977"/>
    <w:rsid w:val="2F877126"/>
    <w:rsid w:val="30787772"/>
    <w:rsid w:val="307D7005"/>
    <w:rsid w:val="30C35662"/>
    <w:rsid w:val="312B0A58"/>
    <w:rsid w:val="31C13714"/>
    <w:rsid w:val="32225C42"/>
    <w:rsid w:val="32490FB4"/>
    <w:rsid w:val="33315A77"/>
    <w:rsid w:val="33AE7F1B"/>
    <w:rsid w:val="342F6E0B"/>
    <w:rsid w:val="34465659"/>
    <w:rsid w:val="34B53DBE"/>
    <w:rsid w:val="35616398"/>
    <w:rsid w:val="35CF3CEB"/>
    <w:rsid w:val="365D2BDD"/>
    <w:rsid w:val="36660915"/>
    <w:rsid w:val="3684277B"/>
    <w:rsid w:val="368F0EE4"/>
    <w:rsid w:val="36D12D1D"/>
    <w:rsid w:val="37600509"/>
    <w:rsid w:val="38227114"/>
    <w:rsid w:val="38481536"/>
    <w:rsid w:val="38614C78"/>
    <w:rsid w:val="389F2D8A"/>
    <w:rsid w:val="392612C0"/>
    <w:rsid w:val="3950189F"/>
    <w:rsid w:val="398D2C87"/>
    <w:rsid w:val="3A42623F"/>
    <w:rsid w:val="3A8367C6"/>
    <w:rsid w:val="3AC57E4D"/>
    <w:rsid w:val="3B7610A0"/>
    <w:rsid w:val="3B911190"/>
    <w:rsid w:val="3C3F3895"/>
    <w:rsid w:val="3DA806F5"/>
    <w:rsid w:val="3E536D74"/>
    <w:rsid w:val="3EF554D9"/>
    <w:rsid w:val="3F8E0A70"/>
    <w:rsid w:val="3FB417FD"/>
    <w:rsid w:val="3FF0738A"/>
    <w:rsid w:val="4037131E"/>
    <w:rsid w:val="40F13624"/>
    <w:rsid w:val="415E4504"/>
    <w:rsid w:val="41D9696C"/>
    <w:rsid w:val="422877D4"/>
    <w:rsid w:val="43712CD0"/>
    <w:rsid w:val="43A40AE4"/>
    <w:rsid w:val="43DE1321"/>
    <w:rsid w:val="44531143"/>
    <w:rsid w:val="449A633F"/>
    <w:rsid w:val="44B66731"/>
    <w:rsid w:val="44F54A16"/>
    <w:rsid w:val="44FD497E"/>
    <w:rsid w:val="44FE7848"/>
    <w:rsid w:val="45255159"/>
    <w:rsid w:val="456B6AEE"/>
    <w:rsid w:val="4650563E"/>
    <w:rsid w:val="476F5F15"/>
    <w:rsid w:val="47C349D6"/>
    <w:rsid w:val="47EB62CB"/>
    <w:rsid w:val="48114FF2"/>
    <w:rsid w:val="49054863"/>
    <w:rsid w:val="497764FE"/>
    <w:rsid w:val="49AF6C11"/>
    <w:rsid w:val="4A8A4C96"/>
    <w:rsid w:val="4ACC2EFE"/>
    <w:rsid w:val="4B9B2C84"/>
    <w:rsid w:val="4BA92028"/>
    <w:rsid w:val="4C02710F"/>
    <w:rsid w:val="4C5B02EC"/>
    <w:rsid w:val="4C6E5FB7"/>
    <w:rsid w:val="4CC34CA8"/>
    <w:rsid w:val="4CD91EA7"/>
    <w:rsid w:val="4D462DB8"/>
    <w:rsid w:val="4D720E1A"/>
    <w:rsid w:val="4D75442D"/>
    <w:rsid w:val="4DCB29C5"/>
    <w:rsid w:val="4E0F7E53"/>
    <w:rsid w:val="4E277CC7"/>
    <w:rsid w:val="4E7B77EF"/>
    <w:rsid w:val="4EA3769E"/>
    <w:rsid w:val="4EA426D9"/>
    <w:rsid w:val="4EA715CB"/>
    <w:rsid w:val="4EBC7DE2"/>
    <w:rsid w:val="4F675523"/>
    <w:rsid w:val="4FD74051"/>
    <w:rsid w:val="4FDA0C77"/>
    <w:rsid w:val="4FFC3D1E"/>
    <w:rsid w:val="501D0A9A"/>
    <w:rsid w:val="50573C74"/>
    <w:rsid w:val="514F51E8"/>
    <w:rsid w:val="515C3F90"/>
    <w:rsid w:val="516D4892"/>
    <w:rsid w:val="521B374E"/>
    <w:rsid w:val="52746731"/>
    <w:rsid w:val="5288462E"/>
    <w:rsid w:val="52E2760D"/>
    <w:rsid w:val="539B0A4D"/>
    <w:rsid w:val="53AE204E"/>
    <w:rsid w:val="5429126B"/>
    <w:rsid w:val="547A0A45"/>
    <w:rsid w:val="550B317E"/>
    <w:rsid w:val="55186290"/>
    <w:rsid w:val="55CD4AA8"/>
    <w:rsid w:val="56215886"/>
    <w:rsid w:val="56696C2D"/>
    <w:rsid w:val="56C77839"/>
    <w:rsid w:val="56F07D03"/>
    <w:rsid w:val="56F1485C"/>
    <w:rsid w:val="576A335C"/>
    <w:rsid w:val="57847532"/>
    <w:rsid w:val="579E27A7"/>
    <w:rsid w:val="5A7664D6"/>
    <w:rsid w:val="5AD07645"/>
    <w:rsid w:val="5AD11AA6"/>
    <w:rsid w:val="5AE32D3F"/>
    <w:rsid w:val="5B2F76BA"/>
    <w:rsid w:val="5B8934E3"/>
    <w:rsid w:val="5C173321"/>
    <w:rsid w:val="5C472090"/>
    <w:rsid w:val="5F152DAD"/>
    <w:rsid w:val="5F261ED6"/>
    <w:rsid w:val="5FAB3971"/>
    <w:rsid w:val="5FC43586"/>
    <w:rsid w:val="5FEE42B7"/>
    <w:rsid w:val="5FFB2E5D"/>
    <w:rsid w:val="60947445"/>
    <w:rsid w:val="60C8073F"/>
    <w:rsid w:val="60E27133"/>
    <w:rsid w:val="6388480B"/>
    <w:rsid w:val="648E5B3A"/>
    <w:rsid w:val="64B229AA"/>
    <w:rsid w:val="651B78BF"/>
    <w:rsid w:val="65A9270D"/>
    <w:rsid w:val="66316B4B"/>
    <w:rsid w:val="66A652E9"/>
    <w:rsid w:val="66AC4443"/>
    <w:rsid w:val="67131325"/>
    <w:rsid w:val="67856604"/>
    <w:rsid w:val="681C52CC"/>
    <w:rsid w:val="6889175C"/>
    <w:rsid w:val="689D70B0"/>
    <w:rsid w:val="68F24FB6"/>
    <w:rsid w:val="68FD3843"/>
    <w:rsid w:val="69410EAE"/>
    <w:rsid w:val="6A793152"/>
    <w:rsid w:val="6AC805FF"/>
    <w:rsid w:val="6ADF421D"/>
    <w:rsid w:val="6BA52FEB"/>
    <w:rsid w:val="6BCA7BD0"/>
    <w:rsid w:val="6C0032C0"/>
    <w:rsid w:val="6C77109E"/>
    <w:rsid w:val="6D581FC5"/>
    <w:rsid w:val="6D7D0C0C"/>
    <w:rsid w:val="6DDE193A"/>
    <w:rsid w:val="6E860C33"/>
    <w:rsid w:val="6F1F34EB"/>
    <w:rsid w:val="6F206C8F"/>
    <w:rsid w:val="6FD4043B"/>
    <w:rsid w:val="70610EC2"/>
    <w:rsid w:val="70CA5D6B"/>
    <w:rsid w:val="71203E49"/>
    <w:rsid w:val="715917F9"/>
    <w:rsid w:val="717443C6"/>
    <w:rsid w:val="71C7405D"/>
    <w:rsid w:val="71C8002C"/>
    <w:rsid w:val="71F15784"/>
    <w:rsid w:val="720D1ACF"/>
    <w:rsid w:val="721318C1"/>
    <w:rsid w:val="728A0D9D"/>
    <w:rsid w:val="72FE2229"/>
    <w:rsid w:val="731A1056"/>
    <w:rsid w:val="73A56E9E"/>
    <w:rsid w:val="73E206E7"/>
    <w:rsid w:val="740F0B5B"/>
    <w:rsid w:val="74115890"/>
    <w:rsid w:val="745C0931"/>
    <w:rsid w:val="74AC2A07"/>
    <w:rsid w:val="74D954EC"/>
    <w:rsid w:val="75180919"/>
    <w:rsid w:val="75F41A18"/>
    <w:rsid w:val="76637C7D"/>
    <w:rsid w:val="767113BA"/>
    <w:rsid w:val="775C029A"/>
    <w:rsid w:val="780F1541"/>
    <w:rsid w:val="78283F26"/>
    <w:rsid w:val="78630090"/>
    <w:rsid w:val="789E078E"/>
    <w:rsid w:val="78B832DA"/>
    <w:rsid w:val="792F268B"/>
    <w:rsid w:val="796978F5"/>
    <w:rsid w:val="79741A45"/>
    <w:rsid w:val="79806534"/>
    <w:rsid w:val="798270BC"/>
    <w:rsid w:val="79A3418B"/>
    <w:rsid w:val="79C652B3"/>
    <w:rsid w:val="7A19322B"/>
    <w:rsid w:val="7A2F2841"/>
    <w:rsid w:val="7A6D4CD4"/>
    <w:rsid w:val="7AC0063E"/>
    <w:rsid w:val="7ADD6473"/>
    <w:rsid w:val="7B2A77A0"/>
    <w:rsid w:val="7B8619B2"/>
    <w:rsid w:val="7C14328A"/>
    <w:rsid w:val="7C3A1D04"/>
    <w:rsid w:val="7CC27455"/>
    <w:rsid w:val="7CCF4347"/>
    <w:rsid w:val="7E302B70"/>
    <w:rsid w:val="7E8C608C"/>
    <w:rsid w:val="7E8D7D79"/>
    <w:rsid w:val="7E8F39C6"/>
    <w:rsid w:val="7ED24555"/>
    <w:rsid w:val="7F296E72"/>
    <w:rsid w:val="7F4C697E"/>
    <w:rsid w:val="7F6229F5"/>
    <w:rsid w:val="7FD37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1243</Words>
  <Characters>7087</Characters>
  <Lines>59</Lines>
  <Paragraphs>16</Paragraphs>
  <TotalTime>37</TotalTime>
  <ScaleCrop>false</ScaleCrop>
  <LinksUpToDate>false</LinksUpToDate>
  <CharactersWithSpaces>8314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2020-06-17T07:47:00Z</dcterms:created>
  <dc:creator>Administrator</dc:creator>
  <cp:lastModifiedBy>Cris.</cp:lastModifiedBy>
  <cp:lastPrinted>2020-06-22T00:50:00Z</cp:lastPrinted>
  <dcterms:modified xsi:type="dcterms:W3CDTF">2020-12-23T06:49:46Z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