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4"/>
          <w:szCs w:val="24"/>
        </w:rPr>
      </w:pPr>
    </w:p>
    <w:tbl>
      <w:tblPr>
        <w:tblStyle w:val="3"/>
        <w:tblW w:w="144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"/>
        <w:gridCol w:w="1109"/>
        <w:gridCol w:w="240"/>
        <w:gridCol w:w="1068"/>
        <w:gridCol w:w="704"/>
        <w:gridCol w:w="240"/>
        <w:gridCol w:w="1498"/>
        <w:gridCol w:w="240"/>
        <w:gridCol w:w="663"/>
        <w:gridCol w:w="779"/>
        <w:gridCol w:w="434"/>
        <w:gridCol w:w="839"/>
        <w:gridCol w:w="629"/>
        <w:gridCol w:w="479"/>
        <w:gridCol w:w="240"/>
        <w:gridCol w:w="888"/>
        <w:gridCol w:w="209"/>
        <w:gridCol w:w="240"/>
        <w:gridCol w:w="973"/>
        <w:gridCol w:w="1094"/>
        <w:gridCol w:w="539"/>
        <w:gridCol w:w="209"/>
        <w:gridCol w:w="9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  <w:p>
            <w:pPr>
              <w:rPr>
                <w:rFonts w:hint="default"/>
                <w:sz w:val="24"/>
                <w:szCs w:val="24"/>
              </w:rPr>
            </w:pPr>
          </w:p>
          <w:p>
            <w:pPr>
              <w:rPr>
                <w:rFonts w:hint="default"/>
                <w:sz w:val="24"/>
                <w:szCs w:val="24"/>
              </w:rPr>
            </w:pPr>
          </w:p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4273" w:type="dxa"/>
            <w:gridSpan w:val="2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528" w:lineRule="exact"/>
              <w:ind w:left="20"/>
              <w:jc w:val="center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  <w:lang w:val="en-US" w:eastAsia="zh-CN"/>
              </w:rPr>
              <w:t>桓台一中2022-2023学年</w:t>
            </w:r>
            <w:r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</w:rPr>
              <w:t>艺术教育工作自评报表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exact"/>
        </w:trPr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15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自评项目</w:t>
            </w:r>
          </w:p>
        </w:tc>
        <w:tc>
          <w:tcPr>
            <w:tcW w:w="20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自评内容</w:t>
            </w:r>
          </w:p>
        </w:tc>
        <w:tc>
          <w:tcPr>
            <w:tcW w:w="580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自评记录</w:t>
            </w:r>
          </w:p>
        </w:tc>
        <w:tc>
          <w:tcPr>
            <w:tcW w:w="133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自评得分</w:t>
            </w:r>
          </w:p>
        </w:tc>
        <w:tc>
          <w:tcPr>
            <w:tcW w:w="20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存在的主要问题</w:t>
            </w:r>
          </w:p>
        </w:tc>
        <w:tc>
          <w:tcPr>
            <w:tcW w:w="17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543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艺术课程</w:t>
            </w:r>
          </w:p>
          <w:p>
            <w:pPr>
              <w:spacing w:line="336" w:lineRule="exact"/>
              <w:ind w:left="20"/>
              <w:jc w:val="center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(30分)</w:t>
            </w:r>
          </w:p>
        </w:tc>
        <w:tc>
          <w:tcPr>
            <w:tcW w:w="2012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 w:firstLine="480" w:firstLineChars="20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 xml:space="preserve">按照国家要求开齐开足上好音乐、美术等艺术课程。利用当地教育资源，开发具有民族、地域特色的艺术课程，推进教学改革，提高教学质量。 </w:t>
            </w:r>
          </w:p>
        </w:tc>
        <w:tc>
          <w:tcPr>
            <w:tcW w:w="445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音乐(课时/周)</w:t>
            </w:r>
          </w:p>
        </w:tc>
        <w:tc>
          <w:tcPr>
            <w:tcW w:w="13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7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0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88" w:lineRule="exact"/>
              <w:ind w:left="20" w:firstLine="480" w:firstLineChars="200"/>
              <w:rPr>
                <w:rFonts w:hint="default" w:ascii="Dialog" w:hAnsi="Dialog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Dialog" w:hAnsi="Dialog"/>
                <w:sz w:val="24"/>
                <w:szCs w:val="24"/>
                <w:lang w:val="en-US" w:eastAsia="zh-CN"/>
              </w:rPr>
              <w:t>受模块功能室不够完善影响，不能开设丰富的模块课程。</w:t>
            </w:r>
          </w:p>
        </w:tc>
        <w:tc>
          <w:tcPr>
            <w:tcW w:w="1707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88" w:lineRule="exact"/>
              <w:ind w:left="20" w:firstLine="480" w:firstLineChars="20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  <w:lang w:val="en-US" w:eastAsia="zh-CN"/>
              </w:rPr>
              <w:t>改善授课条件，开设相应模块课程。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543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1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45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美术(课时/周)</w:t>
            </w:r>
          </w:p>
        </w:tc>
        <w:tc>
          <w:tcPr>
            <w:tcW w:w="13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543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1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45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综合艺术(课时/周)</w:t>
            </w:r>
          </w:p>
        </w:tc>
        <w:tc>
          <w:tcPr>
            <w:tcW w:w="13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543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1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45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地方/学校艺术课程(课时/周)</w:t>
            </w:r>
          </w:p>
        </w:tc>
        <w:tc>
          <w:tcPr>
            <w:tcW w:w="13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1543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1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列出地方/学校艺术课程名称</w:t>
            </w:r>
          </w:p>
        </w:tc>
        <w:tc>
          <w:tcPr>
            <w:tcW w:w="4063" w:type="dxa"/>
            <w:gridSpan w:val="7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音乐鉴赏、美术鉴赏、淄博美术、吕剧</w:t>
            </w:r>
          </w:p>
        </w:tc>
        <w:tc>
          <w:tcPr>
            <w:tcW w:w="133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0" w:hRule="exact"/>
        </w:trPr>
        <w:tc>
          <w:tcPr>
            <w:tcW w:w="1543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1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063" w:type="dxa"/>
            <w:gridSpan w:val="7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33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br w:type="page"/>
      </w:r>
      <w:bookmarkStart w:id="0" w:name="_GoBack"/>
      <w:bookmarkEnd w:id="0"/>
    </w:p>
    <w:tbl>
      <w:tblPr>
        <w:tblStyle w:val="3"/>
        <w:tblW w:w="146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2"/>
        <w:gridCol w:w="2757"/>
        <w:gridCol w:w="993"/>
        <w:gridCol w:w="764"/>
        <w:gridCol w:w="779"/>
        <w:gridCol w:w="434"/>
        <w:gridCol w:w="1118"/>
        <w:gridCol w:w="350"/>
        <w:gridCol w:w="479"/>
        <w:gridCol w:w="689"/>
        <w:gridCol w:w="1202"/>
        <w:gridCol w:w="1740"/>
        <w:gridCol w:w="1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14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自评项目</w:t>
            </w:r>
          </w:p>
        </w:tc>
        <w:tc>
          <w:tcPr>
            <w:tcW w:w="2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自评内容</w:t>
            </w:r>
          </w:p>
        </w:tc>
        <w:tc>
          <w:tcPr>
            <w:tcW w:w="560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自评记录</w:t>
            </w:r>
          </w:p>
        </w:tc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自评得分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存在的主要问题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144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艺术活动</w:t>
            </w:r>
          </w:p>
          <w:p>
            <w:pPr>
              <w:spacing w:line="336" w:lineRule="exact"/>
              <w:ind w:left="20"/>
              <w:jc w:val="center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(20分)</w:t>
            </w:r>
          </w:p>
        </w:tc>
        <w:tc>
          <w:tcPr>
            <w:tcW w:w="27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 w:firstLine="480" w:firstLineChars="20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 xml:space="preserve">面向全体学生组织开展艺术活动，因地制宜建立学生艺术社团或兴趣小组，保证每周有固定的艺术活动时间，每年组织合唱节、美术展览和艺术节等活动。充分利用学校校歌、广播、电视、网络以及校园、教室、走廊、宣传栏、活动场所等，营造格调高雅、富有美感、充满朝气的校园文化艺术环境。 </w:t>
            </w:r>
          </w:p>
        </w:tc>
        <w:tc>
          <w:tcPr>
            <w:tcW w:w="4088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学校开展艺术节等活动场次(场/年)</w:t>
            </w:r>
          </w:p>
        </w:tc>
        <w:tc>
          <w:tcPr>
            <w:tcW w:w="1518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18</w:t>
            </w:r>
          </w:p>
        </w:tc>
        <w:tc>
          <w:tcPr>
            <w:tcW w:w="17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88" w:lineRule="exact"/>
              <w:ind w:left="20" w:firstLine="480" w:firstLineChars="20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艺术活动学生参与度偏低。</w:t>
            </w:r>
          </w:p>
        </w:tc>
        <w:tc>
          <w:tcPr>
            <w:tcW w:w="18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88" w:lineRule="exact"/>
              <w:ind w:left="20" w:firstLine="480" w:firstLineChars="20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积极协调各处室、年级，做好学生动员工作，进一步提高学生参与度。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088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088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每周开展艺术活动频次(次/周)</w:t>
            </w:r>
          </w:p>
        </w:tc>
        <w:tc>
          <w:tcPr>
            <w:tcW w:w="1518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088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088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校级学生艺术社团/兴趣小组数量(个)</w:t>
            </w:r>
          </w:p>
        </w:tc>
        <w:tc>
          <w:tcPr>
            <w:tcW w:w="1518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Dialog" w:hAnsi="Dialog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Dialog" w:hAnsi="Dialog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088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536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列出学生艺术社团/兴趣小组项目（如合唱、民乐、管乐、交响乐、舞蹈、戏剧、戏曲、美术、书法等)</w:t>
            </w:r>
          </w:p>
        </w:tc>
        <w:tc>
          <w:tcPr>
            <w:tcW w:w="3070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合唱、民乐、舞蹈、戏剧、摄影、中国画、漫画、手工、书法</w:t>
            </w:r>
          </w:p>
        </w:tc>
        <w:tc>
          <w:tcPr>
            <w:tcW w:w="12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53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070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53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070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43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艺术活动学生参与面（占学校学生总数比例）(%)</w:t>
            </w:r>
          </w:p>
        </w:tc>
        <w:tc>
          <w:tcPr>
            <w:tcW w:w="11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校园文化艺术环境基本情况</w:t>
            </w:r>
          </w:p>
        </w:tc>
        <w:tc>
          <w:tcPr>
            <w:tcW w:w="4613" w:type="dxa"/>
            <w:gridSpan w:val="7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firstLine="480" w:firstLineChars="20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学校拥有艺术活动场所多处，定期举行相应的艺术活动。专门艺术长廊、宣传览内定期更换相应内容，校园文化艺术氛围浓厚。</w:t>
            </w:r>
          </w:p>
        </w:tc>
        <w:tc>
          <w:tcPr>
            <w:tcW w:w="12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613" w:type="dxa"/>
            <w:gridSpan w:val="7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144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艺术教师</w:t>
            </w:r>
          </w:p>
          <w:p>
            <w:pPr>
              <w:spacing w:line="336" w:lineRule="exact"/>
              <w:ind w:left="20"/>
              <w:jc w:val="center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(20分)</w:t>
            </w:r>
          </w:p>
        </w:tc>
        <w:tc>
          <w:tcPr>
            <w:tcW w:w="27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 xml:space="preserve">在学校核定的编制总额内，按照国家课程方案规定的课时数和学校班级数配备艺术教师，满足艺术教育基本需求，加强教师培训，提高队伍素质。 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艺术教师总数</w:t>
            </w:r>
          </w:p>
        </w:tc>
        <w:tc>
          <w:tcPr>
            <w:tcW w:w="7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1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专任</w:t>
            </w:r>
          </w:p>
        </w:tc>
        <w:tc>
          <w:tcPr>
            <w:tcW w:w="11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82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音乐</w:t>
            </w:r>
          </w:p>
        </w:tc>
        <w:tc>
          <w:tcPr>
            <w:tcW w:w="6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18</w:t>
            </w:r>
          </w:p>
        </w:tc>
        <w:tc>
          <w:tcPr>
            <w:tcW w:w="17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88" w:lineRule="exact"/>
              <w:ind w:left="20" w:firstLine="480" w:firstLineChars="20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教师外出培训较少且层次偏低。</w:t>
            </w:r>
          </w:p>
        </w:tc>
        <w:tc>
          <w:tcPr>
            <w:tcW w:w="18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88" w:lineRule="exact"/>
              <w:ind w:left="20" w:firstLine="480" w:firstLineChars="20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积极申请，争取更多的培训机会。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6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美术</w:t>
            </w:r>
          </w:p>
        </w:tc>
        <w:tc>
          <w:tcPr>
            <w:tcW w:w="6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兼职</w:t>
            </w:r>
          </w:p>
        </w:tc>
        <w:tc>
          <w:tcPr>
            <w:tcW w:w="11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6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其它</w:t>
            </w:r>
          </w:p>
        </w:tc>
        <w:tc>
          <w:tcPr>
            <w:tcW w:w="6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6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0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艺术教师生师比</w:t>
            </w:r>
          </w:p>
        </w:tc>
        <w:tc>
          <w:tcPr>
            <w:tcW w:w="8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:1</w:t>
            </w:r>
          </w:p>
        </w:tc>
        <w:tc>
          <w:tcPr>
            <w:tcW w:w="12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4"/>
                <w:szCs w:val="24"/>
              </w:rPr>
            </w:pPr>
          </w:p>
        </w:tc>
        <w:tc>
          <w:tcPr>
            <w:tcW w:w="2536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教学班数与艺术教师配备比例</w:t>
            </w:r>
          </w:p>
        </w:tc>
        <w:tc>
          <w:tcPr>
            <w:tcW w:w="15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音乐学科</w:t>
            </w:r>
          </w:p>
        </w:tc>
        <w:tc>
          <w:tcPr>
            <w:tcW w:w="8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7.6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:1</w:t>
            </w:r>
          </w:p>
        </w:tc>
        <w:tc>
          <w:tcPr>
            <w:tcW w:w="12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4"/>
                <w:szCs w:val="24"/>
              </w:rPr>
            </w:pPr>
          </w:p>
        </w:tc>
        <w:tc>
          <w:tcPr>
            <w:tcW w:w="253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美术学科</w:t>
            </w:r>
          </w:p>
        </w:tc>
        <w:tc>
          <w:tcPr>
            <w:tcW w:w="8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7.6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:1</w:t>
            </w:r>
          </w:p>
        </w:tc>
        <w:tc>
          <w:tcPr>
            <w:tcW w:w="12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4"/>
                <w:szCs w:val="24"/>
              </w:rPr>
            </w:pPr>
          </w:p>
        </w:tc>
        <w:tc>
          <w:tcPr>
            <w:tcW w:w="443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艺术教师平均周课时(课时/周)</w:t>
            </w:r>
          </w:p>
        </w:tc>
        <w:tc>
          <w:tcPr>
            <w:tcW w:w="11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43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艺术教师缺额数(人)</w:t>
            </w:r>
          </w:p>
        </w:tc>
        <w:tc>
          <w:tcPr>
            <w:tcW w:w="11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43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本学年艺术教师参加县级以上培训人数(人)</w:t>
            </w:r>
          </w:p>
        </w:tc>
        <w:tc>
          <w:tcPr>
            <w:tcW w:w="11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br w:type="page"/>
      </w:r>
    </w:p>
    <w:tbl>
      <w:tblPr>
        <w:tblStyle w:val="3"/>
        <w:tblW w:w="146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2"/>
        <w:gridCol w:w="2757"/>
        <w:gridCol w:w="993"/>
        <w:gridCol w:w="764"/>
        <w:gridCol w:w="2052"/>
        <w:gridCol w:w="629"/>
        <w:gridCol w:w="1168"/>
        <w:gridCol w:w="1232"/>
        <w:gridCol w:w="2070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14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自评项目</w:t>
            </w:r>
          </w:p>
        </w:tc>
        <w:tc>
          <w:tcPr>
            <w:tcW w:w="2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自评内容</w:t>
            </w:r>
          </w:p>
        </w:tc>
        <w:tc>
          <w:tcPr>
            <w:tcW w:w="560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自评记录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自评得分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存在的主要问题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44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条件保障</w:t>
            </w:r>
          </w:p>
          <w:p>
            <w:pPr>
              <w:spacing w:line="336" w:lineRule="exact"/>
              <w:ind w:left="20"/>
              <w:jc w:val="center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(20分)</w:t>
            </w:r>
          </w:p>
        </w:tc>
        <w:tc>
          <w:tcPr>
            <w:tcW w:w="27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 w:firstLine="480" w:firstLineChars="20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 xml:space="preserve">设置艺术专用教室和艺术活动室，并按照国家标准配备艺术课程教学和艺术活动器材。 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艺术专用教室/活动室(个)</w:t>
            </w:r>
          </w:p>
        </w:tc>
        <w:tc>
          <w:tcPr>
            <w:tcW w:w="7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5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音乐(个)</w:t>
            </w:r>
          </w:p>
        </w:tc>
        <w:tc>
          <w:tcPr>
            <w:tcW w:w="17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Dialog" w:hAnsi="Dialog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1</w:t>
            </w:r>
            <w:r>
              <w:rPr>
                <w:rFonts w:hint="eastAsia" w:ascii="Dialog" w:hAnsi="Dialog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88" w:lineRule="exact"/>
              <w:ind w:left="20" w:firstLine="480" w:firstLineChars="20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专用艺术活动场所设施老旧，不能够满足因发展带来的需求。</w:t>
            </w:r>
          </w:p>
        </w:tc>
        <w:tc>
          <w:tcPr>
            <w:tcW w:w="15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88" w:lineRule="exact"/>
              <w:ind w:left="20" w:firstLine="480" w:firstLineChars="20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积极向学校及上级主管部门申请，努力争取条件的改善。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美术(个)</w:t>
            </w:r>
          </w:p>
        </w:tc>
        <w:tc>
          <w:tcPr>
            <w:tcW w:w="17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其它(个)</w:t>
            </w:r>
          </w:p>
        </w:tc>
        <w:tc>
          <w:tcPr>
            <w:tcW w:w="17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列出艺术专用教室/活动室名称</w:t>
            </w:r>
          </w:p>
        </w:tc>
        <w:tc>
          <w:tcPr>
            <w:tcW w:w="461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书法教室，绘画教室1、2，音乐教室1、2、3，琴房，器乐室1、2、3，舞蹈房，形体房</w:t>
            </w:r>
          </w:p>
        </w:tc>
        <w:tc>
          <w:tcPr>
            <w:tcW w:w="12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艺术场馆(个)</w:t>
            </w:r>
          </w:p>
        </w:tc>
        <w:tc>
          <w:tcPr>
            <w:tcW w:w="7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面积(㎡)</w:t>
            </w:r>
          </w:p>
        </w:tc>
        <w:tc>
          <w:tcPr>
            <w:tcW w:w="17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列出艺术场馆名称</w:t>
            </w:r>
          </w:p>
        </w:tc>
        <w:tc>
          <w:tcPr>
            <w:tcW w:w="461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438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是否按照国家标准配备艺术课程教学和艺术活动器材</w:t>
            </w:r>
          </w:p>
        </w:tc>
        <w:tc>
          <w:tcPr>
            <w:tcW w:w="11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438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1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144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特色发展</w:t>
            </w:r>
          </w:p>
          <w:p>
            <w:pPr>
              <w:spacing w:line="336" w:lineRule="exact"/>
              <w:ind w:left="20"/>
              <w:jc w:val="center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(10分)</w:t>
            </w:r>
          </w:p>
        </w:tc>
        <w:tc>
          <w:tcPr>
            <w:tcW w:w="27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 w:firstLine="480" w:firstLineChars="20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 xml:space="preserve">发挥本校艺术教育资源优势、依托本地民族民间优秀传统文化艺术资源，形成学校艺术教育发展特色。充分利用社会艺术教育资源，利用当地文化艺术场地资源开展艺术教学、实践活动和校园文化建设，学校与社会艺术团体及社区建立合作关系。 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列举学校艺术教育特色发展成果</w:t>
            </w:r>
          </w:p>
        </w:tc>
        <w:tc>
          <w:tcPr>
            <w:tcW w:w="4613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 w:firstLine="480" w:firstLineChars="20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学校和教育体育局密切配合，选派教师组织成立桓台县教育书画院，并有多人担任重要职位，定期到乡镇学校及社区举行书画交流活动。学校多名美术教师联合桓台县博物馆举行美丽家园写生展览，为全县人民带来丰富的文化大餐。</w:t>
            </w:r>
          </w:p>
        </w:tc>
        <w:tc>
          <w:tcPr>
            <w:tcW w:w="12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8</w:t>
            </w:r>
          </w:p>
        </w:tc>
        <w:tc>
          <w:tcPr>
            <w:tcW w:w="20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88" w:lineRule="exact"/>
              <w:ind w:left="20" w:firstLine="480" w:firstLineChars="20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本地独有的艺术资源利用较少。</w:t>
            </w:r>
          </w:p>
        </w:tc>
        <w:tc>
          <w:tcPr>
            <w:tcW w:w="15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88" w:lineRule="exact"/>
              <w:ind w:left="20" w:firstLine="480" w:firstLineChars="20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积极探索新的模式，和本地优质资源结合，让地方特殊资源进入学校。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613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613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613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613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613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613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613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613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exact"/>
        </w:trPr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613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br w:type="page"/>
      </w:r>
    </w:p>
    <w:tbl>
      <w:tblPr>
        <w:tblStyle w:val="3"/>
        <w:tblW w:w="145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"/>
        <w:gridCol w:w="1109"/>
        <w:gridCol w:w="139"/>
        <w:gridCol w:w="1169"/>
        <w:gridCol w:w="704"/>
        <w:gridCol w:w="884"/>
        <w:gridCol w:w="854"/>
        <w:gridCol w:w="139"/>
        <w:gridCol w:w="764"/>
        <w:gridCol w:w="779"/>
        <w:gridCol w:w="434"/>
        <w:gridCol w:w="839"/>
        <w:gridCol w:w="629"/>
        <w:gridCol w:w="479"/>
        <w:gridCol w:w="689"/>
        <w:gridCol w:w="439"/>
        <w:gridCol w:w="209"/>
        <w:gridCol w:w="584"/>
        <w:gridCol w:w="629"/>
        <w:gridCol w:w="1358"/>
        <w:gridCol w:w="275"/>
        <w:gridCol w:w="209"/>
        <w:gridCol w:w="1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14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自评项目</w:t>
            </w:r>
          </w:p>
        </w:tc>
        <w:tc>
          <w:tcPr>
            <w:tcW w:w="27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自评内容</w:t>
            </w:r>
          </w:p>
        </w:tc>
        <w:tc>
          <w:tcPr>
            <w:tcW w:w="560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自评记录</w:t>
            </w:r>
          </w:p>
        </w:tc>
        <w:tc>
          <w:tcPr>
            <w:tcW w:w="12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自评得分</w:t>
            </w:r>
          </w:p>
        </w:tc>
        <w:tc>
          <w:tcPr>
            <w:tcW w:w="19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存在的主要问题</w:t>
            </w:r>
          </w:p>
        </w:tc>
        <w:tc>
          <w:tcPr>
            <w:tcW w:w="15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442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学生艺术素质测评</w:t>
            </w:r>
          </w:p>
          <w:p>
            <w:pPr>
              <w:spacing w:line="336" w:lineRule="exact"/>
              <w:ind w:left="20"/>
              <w:jc w:val="center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(加分10分)</w:t>
            </w:r>
          </w:p>
        </w:tc>
        <w:tc>
          <w:tcPr>
            <w:tcW w:w="2757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 xml:space="preserve">认真组织实施学生艺术素质测评 </w:t>
            </w:r>
          </w:p>
        </w:tc>
        <w:tc>
          <w:tcPr>
            <w:tcW w:w="443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实施学生艺术素质测评的起始学年</w:t>
            </w:r>
          </w:p>
        </w:tc>
        <w:tc>
          <w:tcPr>
            <w:tcW w:w="11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2014</w:t>
            </w:r>
          </w:p>
        </w:tc>
        <w:tc>
          <w:tcPr>
            <w:tcW w:w="1232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Dialog" w:hAnsi="Dialog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Dialog" w:hAnsi="Dialog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8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88" w:lineRule="exact"/>
              <w:ind w:left="20" w:firstLine="480" w:firstLineChars="20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测评形式不够丰富多样。</w:t>
            </w:r>
          </w:p>
        </w:tc>
        <w:tc>
          <w:tcPr>
            <w:tcW w:w="1573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88" w:lineRule="exact"/>
              <w:ind w:left="20" w:firstLine="480" w:firstLineChars="20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积极探索新的测评形式及种类。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144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438" w:type="dxa"/>
            <w:gridSpan w:val="7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本学年学生艺术素质测评的覆盖面（占学校学生总数比例)(%)</w:t>
            </w:r>
          </w:p>
        </w:tc>
        <w:tc>
          <w:tcPr>
            <w:tcW w:w="116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23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73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144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438" w:type="dxa"/>
            <w:gridSpan w:val="7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73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44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本学年学生艺术素质测评结果</w:t>
            </w:r>
          </w:p>
        </w:tc>
        <w:tc>
          <w:tcPr>
            <w:tcW w:w="12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成绩</w:t>
            </w:r>
          </w:p>
        </w:tc>
        <w:tc>
          <w:tcPr>
            <w:tcW w:w="14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上学期</w:t>
            </w:r>
          </w:p>
        </w:tc>
        <w:tc>
          <w:tcPr>
            <w:tcW w:w="11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下学期</w:t>
            </w:r>
          </w:p>
        </w:tc>
        <w:tc>
          <w:tcPr>
            <w:tcW w:w="123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4"/>
                <w:szCs w:val="24"/>
              </w:rPr>
            </w:pPr>
          </w:p>
        </w:tc>
        <w:tc>
          <w:tcPr>
            <w:tcW w:w="1573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exact"/>
        </w:trPr>
        <w:tc>
          <w:tcPr>
            <w:tcW w:w="144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4"/>
                <w:szCs w:val="24"/>
              </w:rPr>
            </w:pPr>
          </w:p>
        </w:tc>
        <w:tc>
          <w:tcPr>
            <w:tcW w:w="275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优秀(%)</w:t>
            </w:r>
          </w:p>
        </w:tc>
        <w:tc>
          <w:tcPr>
            <w:tcW w:w="146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6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3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73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144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73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exact"/>
        </w:trPr>
        <w:tc>
          <w:tcPr>
            <w:tcW w:w="144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良好(%)</w:t>
            </w:r>
          </w:p>
        </w:tc>
        <w:tc>
          <w:tcPr>
            <w:tcW w:w="146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116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23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73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144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73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exact"/>
        </w:trPr>
        <w:tc>
          <w:tcPr>
            <w:tcW w:w="144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合格(%)</w:t>
            </w:r>
          </w:p>
        </w:tc>
        <w:tc>
          <w:tcPr>
            <w:tcW w:w="146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6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3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73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144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73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44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不合格(%)</w:t>
            </w:r>
          </w:p>
        </w:tc>
        <w:tc>
          <w:tcPr>
            <w:tcW w:w="146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3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73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exact"/>
        </w:trPr>
        <w:tc>
          <w:tcPr>
            <w:tcW w:w="144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73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1442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自评结果</w:t>
            </w:r>
          </w:p>
        </w:tc>
        <w:tc>
          <w:tcPr>
            <w:tcW w:w="11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总分</w:t>
            </w:r>
          </w:p>
        </w:tc>
        <w:tc>
          <w:tcPr>
            <w:tcW w:w="2581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default" w:ascii="Dialog" w:hAnsi="Dialog"/>
                <w:sz w:val="24"/>
                <w:szCs w:val="24"/>
                <w:lang w:val="en-US" w:eastAsia="zh-CN"/>
              </w:rPr>
            </w:pPr>
            <w:r>
              <w:rPr>
                <w:rFonts w:hint="eastAsia" w:ascii="Dialog" w:hAnsi="Dialog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977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等级</w:t>
            </w:r>
          </w:p>
        </w:tc>
        <w:tc>
          <w:tcPr>
            <w:tcW w:w="7428" w:type="dxa"/>
            <w:gridSpan w:val="1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Dialog.plain" w:hAnsi="Dialog.plain" w:eastAsia="Dialog.plain"/>
                <w:sz w:val="24"/>
                <w:szCs w:val="24"/>
                <w:lang w:eastAsia="zh-CN"/>
              </w:rPr>
            </w:pPr>
            <w:r>
              <w:rPr>
                <w:rFonts w:hint="eastAsia" w:ascii="Dialog.plain" w:hAnsi="Dialog.plain" w:eastAsia="Dialog.plain"/>
                <w:sz w:val="24"/>
                <w:szCs w:val="24"/>
                <w:lang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exact"/>
        </w:trPr>
        <w:tc>
          <w:tcPr>
            <w:tcW w:w="144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.plain" w:hAnsi="Dialog.plain" w:eastAsia="Dialog.plain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.plain" w:hAnsi="Dialog.plain" w:eastAsia="Dialog.plain"/>
                <w:sz w:val="24"/>
                <w:szCs w:val="24"/>
              </w:rPr>
            </w:pPr>
          </w:p>
        </w:tc>
        <w:tc>
          <w:tcPr>
            <w:tcW w:w="2581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.plain" w:hAnsi="Dialog.plain" w:eastAsia="Dialog.plain"/>
                <w:sz w:val="24"/>
                <w:szCs w:val="24"/>
              </w:rPr>
            </w:pPr>
          </w:p>
        </w:tc>
        <w:tc>
          <w:tcPr>
            <w:tcW w:w="197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.plain" w:hAnsi="Dialog.plain" w:eastAsia="Dialog.plain"/>
                <w:sz w:val="24"/>
                <w:szCs w:val="24"/>
              </w:rPr>
            </w:pPr>
          </w:p>
        </w:tc>
        <w:tc>
          <w:tcPr>
            <w:tcW w:w="7428" w:type="dxa"/>
            <w:gridSpan w:val="1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.plain" w:hAnsi="Dialog.plain" w:eastAsia="Dialog.plai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109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jc w:val="center"/>
              <w:rPr>
                <w:rFonts w:hint="eastAsia" w:ascii="Dialog" w:hAnsi="Dialog"/>
                <w:sz w:val="24"/>
                <w:szCs w:val="24"/>
              </w:rPr>
            </w:pPr>
          </w:p>
        </w:tc>
        <w:tc>
          <w:tcPr>
            <w:tcW w:w="3750" w:type="dxa"/>
            <w:gridSpan w:val="5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3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</w:p>
        </w:tc>
        <w:tc>
          <w:tcPr>
            <w:tcW w:w="3070" w:type="dxa"/>
            <w:gridSpan w:val="5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3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08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exact"/>
        </w:trPr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750" w:type="dxa"/>
            <w:gridSpan w:val="5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3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070" w:type="dxa"/>
            <w:gridSpan w:val="5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3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3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830" w:type="dxa"/>
            <w:gridSpan w:val="1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3314" w:type="dxa"/>
            <w:gridSpan w:val="21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exact"/>
        </w:trPr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3314" w:type="dxa"/>
            <w:gridSpan w:val="21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3314" w:type="dxa"/>
            <w:gridSpan w:val="21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3314" w:type="dxa"/>
            <w:gridSpan w:val="21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36" w:lineRule="exact"/>
              <w:ind w:left="20"/>
              <w:rPr>
                <w:rFonts w:hint="eastAsia" w:ascii="Dialog" w:hAnsi="Dialog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rPr>
          <w:rFonts w:hint="default"/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6837" w:h="11905" w:orient="landscape"/>
      <w:pgMar w:top="612" w:right="1080" w:bottom="612" w:left="1083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Dialog.plain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M2I3YjkyNGI3OWYwNDYxM2I3M2QzMzQ2ZWVhNTUifQ=="/>
  </w:docVars>
  <w:rsids>
    <w:rsidRoot w:val="00000000"/>
    <w:rsid w:val="18894AC5"/>
    <w:rsid w:val="19E57220"/>
    <w:rsid w:val="66DA6E80"/>
    <w:rsid w:val="7E4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autoSpaceDE w:val="0"/>
      <w:autoSpaceDN w:val="0"/>
      <w:adjustRightInd w:val="0"/>
    </w:pPr>
    <w:rPr>
      <w:rFonts w:hint="default" w:ascii="Arial" w:hAnsi="Arial" w:eastAsia="宋体" w:cs="Times New Roman"/>
      <w:color w:val="000000"/>
      <w:sz w:val="24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2733</Words>
  <Characters>2783</Characters>
  <Lines>0</Lines>
  <Paragraphs>0</Paragraphs>
  <TotalTime>165</TotalTime>
  <ScaleCrop>false</ScaleCrop>
  <LinksUpToDate>false</LinksUpToDate>
  <CharactersWithSpaces>2793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2022-09-25T23:47:00Z</dcterms:created>
  <dc:creator>李清刚</dc:creator>
  <cp:lastModifiedBy>不会游泳的鱼</cp:lastModifiedBy>
  <dcterms:modified xsi:type="dcterms:W3CDTF">2023-12-06T10:15:15Z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7C4F69584BBF445293FB4C055852C816_13</vt:lpwstr>
  </property>
</Properties>
</file>