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5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  <w:lang w:eastAsia="zh-CN"/>
        </w:rPr>
        <w:t>桓台县果里镇闫家小学</w:t>
      </w:r>
    </w:p>
    <w:p>
      <w:pPr>
        <w:widowControl/>
        <w:spacing w:line="560" w:lineRule="exact"/>
        <w:ind w:firstLine="645"/>
        <w:jc w:val="center"/>
        <w:rPr>
          <w:rFonts w:hint="eastAsia" w:asciiTheme="majorEastAsia" w:hAnsiTheme="majorEastAsia" w:eastAsiaTheme="majorEastAsia" w:cstheme="majorEastAsia"/>
          <w:bCs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  <w:lang w:eastAsia="zh-CN"/>
        </w:rPr>
        <w:t>财务管理制度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楷体" w:eastAsia="仿宋_GB2312" w:cs="楷体"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645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（一）根据上级部门要求，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成立全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财务监督小组，负责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的财务监督工作，对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校的财务收支业务进行认真审核，形成集体决议，监督小组成员签字后方可办理，</w:t>
      </w:r>
      <w:r>
        <w:rPr>
          <w:rFonts w:hint="eastAsia" w:ascii="仿宋" w:hAnsi="仿宋" w:eastAsia="仿宋" w:cs="仿宋"/>
          <w:sz w:val="32"/>
          <w:szCs w:val="32"/>
        </w:rPr>
        <w:t>加强经费支出的合理性及透明度，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有效预防各种漏洞发生。</w:t>
      </w:r>
    </w:p>
    <w:p>
      <w:pPr>
        <w:widowControl/>
        <w:spacing w:line="560" w:lineRule="exact"/>
        <w:ind w:firstLine="645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（二）严格执行“三重一大”备案申报制度。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kern w:val="0"/>
          <w:sz w:val="32"/>
          <w:szCs w:val="32"/>
        </w:rPr>
        <w:t>在年初的预算编制中对全年的重大项目和大额资金使用要统筹安排，严格按有关程序办理，各项大额支出项目，要提前提交书面申请报告，填写“三重一大”事项备案表及办公会会议纪要，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"/>
          <w:kern w:val="0"/>
          <w:sz w:val="32"/>
          <w:szCs w:val="32"/>
        </w:rPr>
        <w:t>由中心校对申报项目进行考察、论证、审核，报教体局审批后方可实施，未经审批，不得办理，坚决杜绝“先支出、后申报”及拆分项目、化整为零进行支出。</w:t>
      </w:r>
    </w:p>
    <w:p>
      <w:pPr>
        <w:widowControl/>
        <w:spacing w:line="560" w:lineRule="exact"/>
        <w:ind w:firstLine="645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（三）严把日常支出关。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kern w:val="0"/>
          <w:sz w:val="32"/>
          <w:szCs w:val="32"/>
        </w:rPr>
        <w:t>校日常支出要严格执行年度支出预算规定的开支范围及标准，学校校长要把好支出审核关，各项支出要据实列支，严禁虚列虚报，不得以不规范票据列支。</w:t>
      </w:r>
    </w:p>
    <w:p>
      <w:pPr>
        <w:widowControl/>
        <w:spacing w:line="560" w:lineRule="exact"/>
        <w:ind w:firstLine="645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（四）严格执行政府采购制度。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学校购置属于政府采购目录范围的，必须严格按政府采购程序办理,属于资产购置的必须及时增加固定资产。</w:t>
      </w:r>
    </w:p>
    <w:p>
      <w:pPr>
        <w:widowControl/>
        <w:spacing w:line="560" w:lineRule="exact"/>
        <w:ind w:firstLine="646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（五）学校财务管理实行校长负责制。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学校的财务活动在校长领导下，由学校财务人员统一管理。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切实履行学校民主理财小组职责，对学校大额资金的使用进行集体讨论决定，并签字确认，还要定期公布学校收支及管理情况。</w:t>
      </w:r>
    </w:p>
    <w:p>
      <w:pPr>
        <w:widowControl/>
        <w:spacing w:line="560" w:lineRule="exact"/>
        <w:ind w:firstLine="646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（六）建立健全学校财务管理内部控制制度。从事学校财务管理的报账员与审批人员、经办人员、财物保管人员的职责权限应当明确，并做到相互分离、相互制约、相互监督。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桓台县果里镇闫家小学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zBkM2M2NWQ2ZTBhNmU5MTNiZDk2YjdhYjE5NzAifQ=="/>
  </w:docVars>
  <w:rsids>
    <w:rsidRoot w:val="538B6E1B"/>
    <w:rsid w:val="10AE5EC6"/>
    <w:rsid w:val="112B7CAF"/>
    <w:rsid w:val="1A5B5633"/>
    <w:rsid w:val="1E304E6E"/>
    <w:rsid w:val="278578AC"/>
    <w:rsid w:val="32573941"/>
    <w:rsid w:val="3D992496"/>
    <w:rsid w:val="3E3C234A"/>
    <w:rsid w:val="538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621</Characters>
  <Lines>0</Lines>
  <Paragraphs>0</Paragraphs>
  <TotalTime>5</TotalTime>
  <ScaleCrop>false</ScaleCrop>
  <LinksUpToDate>false</LinksUpToDate>
  <CharactersWithSpaces>650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2021-04-06T02:24:00Z</dcterms:created>
  <dc:creator>Administrator</dc:creator>
  <cp:lastModifiedBy>Administrator</cp:lastModifiedBy>
  <dcterms:modified xsi:type="dcterms:W3CDTF">2023-11-28T06:45:51Z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01E8DF959555409992DA123EB248E669</vt:lpwstr>
  </property>
</Properties>
</file>