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rPr>
        <w:t>桓台县教育体育局</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caps w:val="0"/>
          <w:color w:val="000000"/>
          <w:spacing w:val="0"/>
          <w:sz w:val="44"/>
          <w:szCs w:val="44"/>
        </w:rPr>
      </w:pPr>
      <w:r>
        <w:rPr>
          <w:rFonts w:hint="eastAsia" w:ascii="方正小标宋简体" w:hAnsi="方正小标宋简体" w:eastAsia="方正小标宋简体" w:cs="方正小标宋简体"/>
          <w:i w:val="0"/>
          <w:caps w:val="0"/>
          <w:color w:val="000000"/>
          <w:spacing w:val="0"/>
          <w:sz w:val="44"/>
          <w:szCs w:val="44"/>
        </w:rPr>
        <w:t>2010年度政府信息公开工作年度报告</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880" w:firstLineChars="200"/>
        <w:jc w:val="left"/>
        <w:textAlignment w:val="auto"/>
        <w:rPr>
          <w:rFonts w:hint="eastAsia" w:ascii="方正小标宋简体" w:hAnsi="方正小标宋简体" w:eastAsia="方正小标宋简体" w:cs="方正小标宋简体"/>
          <w:i w:val="0"/>
          <w:caps w:val="0"/>
          <w:color w:val="000000"/>
          <w:spacing w:val="0"/>
          <w:sz w:val="44"/>
          <w:szCs w:val="44"/>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ascii="sans-serif" w:hAnsi="sans-serif" w:eastAsia="sans-serif" w:cs="sans-serif"/>
          <w:i w:val="0"/>
          <w:caps w:val="0"/>
          <w:color w:val="000000"/>
          <w:spacing w:val="0"/>
          <w:sz w:val="21"/>
          <w:szCs w:val="21"/>
        </w:rPr>
      </w:pPr>
      <w:r>
        <w:rPr>
          <w:rFonts w:hint="eastAsia" w:ascii="仿宋_GB2312" w:hAnsi="仿宋_GB2312" w:eastAsia="仿宋_GB2312" w:cs="仿宋_GB2312"/>
          <w:i w:val="0"/>
          <w:caps w:val="0"/>
          <w:color w:val="000000"/>
          <w:spacing w:val="0"/>
          <w:sz w:val="32"/>
          <w:szCs w:val="32"/>
        </w:rPr>
        <w:t>2010年，桓台县教体局根据《中华人民共和国政府信息公开条例》和《淄博市政府信息主动公开和依申请公开制度》要求，特编制2010年桓台县教体局政府信息公开年度报告。全文包括概述、政府信息主动公开情况、政府信息依申请公开和不予公开情况以及存在的主要问题和改进措施等。现将自查情况报告如下：</w:t>
      </w:r>
    </w:p>
    <w:p>
      <w:pPr>
        <w:pStyle w:val="4"/>
        <w:keepNext w:val="0"/>
        <w:keepLines w:val="0"/>
        <w:widowControl/>
        <w:suppressLineNumbers w:val="0"/>
        <w:spacing w:before="0" w:beforeAutospacing="0" w:after="0" w:afterAutospacing="0" w:line="520" w:lineRule="atLeast"/>
        <w:ind w:left="0" w:right="0" w:firstLine="640"/>
        <w:jc w:val="left"/>
        <w:rPr>
          <w:rFonts w:hint="default" w:ascii="sans-serif" w:hAnsi="sans-serif" w:eastAsia="sans-serif" w:cs="sans-serif"/>
          <w:i w:val="0"/>
          <w:caps w:val="0"/>
          <w:color w:val="000000"/>
          <w:spacing w:val="0"/>
          <w:sz w:val="21"/>
          <w:szCs w:val="21"/>
        </w:rPr>
      </w:pPr>
      <w:r>
        <w:rPr>
          <w:rFonts w:ascii="黑体" w:hAnsi="宋体" w:eastAsia="黑体" w:cs="黑体"/>
          <w:i w:val="0"/>
          <w:caps w:val="0"/>
          <w:color w:val="000000"/>
          <w:spacing w:val="0"/>
          <w:sz w:val="32"/>
          <w:szCs w:val="32"/>
        </w:rPr>
        <w:t>一、概述</w:t>
      </w:r>
    </w:p>
    <w:p>
      <w:pPr>
        <w:pStyle w:val="4"/>
        <w:keepNext w:val="0"/>
        <w:keepLines w:val="0"/>
        <w:widowControl/>
        <w:suppressLineNumbers w:val="0"/>
        <w:spacing w:before="0" w:beforeAutospacing="0" w:after="0" w:afterAutospacing="0" w:line="520" w:lineRule="atLeast"/>
        <w:ind w:left="0" w:right="0" w:firstLine="675"/>
        <w:jc w:val="left"/>
        <w:textAlignment w:val="center"/>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2"/>
          <w:szCs w:val="32"/>
        </w:rPr>
        <w:t>根据《中华人民共和国政府信息公开条例》及淄博市政府关于贯彻落实政府信息公开相关文件及会议要求，桓台县教体局认真贯彻落实《中华人民共和国政府信息公开条例》，加大政府信息公开工作力度，并配备专人专项负责政府信息发布、依申请公开受理、政府信息咨询等方面的联络协调工作，完善政务公开的各项制度。</w:t>
      </w:r>
    </w:p>
    <w:p>
      <w:pPr>
        <w:pStyle w:val="4"/>
        <w:keepNext w:val="0"/>
        <w:keepLines w:val="0"/>
        <w:widowControl/>
        <w:suppressLineNumbers w:val="0"/>
        <w:spacing w:before="0" w:beforeAutospacing="0" w:after="0" w:afterAutospacing="0" w:line="520" w:lineRule="atLeast"/>
        <w:ind w:left="0" w:right="0" w:firstLine="640"/>
        <w:jc w:val="left"/>
        <w:rPr>
          <w:rFonts w:hint="default" w:ascii="sans-serif" w:hAnsi="sans-serif" w:eastAsia="sans-serif" w:cs="sans-serif"/>
          <w:i w:val="0"/>
          <w:caps w:val="0"/>
          <w:color w:val="000000"/>
          <w:spacing w:val="0"/>
          <w:sz w:val="21"/>
          <w:szCs w:val="21"/>
        </w:rPr>
      </w:pPr>
      <w:r>
        <w:rPr>
          <w:rFonts w:hint="eastAsia" w:ascii="黑体" w:hAnsi="宋体" w:eastAsia="黑体" w:cs="黑体"/>
          <w:i w:val="0"/>
          <w:caps w:val="0"/>
          <w:color w:val="000000"/>
          <w:spacing w:val="0"/>
          <w:sz w:val="32"/>
          <w:szCs w:val="32"/>
        </w:rPr>
        <w:t>二、主动公开政府信息情况</w:t>
      </w:r>
    </w:p>
    <w:p>
      <w:pPr>
        <w:pStyle w:val="4"/>
        <w:keepNext w:val="0"/>
        <w:keepLines w:val="0"/>
        <w:widowControl/>
        <w:suppressLineNumbers w:val="0"/>
        <w:spacing w:before="0" w:beforeAutospacing="0" w:after="0" w:afterAutospacing="0" w:line="520" w:lineRule="atLeast"/>
        <w:ind w:left="0" w:right="0" w:firstLine="640"/>
        <w:jc w:val="left"/>
        <w:textAlignment w:val="center"/>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2"/>
          <w:szCs w:val="32"/>
        </w:rPr>
        <w:t>桓台县教体局严格按照《政府信息公开条例》的要求，加大了力度，强化了主动公开意识，努力将政府信息公开和政务公开、办事公开工作结合起来，不断深化政务公开内容，采取多种形式及时把社会关注的热点、焦点内容予以公开，积极打造阳光政务。</w:t>
      </w:r>
    </w:p>
    <w:p>
      <w:pPr>
        <w:pStyle w:val="4"/>
        <w:keepNext w:val="0"/>
        <w:keepLines w:val="0"/>
        <w:widowControl/>
        <w:suppressLineNumbers w:val="0"/>
        <w:spacing w:before="0" w:beforeAutospacing="0" w:after="0" w:afterAutospacing="0" w:line="520" w:lineRule="atLeast"/>
        <w:ind w:left="0" w:right="0" w:firstLine="640"/>
        <w:jc w:val="left"/>
        <w:textAlignment w:val="center"/>
        <w:rPr>
          <w:rFonts w:hint="default" w:ascii="sans-serif" w:hAnsi="sans-serif" w:eastAsia="sans-serif" w:cs="sans-serif"/>
          <w:i w:val="0"/>
          <w:caps w:val="0"/>
          <w:color w:val="000000"/>
          <w:spacing w:val="0"/>
          <w:sz w:val="21"/>
          <w:szCs w:val="21"/>
        </w:rPr>
      </w:pPr>
      <w:r>
        <w:rPr>
          <w:rFonts w:hint="default" w:ascii="sans-serif" w:hAnsi="sans-serif" w:eastAsia="sans-serif" w:cs="sans-serif"/>
          <w:i w:val="0"/>
          <w:caps w:val="0"/>
          <w:color w:val="000000"/>
          <w:spacing w:val="0"/>
          <w:sz w:val="21"/>
          <w:szCs w:val="21"/>
        </w:rPr>
        <w:t>2010</w:t>
      </w:r>
      <w:r>
        <w:rPr>
          <w:rFonts w:hint="eastAsia" w:ascii="仿宋_GB2312" w:hAnsi="sans-serif" w:eastAsia="仿宋_GB2312" w:cs="仿宋_GB2312"/>
          <w:i w:val="0"/>
          <w:caps w:val="0"/>
          <w:color w:val="000000"/>
          <w:spacing w:val="0"/>
          <w:sz w:val="32"/>
          <w:szCs w:val="32"/>
        </w:rPr>
        <w:t>年，主要是通过《桓台县教育体育信息》，公开了教育和体育方面的各类信息。为进一步拓宽公开渠道，还通过报纸、网络、电视、印发资料等多种形式进行公开，重要教育政务信息，如招生政策，规范办学行为等重要信息。公开信息数共计200 </w:t>
      </w:r>
      <w:r>
        <w:rPr>
          <w:rFonts w:hint="default" w:ascii="sans-serif" w:hAnsi="sans-serif" w:eastAsia="sans-serif" w:cs="sans-serif"/>
          <w:i w:val="0"/>
          <w:caps w:val="0"/>
          <w:color w:val="000000"/>
          <w:spacing w:val="0"/>
          <w:sz w:val="21"/>
          <w:szCs w:val="21"/>
        </w:rPr>
        <w:t>条。</w:t>
      </w:r>
    </w:p>
    <w:p>
      <w:pPr>
        <w:pStyle w:val="4"/>
        <w:keepNext w:val="0"/>
        <w:keepLines w:val="0"/>
        <w:widowControl/>
        <w:suppressLineNumbers w:val="0"/>
        <w:spacing w:before="0" w:beforeAutospacing="0" w:after="0" w:afterAutospacing="0" w:line="520" w:lineRule="atLeast"/>
        <w:ind w:left="0" w:right="0" w:firstLine="640"/>
        <w:jc w:val="left"/>
        <w:rPr>
          <w:rFonts w:hint="default" w:ascii="sans-serif" w:hAnsi="sans-serif" w:eastAsia="sans-serif" w:cs="sans-serif"/>
          <w:i w:val="0"/>
          <w:caps w:val="0"/>
          <w:color w:val="000000"/>
          <w:spacing w:val="0"/>
          <w:sz w:val="21"/>
          <w:szCs w:val="21"/>
        </w:rPr>
      </w:pPr>
      <w:r>
        <w:rPr>
          <w:rFonts w:hint="eastAsia" w:ascii="黑体" w:hAnsi="宋体" w:eastAsia="黑体" w:cs="黑体"/>
          <w:i w:val="0"/>
          <w:caps w:val="0"/>
          <w:color w:val="000000"/>
          <w:spacing w:val="0"/>
          <w:sz w:val="32"/>
          <w:szCs w:val="32"/>
        </w:rPr>
        <w:t>三、依申请公开信息的情况</w:t>
      </w:r>
    </w:p>
    <w:p>
      <w:pPr>
        <w:pStyle w:val="4"/>
        <w:keepNext w:val="0"/>
        <w:keepLines w:val="0"/>
        <w:widowControl/>
        <w:suppressLineNumbers w:val="0"/>
        <w:spacing w:before="0" w:beforeAutospacing="0" w:after="0" w:afterAutospacing="0" w:line="520" w:lineRule="atLeast"/>
        <w:ind w:left="0" w:right="0" w:firstLine="0"/>
        <w:jc w:val="left"/>
        <w:rPr>
          <w:rFonts w:hint="default" w:ascii="sans-serif" w:hAnsi="sans-serif" w:eastAsia="sans-serif" w:cs="sans-serif"/>
          <w:i w:val="0"/>
          <w:caps w:val="0"/>
          <w:color w:val="000000"/>
          <w:spacing w:val="0"/>
          <w:sz w:val="21"/>
          <w:szCs w:val="21"/>
        </w:rPr>
      </w:pPr>
      <w:r>
        <w:rPr>
          <w:rFonts w:hint="default" w:ascii="sans-serif" w:hAnsi="sans-serif" w:eastAsia="sans-serif" w:cs="sans-serif"/>
          <w:i w:val="0"/>
          <w:caps w:val="0"/>
          <w:color w:val="000000"/>
          <w:spacing w:val="0"/>
          <w:sz w:val="21"/>
          <w:szCs w:val="21"/>
        </w:rPr>
        <w:t>       2010</w:t>
      </w:r>
      <w:r>
        <w:rPr>
          <w:rFonts w:hint="eastAsia" w:ascii="仿宋_GB2312" w:hAnsi="sans-serif" w:eastAsia="仿宋_GB2312" w:cs="仿宋_GB2312"/>
          <w:i w:val="0"/>
          <w:caps w:val="0"/>
          <w:color w:val="000000"/>
          <w:spacing w:val="0"/>
          <w:sz w:val="32"/>
          <w:szCs w:val="32"/>
        </w:rPr>
        <w:t>年度我局未收到信息公开申请。</w:t>
      </w:r>
    </w:p>
    <w:p>
      <w:pPr>
        <w:pStyle w:val="4"/>
        <w:keepNext w:val="0"/>
        <w:keepLines w:val="0"/>
        <w:widowControl/>
        <w:suppressLineNumbers w:val="0"/>
        <w:spacing w:before="0" w:beforeAutospacing="0" w:after="0" w:afterAutospacing="0" w:line="520" w:lineRule="atLeast"/>
        <w:ind w:left="0" w:right="0" w:firstLine="640"/>
        <w:jc w:val="left"/>
        <w:rPr>
          <w:rFonts w:hint="default" w:ascii="sans-serif" w:hAnsi="sans-serif" w:eastAsia="sans-serif" w:cs="sans-serif"/>
          <w:i w:val="0"/>
          <w:caps w:val="0"/>
          <w:color w:val="000000"/>
          <w:spacing w:val="0"/>
          <w:sz w:val="21"/>
          <w:szCs w:val="21"/>
        </w:rPr>
      </w:pPr>
      <w:r>
        <w:rPr>
          <w:rFonts w:hint="eastAsia" w:ascii="黑体" w:hAnsi="宋体" w:eastAsia="黑体" w:cs="黑体"/>
          <w:i w:val="0"/>
          <w:caps w:val="0"/>
          <w:color w:val="000000"/>
          <w:spacing w:val="0"/>
          <w:sz w:val="32"/>
          <w:szCs w:val="32"/>
        </w:rPr>
        <w:t>四、</w:t>
      </w:r>
      <w:r>
        <w:rPr>
          <w:rFonts w:hint="eastAsia" w:ascii="黑体" w:hAnsi="宋体" w:eastAsia="黑体" w:cs="黑体"/>
          <w:i w:val="0"/>
          <w:caps w:val="0"/>
          <w:color w:val="333333"/>
          <w:spacing w:val="0"/>
          <w:sz w:val="32"/>
          <w:szCs w:val="32"/>
        </w:rPr>
        <w:t>政府信息公开咨询处理情况</w:t>
      </w:r>
    </w:p>
    <w:p>
      <w:pPr>
        <w:pStyle w:val="4"/>
        <w:keepNext w:val="0"/>
        <w:keepLines w:val="0"/>
        <w:widowControl/>
        <w:suppressLineNumbers w:val="0"/>
        <w:spacing w:before="0" w:beforeAutospacing="0" w:after="0" w:afterAutospacing="0" w:line="520" w:lineRule="atLeast"/>
        <w:ind w:left="0" w:right="0" w:firstLine="640"/>
        <w:jc w:val="left"/>
        <w:rPr>
          <w:rFonts w:hint="default" w:ascii="sans-serif" w:hAnsi="sans-serif" w:eastAsia="sans-serif" w:cs="sans-serif"/>
          <w:i w:val="0"/>
          <w:caps w:val="0"/>
          <w:color w:val="000000"/>
          <w:spacing w:val="0"/>
          <w:sz w:val="21"/>
          <w:szCs w:val="21"/>
        </w:rPr>
      </w:pPr>
      <w:r>
        <w:rPr>
          <w:rFonts w:hint="default" w:ascii="sans-serif" w:hAnsi="sans-serif" w:eastAsia="sans-serif" w:cs="sans-serif"/>
          <w:i w:val="0"/>
          <w:caps w:val="0"/>
          <w:color w:val="000000"/>
          <w:spacing w:val="0"/>
          <w:sz w:val="21"/>
          <w:szCs w:val="21"/>
        </w:rPr>
        <w:t>2010</w:t>
      </w:r>
      <w:r>
        <w:rPr>
          <w:rFonts w:hint="eastAsia" w:ascii="仿宋_GB2312" w:hAnsi="sans-serif" w:eastAsia="仿宋_GB2312" w:cs="仿宋_GB2312"/>
          <w:i w:val="0"/>
          <w:caps w:val="0"/>
          <w:color w:val="333333"/>
          <w:spacing w:val="0"/>
          <w:sz w:val="32"/>
          <w:szCs w:val="32"/>
        </w:rPr>
        <w:t>年度我局未收到任何形式的有关信息公开方面的咨询</w:t>
      </w:r>
      <w:r>
        <w:rPr>
          <w:rFonts w:hint="eastAsia" w:ascii="仿宋_GB2312" w:hAnsi="sans-serif" w:eastAsia="仿宋_GB2312" w:cs="仿宋_GB2312"/>
          <w:i w:val="0"/>
          <w:caps w:val="0"/>
          <w:color w:val="000000"/>
          <w:spacing w:val="0"/>
          <w:sz w:val="32"/>
          <w:szCs w:val="32"/>
        </w:rPr>
        <w:t>。</w:t>
      </w:r>
    </w:p>
    <w:p>
      <w:pPr>
        <w:pStyle w:val="4"/>
        <w:keepNext w:val="0"/>
        <w:keepLines w:val="0"/>
        <w:widowControl/>
        <w:suppressLineNumbers w:val="0"/>
        <w:spacing w:before="0" w:beforeAutospacing="0" w:after="0" w:afterAutospacing="0" w:line="520" w:lineRule="atLeast"/>
        <w:ind w:left="0" w:right="0" w:firstLine="640"/>
        <w:jc w:val="left"/>
        <w:rPr>
          <w:rFonts w:hint="default" w:ascii="sans-serif" w:hAnsi="sans-serif" w:eastAsia="sans-serif" w:cs="sans-serif"/>
          <w:i w:val="0"/>
          <w:caps w:val="0"/>
          <w:color w:val="000000"/>
          <w:spacing w:val="0"/>
          <w:sz w:val="21"/>
          <w:szCs w:val="21"/>
        </w:rPr>
      </w:pPr>
      <w:r>
        <w:rPr>
          <w:rFonts w:hint="eastAsia" w:ascii="黑体" w:hAnsi="宋体" w:eastAsia="黑体" w:cs="黑体"/>
          <w:i w:val="0"/>
          <w:caps w:val="0"/>
          <w:color w:val="000000"/>
          <w:spacing w:val="0"/>
          <w:sz w:val="32"/>
          <w:szCs w:val="32"/>
        </w:rPr>
        <w:t>五、政府信息公开申请行政复议、提起行政诉讼的情况</w:t>
      </w:r>
    </w:p>
    <w:p>
      <w:pPr>
        <w:pStyle w:val="4"/>
        <w:keepNext w:val="0"/>
        <w:keepLines w:val="0"/>
        <w:widowControl/>
        <w:suppressLineNumbers w:val="0"/>
        <w:spacing w:before="0" w:beforeAutospacing="0" w:after="0" w:afterAutospacing="0" w:line="520" w:lineRule="atLeast"/>
        <w:ind w:left="0" w:right="0" w:firstLine="640"/>
        <w:jc w:val="left"/>
        <w:textAlignment w:val="center"/>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2"/>
          <w:szCs w:val="32"/>
        </w:rPr>
        <w:t>我局</w:t>
      </w:r>
      <w:r>
        <w:rPr>
          <w:rFonts w:hint="default" w:ascii="sans-serif" w:hAnsi="sans-serif" w:eastAsia="sans-serif" w:cs="sans-serif"/>
          <w:i w:val="0"/>
          <w:caps w:val="0"/>
          <w:color w:val="000000"/>
          <w:spacing w:val="0"/>
          <w:sz w:val="21"/>
          <w:szCs w:val="21"/>
        </w:rPr>
        <w:t>2010</w:t>
      </w:r>
      <w:r>
        <w:rPr>
          <w:rFonts w:hint="eastAsia" w:ascii="仿宋_GB2312" w:hAnsi="sans-serif" w:eastAsia="仿宋_GB2312" w:cs="仿宋_GB2312"/>
          <w:i w:val="0"/>
          <w:caps w:val="0"/>
          <w:color w:val="000000"/>
          <w:spacing w:val="0"/>
          <w:sz w:val="32"/>
          <w:szCs w:val="32"/>
        </w:rPr>
        <w:t>年度未发生针对本部门有关政府信息公开事务的行政复议案；未发生针对本部门有关政府信息公开事务的行政诉讼案；未收到各类针对本部门政府信息公开事务有关的申诉案（包括信访、举报）。</w:t>
      </w:r>
    </w:p>
    <w:p>
      <w:pPr>
        <w:pStyle w:val="4"/>
        <w:keepNext w:val="0"/>
        <w:keepLines w:val="0"/>
        <w:widowControl/>
        <w:suppressLineNumbers w:val="0"/>
        <w:spacing w:before="0" w:beforeAutospacing="0" w:after="0" w:afterAutospacing="0" w:line="520" w:lineRule="atLeast"/>
        <w:ind w:left="0" w:right="0" w:firstLine="640"/>
        <w:jc w:val="left"/>
        <w:rPr>
          <w:rFonts w:hint="default" w:ascii="sans-serif" w:hAnsi="sans-serif" w:eastAsia="sans-serif" w:cs="sans-serif"/>
          <w:i w:val="0"/>
          <w:caps w:val="0"/>
          <w:color w:val="000000"/>
          <w:spacing w:val="0"/>
          <w:sz w:val="21"/>
          <w:szCs w:val="21"/>
        </w:rPr>
      </w:pPr>
      <w:r>
        <w:rPr>
          <w:rFonts w:hint="eastAsia" w:ascii="黑体" w:hAnsi="宋体" w:eastAsia="黑体" w:cs="黑体"/>
          <w:i w:val="0"/>
          <w:caps w:val="0"/>
          <w:color w:val="000000"/>
          <w:spacing w:val="0"/>
          <w:sz w:val="32"/>
          <w:szCs w:val="32"/>
        </w:rPr>
        <w:t>六、存在的主要问题和改进措施</w:t>
      </w:r>
    </w:p>
    <w:p>
      <w:pPr>
        <w:pStyle w:val="4"/>
        <w:keepNext w:val="0"/>
        <w:keepLines w:val="0"/>
        <w:widowControl/>
        <w:suppressLineNumbers w:val="0"/>
        <w:spacing w:before="0" w:beforeAutospacing="0" w:after="0" w:afterAutospacing="0" w:line="520" w:lineRule="atLeast"/>
        <w:ind w:left="0" w:right="0" w:firstLine="640"/>
        <w:jc w:val="left"/>
        <w:textAlignment w:val="center"/>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2"/>
          <w:szCs w:val="32"/>
        </w:rPr>
        <w:t>我局政府信息公开工作还存在着一些问题，个别地方公开定位不到位，信息公开的不及时。为此，</w:t>
      </w:r>
      <w:r>
        <w:rPr>
          <w:rFonts w:hint="default" w:ascii="sans-serif" w:hAnsi="sans-serif" w:eastAsia="sans-serif" w:cs="sans-serif"/>
          <w:i w:val="0"/>
          <w:caps w:val="0"/>
          <w:color w:val="000000"/>
          <w:spacing w:val="0"/>
          <w:sz w:val="21"/>
          <w:szCs w:val="21"/>
        </w:rPr>
        <w:t>2011</w:t>
      </w:r>
      <w:r>
        <w:rPr>
          <w:rFonts w:hint="eastAsia" w:ascii="仿宋_GB2312" w:hAnsi="sans-serif" w:eastAsia="仿宋_GB2312" w:cs="仿宋_GB2312"/>
          <w:i w:val="0"/>
          <w:caps w:val="0"/>
          <w:color w:val="000000"/>
          <w:spacing w:val="0"/>
          <w:sz w:val="32"/>
          <w:szCs w:val="32"/>
        </w:rPr>
        <w:t>年我局将认真抓好以下几个方面：</w:t>
      </w:r>
      <w:r>
        <w:rPr>
          <w:rStyle w:val="7"/>
          <w:rFonts w:hint="eastAsia" w:ascii="仿宋_GB2312" w:hAnsi="sans-serif" w:eastAsia="仿宋_GB2312" w:cs="仿宋_GB2312"/>
          <w:i w:val="0"/>
          <w:caps w:val="0"/>
          <w:color w:val="000000"/>
          <w:spacing w:val="0"/>
          <w:sz w:val="21"/>
          <w:szCs w:val="21"/>
        </w:rPr>
        <w:t>一是深入学习，进一步增强公开意识。</w:t>
      </w:r>
      <w:r>
        <w:rPr>
          <w:rFonts w:hint="eastAsia" w:ascii="仿宋_GB2312" w:hAnsi="sans-serif" w:eastAsia="仿宋_GB2312" w:cs="仿宋_GB2312"/>
          <w:i w:val="0"/>
          <w:caps w:val="0"/>
          <w:color w:val="000000"/>
          <w:spacing w:val="0"/>
          <w:sz w:val="32"/>
          <w:szCs w:val="32"/>
        </w:rPr>
        <w:t>进一步学习《中华人民共和国政府信息公开条例》，提高对信息公开工作的认识，要从办人民满意的教育、规范教育行政行为和推进科学行政、依法行政、民主行政的高度，进一步提高做好政府信息公开工作的自觉性。</w:t>
      </w:r>
      <w:r>
        <w:rPr>
          <w:rStyle w:val="7"/>
          <w:rFonts w:hint="eastAsia" w:ascii="仿宋_GB2312" w:hAnsi="sans-serif" w:eastAsia="仿宋_GB2312" w:cs="仿宋_GB2312"/>
          <w:i w:val="0"/>
          <w:caps w:val="0"/>
          <w:color w:val="000000"/>
          <w:spacing w:val="0"/>
          <w:sz w:val="21"/>
          <w:szCs w:val="21"/>
        </w:rPr>
        <w:t>二是加强督查，进一步提高公开质量。</w:t>
      </w:r>
      <w:r>
        <w:rPr>
          <w:rFonts w:hint="eastAsia" w:ascii="仿宋_GB2312" w:hAnsi="sans-serif" w:eastAsia="仿宋_GB2312" w:cs="仿宋_GB2312"/>
          <w:i w:val="0"/>
          <w:caps w:val="0"/>
          <w:color w:val="000000"/>
          <w:spacing w:val="0"/>
          <w:sz w:val="32"/>
          <w:szCs w:val="32"/>
        </w:rPr>
        <w:t>认真开展政务公开、校务公开、办事公开的考核评估工作，定期或不定期组织干部师生代表对政务公开情况进行督促。深入了解群众的呼声和要求，加大对政务公开办事公开督促检查力度，实行有效监督，严格责任追究，确保政务公开办事公开规范、有序、真实、实效，全面提高政务公开办事公开工作的质量。</w:t>
      </w:r>
      <w:r>
        <w:rPr>
          <w:rStyle w:val="7"/>
          <w:rFonts w:hint="eastAsia" w:ascii="仿宋_GB2312" w:hAnsi="sans-serif" w:eastAsia="仿宋_GB2312" w:cs="仿宋_GB2312"/>
          <w:i w:val="0"/>
          <w:caps w:val="0"/>
          <w:color w:val="000000"/>
          <w:spacing w:val="0"/>
          <w:sz w:val="21"/>
          <w:szCs w:val="21"/>
        </w:rPr>
        <w:t>三是突出重点，进一步提高公开实效。</w:t>
      </w:r>
      <w:r>
        <w:rPr>
          <w:rFonts w:hint="eastAsia" w:ascii="仿宋_GB2312" w:hAnsi="sans-serif" w:eastAsia="仿宋_GB2312" w:cs="仿宋_GB2312"/>
          <w:i w:val="0"/>
          <w:caps w:val="0"/>
          <w:color w:val="000000"/>
          <w:spacing w:val="0"/>
          <w:sz w:val="32"/>
          <w:szCs w:val="32"/>
        </w:rPr>
        <w:t>围绕中心，突出重点，注重实效，把政务公开工作中遇到的重点、难点问题和社会群众关心的热点问题，作为政务公开主要内容，努力做到政务决策公开、过程公开、结果公开，关系群众切身利益的重大问题公开，通过多种形式让干部群众参与和知晓，保证公开的真实性，防止公开的随意性，注重公开的实效性，坚持公开载体的创新性，不搞形式主义，不做表面文章，进一步提高政务公开实效。</w:t>
      </w:r>
    </w:p>
    <w:p>
      <w:pPr>
        <w:pStyle w:val="4"/>
        <w:keepNext w:val="0"/>
        <w:keepLines w:val="0"/>
        <w:widowControl/>
        <w:suppressLineNumbers w:val="0"/>
        <w:spacing w:before="0" w:beforeAutospacing="0" w:after="0" w:afterAutospacing="0" w:line="520" w:lineRule="atLeast"/>
        <w:ind w:left="0" w:right="0" w:firstLine="420"/>
        <w:jc w:val="left"/>
        <w:textAlignment w:val="center"/>
        <w:rPr>
          <w:rFonts w:hint="default" w:ascii="sans-serif" w:hAnsi="sans-serif" w:eastAsia="sans-serif" w:cs="sans-serif"/>
          <w:i w:val="0"/>
          <w:caps w:val="0"/>
          <w:color w:val="000000"/>
          <w:spacing w:val="0"/>
          <w:sz w:val="21"/>
          <w:szCs w:val="21"/>
        </w:rPr>
      </w:pPr>
    </w:p>
    <w:p>
      <w:pPr>
        <w:pStyle w:val="4"/>
        <w:keepNext w:val="0"/>
        <w:keepLines w:val="0"/>
        <w:widowControl/>
        <w:suppressLineNumbers w:val="0"/>
        <w:spacing w:before="0" w:beforeAutospacing="0" w:after="0" w:afterAutospacing="0" w:line="520" w:lineRule="atLeast"/>
        <w:ind w:left="0" w:right="0" w:firstLine="420"/>
        <w:jc w:val="left"/>
        <w:textAlignment w:val="center"/>
        <w:rPr>
          <w:rFonts w:hint="default" w:ascii="sans-serif" w:hAnsi="sans-serif" w:eastAsia="sans-serif" w:cs="sans-serif"/>
          <w:i w:val="0"/>
          <w:caps w:val="0"/>
          <w:color w:val="000000"/>
          <w:spacing w:val="0"/>
          <w:sz w:val="21"/>
          <w:szCs w:val="21"/>
        </w:rPr>
      </w:pPr>
    </w:p>
    <w:p>
      <w:pPr>
        <w:pStyle w:val="4"/>
        <w:keepNext w:val="0"/>
        <w:keepLines w:val="0"/>
        <w:widowControl/>
        <w:suppressLineNumbers w:val="0"/>
        <w:spacing w:before="0" w:beforeAutospacing="0" w:after="0" w:afterAutospacing="0" w:line="520" w:lineRule="atLeast"/>
        <w:ind w:left="0" w:right="0" w:firstLine="420"/>
        <w:jc w:val="left"/>
        <w:textAlignment w:val="center"/>
        <w:rPr>
          <w:rFonts w:hint="default" w:ascii="sans-serif" w:hAnsi="sans-serif" w:eastAsia="sans-serif" w:cs="sans-serif"/>
          <w:i w:val="0"/>
          <w:caps w:val="0"/>
          <w:color w:val="000000"/>
          <w:spacing w:val="0"/>
          <w:sz w:val="21"/>
          <w:szCs w:val="21"/>
        </w:rPr>
      </w:pPr>
    </w:p>
    <w:p>
      <w:pPr>
        <w:pStyle w:val="4"/>
        <w:keepNext w:val="0"/>
        <w:keepLines w:val="0"/>
        <w:widowControl/>
        <w:suppressLineNumbers w:val="0"/>
        <w:spacing w:before="0" w:beforeAutospacing="0" w:after="0" w:afterAutospacing="0" w:line="520" w:lineRule="atLeast"/>
        <w:ind w:left="0" w:right="0" w:firstLine="420"/>
        <w:jc w:val="left"/>
        <w:textAlignment w:val="center"/>
        <w:rPr>
          <w:rFonts w:hint="default" w:ascii="sans-serif" w:hAnsi="sans-serif" w:eastAsia="sans-serif" w:cs="sans-serif"/>
          <w:i w:val="0"/>
          <w:caps w:val="0"/>
          <w:color w:val="000000"/>
          <w:spacing w:val="0"/>
          <w:sz w:val="21"/>
          <w:szCs w:val="21"/>
        </w:rPr>
      </w:pPr>
    </w:p>
    <w:p>
      <w:pPr>
        <w:pStyle w:val="4"/>
        <w:keepNext w:val="0"/>
        <w:keepLines w:val="0"/>
        <w:widowControl/>
        <w:suppressLineNumbers w:val="0"/>
        <w:spacing w:before="0" w:beforeAutospacing="0" w:after="0" w:afterAutospacing="0" w:line="520" w:lineRule="atLeast"/>
        <w:ind w:left="0" w:right="0" w:firstLine="420"/>
        <w:jc w:val="left"/>
        <w:textAlignment w:val="center"/>
        <w:rPr>
          <w:rFonts w:hint="default" w:ascii="sans-serif" w:hAnsi="sans-serif" w:eastAsia="sans-serif" w:cs="sans-serif"/>
          <w:i w:val="0"/>
          <w:caps w:val="0"/>
          <w:color w:val="000000"/>
          <w:spacing w:val="0"/>
          <w:sz w:val="21"/>
          <w:szCs w:val="21"/>
        </w:rPr>
      </w:pPr>
      <w:r>
        <w:rPr>
          <w:rFonts w:hint="default" w:ascii="Times New Roman" w:hAnsi="Times New Roman" w:eastAsia="sans-serif" w:cs="Times New Roman"/>
          <w:i w:val="0"/>
          <w:caps w:val="0"/>
          <w:color w:val="000000"/>
          <w:spacing w:val="0"/>
          <w:sz w:val="21"/>
          <w:szCs w:val="21"/>
        </w:rPr>
        <w:t>                                              </w:t>
      </w:r>
      <w:r>
        <w:rPr>
          <w:rFonts w:hint="eastAsia" w:ascii="仿宋_GB2312" w:hAnsi="sans-serif" w:eastAsia="仿宋_GB2312" w:cs="仿宋_GB2312"/>
          <w:i w:val="0"/>
          <w:caps w:val="0"/>
          <w:color w:val="000000"/>
          <w:spacing w:val="0"/>
          <w:sz w:val="32"/>
          <w:szCs w:val="32"/>
        </w:rPr>
        <w:t>二</w:t>
      </w:r>
      <w:r>
        <w:rPr>
          <w:rFonts w:hint="eastAsia" w:ascii="宋体" w:hAnsi="宋体" w:eastAsia="宋体" w:cs="宋体"/>
          <w:i w:val="0"/>
          <w:caps w:val="0"/>
          <w:color w:val="000000"/>
          <w:spacing w:val="0"/>
          <w:sz w:val="32"/>
          <w:szCs w:val="32"/>
        </w:rPr>
        <w:t>〇</w:t>
      </w:r>
      <w:r>
        <w:rPr>
          <w:rFonts w:hint="eastAsia" w:ascii="仿宋_GB2312" w:hAnsi="sans-serif" w:eastAsia="仿宋_GB2312" w:cs="仿宋_GB2312"/>
          <w:i w:val="0"/>
          <w:caps w:val="0"/>
          <w:color w:val="000000"/>
          <w:spacing w:val="0"/>
          <w:sz w:val="32"/>
          <w:szCs w:val="32"/>
        </w:rPr>
        <w:t>一一年</w:t>
      </w:r>
      <w:r>
        <w:rPr>
          <w:rFonts w:hint="eastAsia" w:ascii="仿宋_GB2312" w:hAnsi="sans-serif" w:eastAsia="仿宋_GB2312" w:cs="仿宋_GB2312"/>
          <w:i w:val="0"/>
          <w:caps w:val="0"/>
          <w:color w:val="000000"/>
          <w:spacing w:val="0"/>
          <w:sz w:val="32"/>
          <w:szCs w:val="32"/>
          <w:lang w:val="en-US" w:eastAsia="zh-CN"/>
        </w:rPr>
        <w:t>一</w:t>
      </w:r>
      <w:bookmarkStart w:id="0" w:name="_GoBack"/>
      <w:bookmarkEnd w:id="0"/>
      <w:r>
        <w:rPr>
          <w:rFonts w:hint="eastAsia" w:ascii="仿宋_GB2312" w:hAnsi="sans-serif" w:eastAsia="仿宋_GB2312" w:cs="仿宋_GB2312"/>
          <w:i w:val="0"/>
          <w:caps w:val="0"/>
          <w:color w:val="000000"/>
          <w:spacing w:val="0"/>
          <w:sz w:val="32"/>
          <w:szCs w:val="32"/>
        </w:rPr>
        <w:t>月三十一日</w:t>
      </w:r>
    </w:p>
    <w:p/>
    <w:sectPr>
      <w:pgSz w:w="12240" w:h="15840"/>
      <w:pgMar w:top="1984" w:right="1417" w:bottom="1984" w:left="1417" w:header="720" w:footer="720"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894774"/>
    <w:rsid w:val="0A262955"/>
    <w:rsid w:val="0C894774"/>
    <w:rsid w:val="40097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2020-06-09T11:32:00Z</dcterms:created>
  <dc:creator>lenovo</dc:creator>
  <cp:lastModifiedBy>lenovo</cp:lastModifiedBy>
  <dcterms:modified xsi:type="dcterms:W3CDTF">2020-06-10T09:55:00Z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