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桓台县教育和体育局</w:t>
      </w:r>
    </w:p>
    <w:p>
      <w:pPr>
        <w:keepNext w:val="0"/>
        <w:keepLines w:val="0"/>
        <w:pageBreakBefore w:val="0"/>
        <w:kinsoku/>
        <w:wordWrap/>
        <w:overflowPunct/>
        <w:topLinePunct w:val="0"/>
        <w:autoSpaceDE/>
        <w:autoSpaceDN/>
        <w:bidi w:val="0"/>
        <w:adjustRightInd/>
        <w:spacing w:line="56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2019年</w:t>
      </w:r>
      <w:r>
        <w:rPr>
          <w:rFonts w:hint="eastAsia" w:ascii="方正小标宋简体" w:hAnsi="方正小标宋简体" w:eastAsia="方正小标宋简体" w:cs="方正小标宋简体"/>
          <w:b w:val="0"/>
          <w:bCs/>
          <w:sz w:val="44"/>
          <w:szCs w:val="44"/>
        </w:rPr>
        <w:t>政府信息公开工作年度报告</w:t>
      </w:r>
    </w:p>
    <w:p>
      <w:pPr>
        <w:keepNext w:val="0"/>
        <w:keepLines w:val="0"/>
        <w:pageBreakBefore w:val="0"/>
        <w:kinsoku/>
        <w:wordWrap/>
        <w:overflowPunct/>
        <w:topLinePunct w:val="0"/>
        <w:autoSpaceDE/>
        <w:autoSpaceDN/>
        <w:bidi w:val="0"/>
        <w:adjustRightInd/>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一、总体情况</w:t>
      </w:r>
    </w:p>
    <w:p>
      <w:pPr>
        <w:keepNext w:val="0"/>
        <w:keepLines w:val="0"/>
        <w:pageBreakBefore w:val="0"/>
        <w:widowControl/>
        <w:kinsoku/>
        <w:wordWrap/>
        <w:overflowPunct/>
        <w:topLinePunct w:val="0"/>
        <w:autoSpaceDE/>
        <w:autoSpaceDN/>
        <w:bidi w:val="0"/>
        <w:adjustRightInd/>
        <w:snapToGrid w:val="0"/>
        <w:spacing w:line="560" w:lineRule="exact"/>
        <w:ind w:firstLine="675" w:firstLineChars="211"/>
        <w:jc w:val="left"/>
        <w:textAlignment w:val="center"/>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进一步扩大中、小学招生信息公开范围。重点加强中、小学划片招生政策、招生计划、录取资格及录取结果等信息的公开工作，加大对中学自主提前录取和艺体特长生录取等有关政策和信息的公开力度。</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center"/>
        <w:rPr>
          <w:rFonts w:hint="eastAsia" w:ascii="仿宋_GB2312" w:hAnsi="ˎ̥" w:eastAsia="仿宋_GB2312" w:cs="Arial"/>
          <w:color w:val="000000"/>
          <w:kern w:val="0"/>
          <w:sz w:val="32"/>
          <w:szCs w:val="32"/>
        </w:rPr>
      </w:pPr>
      <w:r>
        <w:rPr>
          <w:rFonts w:hint="eastAsia" w:ascii="仿宋_GB2312" w:hAnsi="宋体" w:eastAsia="仿宋_GB2312" w:cs="宋体"/>
          <w:color w:val="000000"/>
          <w:kern w:val="0"/>
          <w:sz w:val="32"/>
          <w:szCs w:val="32"/>
        </w:rPr>
        <w:t>我单位</w:t>
      </w:r>
      <w:r>
        <w:rPr>
          <w:rFonts w:hint="eastAsia" w:ascii="仿宋_GB2312" w:hAnsi="ˎ̥" w:eastAsia="仿宋_GB2312" w:cs="Arial"/>
          <w:color w:val="000000"/>
          <w:kern w:val="0"/>
          <w:sz w:val="32"/>
          <w:szCs w:val="32"/>
        </w:rPr>
        <w:t>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2"/>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2019年</w:t>
      </w:r>
      <w:r>
        <w:rPr>
          <w:rFonts w:hint="eastAsia" w:ascii="仿宋_GB2312" w:hAnsi="仿宋_GB2312" w:eastAsia="仿宋_GB2312" w:cs="仿宋_GB2312"/>
          <w:sz w:val="32"/>
          <w:szCs w:val="32"/>
          <w:lang w:eastAsia="zh-CN"/>
        </w:rPr>
        <w:t>对政务公开目录及时更新，更新了包括机构职能、法规文件、规划计划、统计数据、人事信息、业务工作、政务参与与回应关切、政务公开能力建设、重大行政决策、建议提案办理等目录，总计</w:t>
      </w:r>
      <w:r>
        <w:rPr>
          <w:rFonts w:hint="eastAsia" w:ascii="仿宋_GB2312" w:hAnsi="仿宋_GB2312" w:eastAsia="仿宋_GB2312" w:cs="仿宋_GB2312"/>
          <w:sz w:val="32"/>
          <w:szCs w:val="32"/>
          <w:lang w:val="en-US" w:eastAsia="zh-CN"/>
        </w:rPr>
        <w:t>122条。</w:t>
      </w:r>
      <w:r>
        <w:rPr>
          <w:rFonts w:hint="eastAsia" w:ascii="仿宋_GB2312" w:hAnsi="仿宋_GB2312" w:eastAsia="仿宋_GB2312" w:cs="仿宋_GB2312"/>
          <w:sz w:val="32"/>
          <w:szCs w:val="32"/>
          <w:lang w:eastAsia="zh-CN"/>
        </w:rPr>
        <w:t>并及时对部门信息公开目录中的义务教育划片招生、义务教育均衡发展、教育督导、全面改薄、教育资助等栏目进行了更新。</w:t>
      </w:r>
    </w:p>
    <w:p>
      <w:pPr>
        <w:rPr>
          <w:rFonts w:hint="eastAsia" w:ascii="黑体" w:hAnsi="黑体" w:eastAsia="黑体" w:cs="黑体"/>
          <w:b w:val="0"/>
          <w:bCs/>
          <w:sz w:val="32"/>
          <w:szCs w:val="32"/>
        </w:rPr>
      </w:pPr>
      <w:r>
        <w:rPr>
          <w:rFonts w:hint="eastAsia" w:ascii="黑体" w:hAnsi="黑体" w:eastAsia="黑体" w:cs="黑体"/>
          <w:b w:val="0"/>
          <w:bCs/>
          <w:sz w:val="32"/>
          <w:szCs w:val="32"/>
        </w:rPr>
        <w:t>二、主动公开政府信息情况</w:t>
      </w:r>
    </w:p>
    <w:p>
      <w:pPr>
        <w:rPr>
          <w:rFonts w:hint="eastAsia"/>
          <w:b/>
          <w:sz w:val="24"/>
          <w:szCs w:val="24"/>
        </w:rPr>
      </w:pP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rFonts w:hint="eastAsia"/>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sz w:val="24"/>
                <w:szCs w:val="24"/>
              </w:rPr>
            </w:pPr>
            <w:r>
              <w:rPr>
                <w:rFonts w:hint="eastAsia"/>
                <w:sz w:val="24"/>
                <w:szCs w:val="24"/>
              </w:rPr>
              <w:t>规章</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sz w:val="24"/>
                <w:szCs w:val="24"/>
              </w:rPr>
            </w:pPr>
            <w:r>
              <w:rPr>
                <w:rFonts w:hint="eastAsia"/>
                <w:sz w:val="24"/>
                <w:szCs w:val="24"/>
              </w:rPr>
              <w:t>规范性文件</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2222" w:type="dxa"/>
            <w:vAlign w:val="center"/>
          </w:tcPr>
          <w:p>
            <w:pPr>
              <w:rPr>
                <w:rFonts w:hint="default"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sz w:val="24"/>
                <w:szCs w:val="24"/>
              </w:rPr>
            </w:pPr>
            <w:r>
              <w:rPr>
                <w:rFonts w:hint="eastAsia"/>
                <w:sz w:val="24"/>
                <w:szCs w:val="24"/>
              </w:rPr>
              <w:t>行政许可</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1</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default" w:eastAsiaTheme="minorEastAsia"/>
                <w:sz w:val="24"/>
                <w:szCs w:val="24"/>
                <w:lang w:val="en-US" w:eastAsia="zh-CN"/>
              </w:rPr>
            </w:pPr>
            <w:r>
              <w:rPr>
                <w:rFonts w:hint="eastAsia"/>
                <w:sz w:val="24"/>
                <w:szCs w:val="24"/>
                <w:lang w:val="en-US" w:eastAsia="zh-CN"/>
              </w:rPr>
              <w:t>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sz w:val="24"/>
                <w:szCs w:val="24"/>
              </w:rPr>
            </w:pPr>
            <w:r>
              <w:rPr>
                <w:rFonts w:hint="eastAsia"/>
                <w:color w:val="auto"/>
                <w:sz w:val="24"/>
                <w:szCs w:val="24"/>
              </w:rPr>
              <w:t>其他对外管理服务事项</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75</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default" w:eastAsiaTheme="minorEastAsia"/>
                <w:sz w:val="24"/>
                <w:szCs w:val="24"/>
                <w:lang w:val="en-US" w:eastAsia="zh-CN"/>
              </w:rPr>
            </w:pPr>
            <w:r>
              <w:rPr>
                <w:rFonts w:hint="eastAsia"/>
                <w:sz w:val="24"/>
                <w:szCs w:val="24"/>
                <w:lang w:val="en-US" w:eastAsia="zh-CN"/>
              </w:rPr>
              <w:t>10790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行政处罚</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36</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行政强制</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2</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4252" w:type="dxa"/>
            <w:gridSpan w:val="2"/>
            <w:vAlign w:val="center"/>
          </w:tcPr>
          <w:p>
            <w:pPr>
              <w:jc w:val="center"/>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sz w:val="24"/>
                <w:szCs w:val="24"/>
              </w:rPr>
            </w:pPr>
            <w:r>
              <w:rPr>
                <w:rFonts w:hint="eastAsia"/>
                <w:sz w:val="24"/>
                <w:szCs w:val="24"/>
              </w:rPr>
              <w:t>行政事业性收费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8"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采购项目数量</w:t>
            </w:r>
          </w:p>
        </w:tc>
        <w:tc>
          <w:tcPr>
            <w:tcW w:w="4252" w:type="dxa"/>
            <w:gridSpan w:val="2"/>
            <w:vAlign w:val="center"/>
          </w:tcPr>
          <w:p>
            <w:pPr>
              <w:jc w:val="center"/>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jc w:val="center"/>
        </w:trPr>
        <w:tc>
          <w:tcPr>
            <w:tcW w:w="2694" w:type="dxa"/>
            <w:vAlign w:val="center"/>
          </w:tcPr>
          <w:p>
            <w:pPr>
              <w:rPr>
                <w:rFonts w:hint="eastAsia"/>
                <w:sz w:val="24"/>
                <w:szCs w:val="24"/>
              </w:rPr>
            </w:pPr>
            <w:r>
              <w:rPr>
                <w:rFonts w:hint="eastAsia"/>
                <w:color w:val="auto"/>
                <w:sz w:val="24"/>
                <w:szCs w:val="24"/>
              </w:rPr>
              <w:t>政府集中采购</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4</w:t>
            </w:r>
          </w:p>
        </w:tc>
        <w:tc>
          <w:tcPr>
            <w:tcW w:w="4252" w:type="dxa"/>
            <w:gridSpan w:val="2"/>
            <w:vAlign w:val="center"/>
          </w:tcPr>
          <w:p>
            <w:pPr>
              <w:rPr>
                <w:rFonts w:hint="default" w:eastAsiaTheme="minorEastAsia"/>
                <w:sz w:val="24"/>
                <w:szCs w:val="24"/>
                <w:lang w:val="en-US" w:eastAsia="zh-CN"/>
              </w:rPr>
            </w:pPr>
            <w:r>
              <w:rPr>
                <w:rFonts w:hint="eastAsia"/>
                <w:sz w:val="24"/>
                <w:szCs w:val="24"/>
                <w:lang w:val="en-US" w:eastAsia="zh-CN"/>
              </w:rPr>
              <w:t>12.9万</w:t>
            </w:r>
          </w:p>
        </w:tc>
      </w:tr>
    </w:tbl>
    <w:p>
      <w:pPr>
        <w:rPr>
          <w:rFonts w:hint="eastAsia"/>
        </w:rPr>
      </w:pPr>
    </w:p>
    <w:p>
      <w:pPr>
        <w:rPr>
          <w:rFonts w:hint="eastAsia"/>
          <w:b/>
          <w:sz w:val="32"/>
          <w:szCs w:val="32"/>
        </w:rPr>
      </w:pPr>
    </w:p>
    <w:p>
      <w:pPr>
        <w:rPr>
          <w:rFonts w:hint="eastAsia" w:ascii="黑体" w:hAnsi="黑体" w:eastAsia="黑体"/>
          <w:b w:val="0"/>
          <w:bCs/>
          <w:sz w:val="32"/>
          <w:szCs w:val="32"/>
        </w:rPr>
      </w:pPr>
      <w:r>
        <w:rPr>
          <w:rFonts w:hint="eastAsia" w:ascii="黑体" w:hAnsi="黑体" w:eastAsia="黑体"/>
          <w:b w:val="0"/>
          <w:bCs/>
          <w:sz w:val="32"/>
          <w:szCs w:val="32"/>
        </w:rPr>
        <w:t>三、收到和处理政府信息公开申请情况</w:t>
      </w:r>
    </w:p>
    <w:tbl>
      <w:tblPr>
        <w:tblStyle w:val="4"/>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396"/>
        <w:gridCol w:w="2693"/>
        <w:gridCol w:w="567"/>
        <w:gridCol w:w="709"/>
        <w:gridCol w:w="708"/>
        <w:gridCol w:w="709"/>
        <w:gridCol w:w="709"/>
        <w:gridCol w:w="709"/>
        <w:gridCol w:w="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39" w:type="dxa"/>
            <w:gridSpan w:val="3"/>
            <w:vMerge w:val="restart"/>
            <w:vAlign w:val="center"/>
          </w:tcPr>
          <w:p>
            <w:pPr>
              <w:rPr>
                <w:rFonts w:hint="eastAsia"/>
              </w:rPr>
            </w:pPr>
            <w:r>
              <w:rPr>
                <w:rFonts w:hint="eastAsia"/>
              </w:rPr>
              <w:t>（本列数据的勾稽关系为：第一项加第二项之和，等于第三项加第四项之和）</w:t>
            </w:r>
          </w:p>
        </w:tc>
        <w:tc>
          <w:tcPr>
            <w:tcW w:w="4551" w:type="dxa"/>
            <w:gridSpan w:val="7"/>
            <w:vAlign w:val="center"/>
          </w:tcPr>
          <w:p>
            <w:pPr>
              <w:jc w:val="center"/>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39" w:type="dxa"/>
            <w:gridSpan w:val="3"/>
            <w:vMerge w:val="continue"/>
          </w:tcPr>
          <w:p>
            <w:pPr>
              <w:rPr>
                <w:rFonts w:hint="eastAsia"/>
              </w:rPr>
            </w:pPr>
          </w:p>
        </w:tc>
        <w:tc>
          <w:tcPr>
            <w:tcW w:w="567" w:type="dxa"/>
            <w:vMerge w:val="restart"/>
            <w:vAlign w:val="center"/>
          </w:tcPr>
          <w:p>
            <w:pPr>
              <w:jc w:val="center"/>
              <w:rPr>
                <w:rFonts w:hint="eastAsia"/>
                <w:sz w:val="18"/>
                <w:szCs w:val="18"/>
              </w:rPr>
            </w:pPr>
            <w:r>
              <w:rPr>
                <w:rFonts w:hint="eastAsia"/>
                <w:szCs w:val="21"/>
              </w:rPr>
              <w:t>自然人</w:t>
            </w:r>
          </w:p>
        </w:tc>
        <w:tc>
          <w:tcPr>
            <w:tcW w:w="3544" w:type="dxa"/>
            <w:gridSpan w:val="5"/>
            <w:vAlign w:val="center"/>
          </w:tcPr>
          <w:p>
            <w:pPr>
              <w:jc w:val="center"/>
              <w:rPr>
                <w:rFonts w:hint="eastAsia"/>
                <w:szCs w:val="21"/>
              </w:rPr>
            </w:pPr>
            <w:r>
              <w:rPr>
                <w:rFonts w:hint="eastAsia"/>
                <w:szCs w:val="21"/>
              </w:rPr>
              <w:t>法人或其他组织</w:t>
            </w:r>
          </w:p>
        </w:tc>
        <w:tc>
          <w:tcPr>
            <w:tcW w:w="440" w:type="dxa"/>
            <w:vMerge w:val="restart"/>
            <w:vAlign w:val="center"/>
          </w:tcPr>
          <w:p>
            <w:pP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39" w:type="dxa"/>
            <w:gridSpan w:val="3"/>
            <w:vMerge w:val="continue"/>
          </w:tcPr>
          <w:p>
            <w:pPr>
              <w:rPr>
                <w:rFonts w:hint="eastAsia"/>
              </w:rPr>
            </w:pPr>
          </w:p>
        </w:tc>
        <w:tc>
          <w:tcPr>
            <w:tcW w:w="567" w:type="dxa"/>
            <w:vMerge w:val="continue"/>
          </w:tcPr>
          <w:p>
            <w:pPr>
              <w:rPr>
                <w:rFonts w:hint="eastAsia"/>
                <w:sz w:val="18"/>
                <w:szCs w:val="18"/>
              </w:rPr>
            </w:pPr>
          </w:p>
        </w:tc>
        <w:tc>
          <w:tcPr>
            <w:tcW w:w="709" w:type="dxa"/>
            <w:vAlign w:val="center"/>
          </w:tcPr>
          <w:p>
            <w:pPr>
              <w:rPr>
                <w:rFonts w:hint="eastAsia"/>
                <w:szCs w:val="21"/>
              </w:rPr>
            </w:pPr>
            <w:r>
              <w:rPr>
                <w:rFonts w:hint="eastAsia"/>
                <w:szCs w:val="21"/>
              </w:rPr>
              <w:t>商业企业</w:t>
            </w:r>
          </w:p>
        </w:tc>
        <w:tc>
          <w:tcPr>
            <w:tcW w:w="708" w:type="dxa"/>
            <w:vAlign w:val="center"/>
          </w:tcPr>
          <w:p>
            <w:pPr>
              <w:rPr>
                <w:rFonts w:hint="eastAsia"/>
                <w:szCs w:val="21"/>
              </w:rPr>
            </w:pPr>
            <w:r>
              <w:rPr>
                <w:rFonts w:hint="eastAsia"/>
                <w:szCs w:val="21"/>
              </w:rPr>
              <w:t>科研机构</w:t>
            </w:r>
          </w:p>
        </w:tc>
        <w:tc>
          <w:tcPr>
            <w:tcW w:w="709" w:type="dxa"/>
            <w:vAlign w:val="center"/>
          </w:tcPr>
          <w:p>
            <w:pPr>
              <w:rPr>
                <w:rFonts w:hint="eastAsia"/>
                <w:szCs w:val="21"/>
              </w:rPr>
            </w:pPr>
            <w:r>
              <w:rPr>
                <w:rFonts w:hint="eastAsia"/>
                <w:szCs w:val="21"/>
              </w:rPr>
              <w:t>社会公益组织</w:t>
            </w:r>
          </w:p>
        </w:tc>
        <w:tc>
          <w:tcPr>
            <w:tcW w:w="709" w:type="dxa"/>
            <w:vAlign w:val="center"/>
          </w:tcPr>
          <w:p>
            <w:pPr>
              <w:rPr>
                <w:rFonts w:hint="eastAsia"/>
                <w:szCs w:val="21"/>
              </w:rPr>
            </w:pPr>
            <w:r>
              <w:rPr>
                <w:rFonts w:hint="eastAsia"/>
                <w:szCs w:val="21"/>
              </w:rPr>
              <w:t>法律服务机构</w:t>
            </w:r>
          </w:p>
        </w:tc>
        <w:tc>
          <w:tcPr>
            <w:tcW w:w="709" w:type="dxa"/>
            <w:vAlign w:val="center"/>
          </w:tcPr>
          <w:p>
            <w:pPr>
              <w:rPr>
                <w:rFonts w:hint="eastAsia"/>
                <w:szCs w:val="21"/>
              </w:rPr>
            </w:pPr>
            <w:r>
              <w:rPr>
                <w:rFonts w:hint="eastAsia"/>
                <w:szCs w:val="21"/>
              </w:rPr>
              <w:t>其他</w:t>
            </w:r>
          </w:p>
        </w:tc>
        <w:tc>
          <w:tcPr>
            <w:tcW w:w="440"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39" w:type="dxa"/>
            <w:gridSpan w:val="3"/>
          </w:tcPr>
          <w:p>
            <w:pPr>
              <w:rPr>
                <w:rFonts w:hint="eastAsia"/>
              </w:rPr>
            </w:pPr>
            <w:r>
              <w:rPr>
                <w:rFonts w:hint="eastAsia"/>
              </w:rPr>
              <w:t>一、本年新收政府信息公开申请数量</w:t>
            </w:r>
          </w:p>
        </w:tc>
        <w:tc>
          <w:tcPr>
            <w:tcW w:w="567" w:type="dxa"/>
          </w:tcPr>
          <w:p>
            <w:pPr>
              <w:rPr>
                <w:rFonts w:hint="eastAsia" w:eastAsiaTheme="minorEastAsia"/>
                <w:lang w:val="en-US" w:eastAsia="zh-CN"/>
              </w:rPr>
            </w:pPr>
            <w:r>
              <w:rPr>
                <w:rFonts w:hint="eastAsia"/>
                <w:lang w:val="en-US" w:eastAsia="zh-CN"/>
              </w:rPr>
              <w:t>1</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708"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440" w:type="dxa"/>
            <w:vAlign w:val="center"/>
          </w:tcPr>
          <w:p>
            <w:pPr>
              <w:rPr>
                <w:rFonts w:hint="eastAsia" w:eastAsiaTheme="minorEastAsia"/>
                <w:szCs w:val="21"/>
                <w:lang w:val="en-US" w:eastAsia="zh-CN"/>
              </w:rPr>
            </w:pPr>
            <w:r>
              <w:rPr>
                <w:rFonts w:hint="eastAsia"/>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839" w:type="dxa"/>
            <w:gridSpan w:val="3"/>
          </w:tcPr>
          <w:p>
            <w:pPr>
              <w:rPr>
                <w:rFonts w:hint="eastAsia"/>
              </w:rPr>
            </w:pPr>
            <w:r>
              <w:rPr>
                <w:rFonts w:hint="eastAsia"/>
              </w:rPr>
              <w:t>二、上年结转政府信息公开申请数量</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0" w:type="dxa"/>
            <w:vMerge w:val="restart"/>
            <w:vAlign w:val="center"/>
          </w:tcPr>
          <w:p>
            <w:pPr>
              <w:jc w:val="both"/>
              <w:rPr>
                <w:rFonts w:hint="eastAsia"/>
              </w:rPr>
            </w:pPr>
            <w:r>
              <w:rPr>
                <w:rFonts w:hint="eastAsia"/>
              </w:rPr>
              <w:t>三、本年度办理结果</w:t>
            </w:r>
          </w:p>
        </w:tc>
        <w:tc>
          <w:tcPr>
            <w:tcW w:w="4089"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tcPr>
          <w:p>
            <w:pPr>
              <w:rPr>
                <w:rFonts w:hint="eastAsia" w:eastAsiaTheme="minorEastAsia"/>
                <w:lang w:val="en-US" w:eastAsia="zh-CN"/>
              </w:rPr>
            </w:pPr>
            <w:r>
              <w:rPr>
                <w:rFonts w:hint="eastAsia"/>
                <w:lang w:val="en-US" w:eastAsia="zh-CN"/>
              </w:rPr>
              <w:t>1</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rPr>
                <w:rFonts w:hint="eastAsia"/>
              </w:rPr>
            </w:pPr>
          </w:p>
        </w:tc>
        <w:tc>
          <w:tcPr>
            <w:tcW w:w="4089"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50" w:type="dxa"/>
            <w:vMerge w:val="continue"/>
          </w:tcPr>
          <w:p>
            <w:pPr>
              <w:rPr>
                <w:rFonts w:hint="eastAsia"/>
              </w:rPr>
            </w:pPr>
          </w:p>
        </w:tc>
        <w:tc>
          <w:tcPr>
            <w:tcW w:w="1396"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0" w:type="dxa"/>
            <w:vMerge w:val="continue"/>
          </w:tcPr>
          <w:p>
            <w:pPr>
              <w:rPr>
                <w:rFonts w:hint="eastAsia"/>
              </w:rPr>
            </w:pPr>
          </w:p>
        </w:tc>
        <w:tc>
          <w:tcPr>
            <w:tcW w:w="1396" w:type="dxa"/>
            <w:vMerge w:val="continue"/>
            <w:vAlign w:val="center"/>
          </w:tcPr>
          <w:p>
            <w:pPr>
              <w:rPr>
                <w:rFonts w:asciiTheme="minorEastAsia" w:hAnsiTheme="minor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50" w:type="dxa"/>
            <w:vMerge w:val="continue"/>
          </w:tcPr>
          <w:p>
            <w:pPr>
              <w:rPr>
                <w:rFonts w:hint="eastAsia"/>
              </w:rPr>
            </w:pPr>
          </w:p>
        </w:tc>
        <w:tc>
          <w:tcPr>
            <w:tcW w:w="1396" w:type="dxa"/>
            <w:vMerge w:val="restart"/>
            <w:vAlign w:val="center"/>
          </w:tcPr>
          <w:p>
            <w:pPr>
              <w:rPr>
                <w:rFonts w:hint="eastAsia"/>
                <w:sz w:val="18"/>
                <w:szCs w:val="18"/>
              </w:rPr>
            </w:pPr>
            <w:r>
              <w:rPr>
                <w:rFonts w:hint="eastAsia"/>
                <w:sz w:val="18"/>
                <w:szCs w:val="18"/>
              </w:rPr>
              <w:t>（四）无法提供</w:t>
            </w:r>
          </w:p>
        </w:tc>
        <w:tc>
          <w:tcPr>
            <w:tcW w:w="2693"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rPr>
                <w:rFonts w:hint="eastAsia"/>
              </w:rPr>
            </w:pPr>
          </w:p>
        </w:tc>
        <w:tc>
          <w:tcPr>
            <w:tcW w:w="1396"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50" w:type="dxa"/>
            <w:vMerge w:val="continue"/>
          </w:tcPr>
          <w:p>
            <w:pPr>
              <w:rPr>
                <w:rFonts w:hint="eastAsia"/>
              </w:rPr>
            </w:pPr>
          </w:p>
        </w:tc>
        <w:tc>
          <w:tcPr>
            <w:tcW w:w="1396" w:type="dxa"/>
            <w:vMerge w:val="restart"/>
            <w:vAlign w:val="center"/>
          </w:tcPr>
          <w:p>
            <w:pPr>
              <w:rPr>
                <w:rFonts w:hint="eastAsia"/>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rPr>
                <w:rFonts w:hint="eastAsia"/>
              </w:rPr>
            </w:pPr>
          </w:p>
        </w:tc>
        <w:tc>
          <w:tcPr>
            <w:tcW w:w="1396"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0" w:type="dxa"/>
            <w:vMerge w:val="continue"/>
          </w:tcPr>
          <w:p>
            <w:pPr>
              <w:rPr>
                <w:rFonts w:hint="eastAsia"/>
              </w:rPr>
            </w:pPr>
          </w:p>
        </w:tc>
        <w:tc>
          <w:tcPr>
            <w:tcW w:w="1396" w:type="dxa"/>
            <w:vMerge w:val="continue"/>
          </w:tcPr>
          <w:p>
            <w:pPr>
              <w:rPr>
                <w:rFonts w:hint="eastAsia"/>
              </w:rPr>
            </w:pPr>
          </w:p>
        </w:tc>
        <w:tc>
          <w:tcPr>
            <w:tcW w:w="2693"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50" w:type="dxa"/>
            <w:vMerge w:val="continue"/>
          </w:tcPr>
          <w:p>
            <w:pPr>
              <w:rPr>
                <w:rFonts w:hint="eastAsia"/>
              </w:rPr>
            </w:pPr>
          </w:p>
        </w:tc>
        <w:tc>
          <w:tcPr>
            <w:tcW w:w="1396"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0" w:type="dxa"/>
            <w:vMerge w:val="continue"/>
          </w:tcPr>
          <w:p>
            <w:pPr>
              <w:rPr>
                <w:rFonts w:hint="eastAsia"/>
              </w:rPr>
            </w:pPr>
          </w:p>
        </w:tc>
        <w:tc>
          <w:tcPr>
            <w:tcW w:w="1396" w:type="dxa"/>
            <w:vMerge w:val="continue"/>
          </w:tcPr>
          <w:p>
            <w:pPr>
              <w:rPr>
                <w:rFonts w:hint="eastAsia"/>
              </w:rPr>
            </w:pPr>
          </w:p>
        </w:tc>
        <w:tc>
          <w:tcPr>
            <w:tcW w:w="2693"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50" w:type="dxa"/>
          </w:tcPr>
          <w:p>
            <w:pPr>
              <w:rPr>
                <w:rFonts w:hint="eastAsia"/>
              </w:rPr>
            </w:pPr>
          </w:p>
        </w:tc>
        <w:tc>
          <w:tcPr>
            <w:tcW w:w="4089" w:type="dxa"/>
            <w:gridSpan w:val="2"/>
            <w:vAlign w:val="center"/>
          </w:tcPr>
          <w:p>
            <w:pPr>
              <w:rPr>
                <w:rFonts w:hint="eastAsia"/>
                <w:sz w:val="18"/>
                <w:szCs w:val="18"/>
              </w:rPr>
            </w:pPr>
            <w:r>
              <w:rPr>
                <w:rFonts w:hint="eastAsia"/>
                <w:sz w:val="18"/>
                <w:szCs w:val="18"/>
              </w:rPr>
              <w:t>（六）其他处理</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50" w:type="dxa"/>
          </w:tcPr>
          <w:p>
            <w:pPr>
              <w:rPr>
                <w:rFonts w:hint="eastAsia"/>
              </w:rPr>
            </w:pPr>
          </w:p>
        </w:tc>
        <w:tc>
          <w:tcPr>
            <w:tcW w:w="4089" w:type="dxa"/>
            <w:gridSpan w:val="2"/>
            <w:vAlign w:val="center"/>
          </w:tcPr>
          <w:p>
            <w:pPr>
              <w:rPr>
                <w:rFonts w:hint="eastAsia"/>
                <w:sz w:val="18"/>
                <w:szCs w:val="18"/>
              </w:rPr>
            </w:pPr>
            <w:r>
              <w:rPr>
                <w:rFonts w:hint="eastAsia"/>
                <w:sz w:val="18"/>
                <w:szCs w:val="18"/>
              </w:rPr>
              <w:t>（七）总计</w:t>
            </w:r>
          </w:p>
        </w:tc>
        <w:tc>
          <w:tcPr>
            <w:tcW w:w="567" w:type="dxa"/>
          </w:tcPr>
          <w:p>
            <w:pPr>
              <w:rPr>
                <w:rFonts w:hint="eastAsia" w:eastAsiaTheme="minorEastAsia"/>
                <w:lang w:val="en-US" w:eastAsia="zh-CN"/>
              </w:rPr>
            </w:pPr>
            <w:r>
              <w:rPr>
                <w:rFonts w:hint="eastAsia"/>
                <w:lang w:val="en-US" w:eastAsia="zh-CN"/>
              </w:rPr>
              <w:t>1</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default" w:eastAsiaTheme="minorEastAsia"/>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39" w:type="dxa"/>
            <w:gridSpan w:val="3"/>
            <w:vAlign w:val="center"/>
          </w:tcPr>
          <w:p>
            <w:pPr>
              <w:rPr>
                <w:rFonts w:hint="eastAsia"/>
              </w:rPr>
            </w:pPr>
            <w:r>
              <w:rPr>
                <w:rFonts w:hint="eastAsia"/>
              </w:rPr>
              <w:t>四、结转下年度继续办理</w:t>
            </w:r>
          </w:p>
        </w:tc>
        <w:tc>
          <w:tcPr>
            <w:tcW w:w="567"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8"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709" w:type="dxa"/>
          </w:tcPr>
          <w:p>
            <w:pPr>
              <w:rPr>
                <w:rFonts w:hint="eastAsia" w:eastAsiaTheme="minorEastAsia"/>
                <w:lang w:val="en-US" w:eastAsia="zh-CN"/>
              </w:rPr>
            </w:pPr>
            <w:r>
              <w:rPr>
                <w:rFonts w:hint="eastAsia"/>
                <w:lang w:val="en-US" w:eastAsia="zh-CN"/>
              </w:rPr>
              <w:t>0</w:t>
            </w:r>
          </w:p>
        </w:tc>
        <w:tc>
          <w:tcPr>
            <w:tcW w:w="440" w:type="dxa"/>
          </w:tcPr>
          <w:p>
            <w:pPr>
              <w:rPr>
                <w:rFonts w:hint="eastAsia" w:eastAsiaTheme="minorEastAsia"/>
                <w:lang w:val="en-US" w:eastAsia="zh-CN"/>
              </w:rPr>
            </w:pPr>
            <w:r>
              <w:rPr>
                <w:rFonts w:hint="eastAsia"/>
                <w:lang w:val="en-US" w:eastAsia="zh-CN"/>
              </w:rPr>
              <w:t>0</w:t>
            </w:r>
          </w:p>
        </w:tc>
      </w:tr>
    </w:tbl>
    <w:p/>
    <w:p>
      <w:pPr>
        <w:rPr>
          <w:rFonts w:hint="eastAsia"/>
        </w:rPr>
      </w:pPr>
    </w:p>
    <w:p/>
    <w:p>
      <w:pPr>
        <w:rPr>
          <w:rFonts w:ascii="黑体" w:hAnsi="黑体" w:eastAsia="黑体"/>
          <w:b w:val="0"/>
          <w:bCs/>
          <w:sz w:val="32"/>
          <w:szCs w:val="32"/>
        </w:rPr>
      </w:pPr>
      <w:r>
        <w:rPr>
          <w:rFonts w:hint="eastAsia" w:ascii="黑体" w:hAnsi="黑体" w:eastAsia="黑体"/>
          <w:b w:val="0"/>
          <w:bCs/>
          <w:sz w:val="32"/>
          <w:szCs w:val="32"/>
        </w:rPr>
        <w:t>四</w:t>
      </w:r>
      <w:r>
        <w:rPr>
          <w:rFonts w:hint="eastAsia" w:ascii="黑体" w:hAnsi="黑体" w:eastAsia="黑体"/>
          <w:b w:val="0"/>
          <w:bCs/>
          <w:sz w:val="32"/>
          <w:szCs w:val="32"/>
          <w:lang w:eastAsia="zh-CN"/>
        </w:rPr>
        <w:t>、</w:t>
      </w:r>
      <w:r>
        <w:rPr>
          <w:rFonts w:hint="eastAsia" w:ascii="黑体" w:hAnsi="黑体" w:eastAsia="黑体"/>
          <w:b w:val="0"/>
          <w:bCs/>
          <w:sz w:val="32"/>
          <w:szCs w:val="32"/>
        </w:rPr>
        <w:t>政府信息公开行政复议、行政诉讼情况</w:t>
      </w:r>
    </w:p>
    <w:tbl>
      <w:tblPr>
        <w:tblStyle w:val="4"/>
        <w:tblW w:w="99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90"/>
        <w:gridCol w:w="675"/>
        <w:gridCol w:w="690"/>
        <w:gridCol w:w="428"/>
        <w:gridCol w:w="761"/>
        <w:gridCol w:w="709"/>
        <w:gridCol w:w="780"/>
        <w:gridCol w:w="637"/>
        <w:gridCol w:w="458"/>
        <w:gridCol w:w="660"/>
        <w:gridCol w:w="705"/>
        <w:gridCol w:w="825"/>
        <w:gridCol w:w="735"/>
        <w:gridCol w:w="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173" w:type="dxa"/>
            <w:gridSpan w:val="5"/>
            <w:vAlign w:val="center"/>
          </w:tcPr>
          <w:p>
            <w:pPr>
              <w:jc w:val="center"/>
              <w:rPr>
                <w:rFonts w:hint="eastAsia"/>
                <w:szCs w:val="21"/>
              </w:rPr>
            </w:pPr>
            <w:r>
              <w:rPr>
                <w:rFonts w:hint="eastAsia"/>
                <w:szCs w:val="21"/>
              </w:rPr>
              <w:t>行政复议</w:t>
            </w:r>
          </w:p>
        </w:tc>
        <w:tc>
          <w:tcPr>
            <w:tcW w:w="6750" w:type="dxa"/>
            <w:gridSpan w:val="10"/>
            <w:vAlign w:val="center"/>
          </w:tcPr>
          <w:p>
            <w:pPr>
              <w:jc w:val="center"/>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690" w:type="dxa"/>
            <w:vMerge w:val="restart"/>
            <w:vAlign w:val="center"/>
          </w:tcPr>
          <w:p>
            <w:pPr>
              <w:jc w:val="center"/>
              <w:rPr>
                <w:rFonts w:hint="eastAsia"/>
                <w:szCs w:val="21"/>
              </w:rPr>
            </w:pPr>
            <w:r>
              <w:rPr>
                <w:rFonts w:hint="eastAsia"/>
                <w:szCs w:val="21"/>
              </w:rPr>
              <w:t>结果维持</w:t>
            </w:r>
          </w:p>
        </w:tc>
        <w:tc>
          <w:tcPr>
            <w:tcW w:w="690" w:type="dxa"/>
            <w:vMerge w:val="restart"/>
            <w:vAlign w:val="center"/>
          </w:tcPr>
          <w:p>
            <w:pPr>
              <w:jc w:val="center"/>
              <w:rPr>
                <w:rFonts w:hint="eastAsia"/>
                <w:szCs w:val="21"/>
              </w:rPr>
            </w:pPr>
            <w:r>
              <w:rPr>
                <w:rFonts w:hint="eastAsia"/>
                <w:szCs w:val="21"/>
              </w:rPr>
              <w:t>结果纠正</w:t>
            </w:r>
          </w:p>
        </w:tc>
        <w:tc>
          <w:tcPr>
            <w:tcW w:w="675" w:type="dxa"/>
            <w:vMerge w:val="restart"/>
            <w:vAlign w:val="center"/>
          </w:tcPr>
          <w:p>
            <w:pPr>
              <w:jc w:val="center"/>
              <w:rPr>
                <w:rFonts w:hint="eastAsia"/>
                <w:szCs w:val="21"/>
              </w:rPr>
            </w:pPr>
            <w:r>
              <w:rPr>
                <w:rFonts w:hint="eastAsia"/>
                <w:szCs w:val="21"/>
              </w:rPr>
              <w:t>其他结果</w:t>
            </w:r>
          </w:p>
        </w:tc>
        <w:tc>
          <w:tcPr>
            <w:tcW w:w="690" w:type="dxa"/>
            <w:vMerge w:val="restart"/>
            <w:vAlign w:val="center"/>
          </w:tcPr>
          <w:p>
            <w:pPr>
              <w:jc w:val="center"/>
              <w:rPr>
                <w:rFonts w:hint="eastAsia"/>
                <w:szCs w:val="21"/>
              </w:rPr>
            </w:pPr>
            <w:r>
              <w:rPr>
                <w:rFonts w:hint="eastAsia"/>
                <w:szCs w:val="21"/>
              </w:rPr>
              <w:t>尚未审结</w:t>
            </w:r>
          </w:p>
        </w:tc>
        <w:tc>
          <w:tcPr>
            <w:tcW w:w="428" w:type="dxa"/>
            <w:vMerge w:val="restart"/>
            <w:vAlign w:val="center"/>
          </w:tcPr>
          <w:p>
            <w:pPr>
              <w:jc w:val="center"/>
              <w:rPr>
                <w:rFonts w:hint="eastAsia"/>
                <w:szCs w:val="21"/>
              </w:rPr>
            </w:pPr>
            <w:r>
              <w:rPr>
                <w:rFonts w:hint="eastAsia"/>
                <w:szCs w:val="21"/>
              </w:rPr>
              <w:t>总计</w:t>
            </w:r>
          </w:p>
        </w:tc>
        <w:tc>
          <w:tcPr>
            <w:tcW w:w="3345" w:type="dxa"/>
            <w:gridSpan w:val="5"/>
            <w:vAlign w:val="center"/>
          </w:tcPr>
          <w:p>
            <w:pPr>
              <w:jc w:val="center"/>
              <w:rPr>
                <w:rFonts w:hint="eastAsia"/>
                <w:szCs w:val="21"/>
              </w:rPr>
            </w:pPr>
            <w:r>
              <w:rPr>
                <w:rFonts w:hint="eastAsia"/>
                <w:szCs w:val="21"/>
              </w:rPr>
              <w:t>未经复议直接起诉</w:t>
            </w:r>
          </w:p>
        </w:tc>
        <w:tc>
          <w:tcPr>
            <w:tcW w:w="3405" w:type="dxa"/>
            <w:gridSpan w:val="5"/>
            <w:vAlign w:val="center"/>
          </w:tcPr>
          <w:p>
            <w:pPr>
              <w:jc w:val="center"/>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Merge w:val="continue"/>
            <w:vAlign w:val="center"/>
          </w:tcPr>
          <w:p>
            <w:pPr>
              <w:jc w:val="center"/>
              <w:rPr>
                <w:rFonts w:hint="eastAsia"/>
                <w:sz w:val="18"/>
                <w:szCs w:val="18"/>
              </w:rPr>
            </w:pPr>
          </w:p>
        </w:tc>
        <w:tc>
          <w:tcPr>
            <w:tcW w:w="690" w:type="dxa"/>
            <w:vMerge w:val="continue"/>
            <w:vAlign w:val="center"/>
          </w:tcPr>
          <w:p>
            <w:pPr>
              <w:jc w:val="center"/>
              <w:rPr>
                <w:rFonts w:hint="eastAsia"/>
                <w:sz w:val="18"/>
                <w:szCs w:val="18"/>
              </w:rPr>
            </w:pPr>
          </w:p>
        </w:tc>
        <w:tc>
          <w:tcPr>
            <w:tcW w:w="675" w:type="dxa"/>
            <w:vMerge w:val="continue"/>
            <w:vAlign w:val="center"/>
          </w:tcPr>
          <w:p>
            <w:pPr>
              <w:jc w:val="center"/>
              <w:rPr>
                <w:rFonts w:hint="eastAsia"/>
                <w:sz w:val="18"/>
                <w:szCs w:val="18"/>
              </w:rPr>
            </w:pPr>
          </w:p>
        </w:tc>
        <w:tc>
          <w:tcPr>
            <w:tcW w:w="690" w:type="dxa"/>
            <w:vMerge w:val="continue"/>
            <w:vAlign w:val="center"/>
          </w:tcPr>
          <w:p>
            <w:pPr>
              <w:jc w:val="center"/>
              <w:rPr>
                <w:rFonts w:hint="eastAsia"/>
                <w:szCs w:val="21"/>
              </w:rPr>
            </w:pPr>
          </w:p>
        </w:tc>
        <w:tc>
          <w:tcPr>
            <w:tcW w:w="428" w:type="dxa"/>
            <w:vMerge w:val="continue"/>
            <w:vAlign w:val="center"/>
          </w:tcPr>
          <w:p>
            <w:pPr>
              <w:jc w:val="center"/>
              <w:rPr>
                <w:rFonts w:hint="eastAsia"/>
                <w:szCs w:val="21"/>
              </w:rPr>
            </w:pPr>
          </w:p>
        </w:tc>
        <w:tc>
          <w:tcPr>
            <w:tcW w:w="761" w:type="dxa"/>
            <w:vAlign w:val="center"/>
          </w:tcPr>
          <w:p>
            <w:pPr>
              <w:jc w:val="center"/>
              <w:rPr>
                <w:rFonts w:hint="eastAsia"/>
                <w:szCs w:val="21"/>
              </w:rPr>
            </w:pPr>
            <w:r>
              <w:rPr>
                <w:rFonts w:hint="eastAsia"/>
                <w:szCs w:val="21"/>
              </w:rPr>
              <w:t>结果维持</w:t>
            </w:r>
          </w:p>
        </w:tc>
        <w:tc>
          <w:tcPr>
            <w:tcW w:w="709" w:type="dxa"/>
            <w:vAlign w:val="center"/>
          </w:tcPr>
          <w:p>
            <w:pPr>
              <w:jc w:val="center"/>
              <w:rPr>
                <w:rFonts w:hint="eastAsia"/>
                <w:szCs w:val="21"/>
              </w:rPr>
            </w:pPr>
            <w:r>
              <w:rPr>
                <w:rFonts w:hint="eastAsia"/>
                <w:szCs w:val="21"/>
              </w:rPr>
              <w:t>结果纠正</w:t>
            </w:r>
          </w:p>
        </w:tc>
        <w:tc>
          <w:tcPr>
            <w:tcW w:w="780" w:type="dxa"/>
            <w:vAlign w:val="center"/>
          </w:tcPr>
          <w:p>
            <w:pPr>
              <w:jc w:val="center"/>
              <w:rPr>
                <w:rFonts w:hint="eastAsia"/>
                <w:szCs w:val="21"/>
              </w:rPr>
            </w:pPr>
            <w:r>
              <w:rPr>
                <w:rFonts w:hint="eastAsia"/>
                <w:szCs w:val="21"/>
              </w:rPr>
              <w:t>其他结果</w:t>
            </w:r>
          </w:p>
        </w:tc>
        <w:tc>
          <w:tcPr>
            <w:tcW w:w="637" w:type="dxa"/>
            <w:vAlign w:val="center"/>
          </w:tcPr>
          <w:p>
            <w:pPr>
              <w:jc w:val="center"/>
              <w:rPr>
                <w:rFonts w:hint="eastAsia"/>
                <w:szCs w:val="21"/>
              </w:rPr>
            </w:pPr>
            <w:r>
              <w:rPr>
                <w:rFonts w:hint="eastAsia"/>
                <w:szCs w:val="21"/>
              </w:rPr>
              <w:t>尚未审结</w:t>
            </w:r>
          </w:p>
        </w:tc>
        <w:tc>
          <w:tcPr>
            <w:tcW w:w="458" w:type="dxa"/>
            <w:vAlign w:val="center"/>
          </w:tcPr>
          <w:p>
            <w:pPr>
              <w:jc w:val="center"/>
              <w:rPr>
                <w:rFonts w:hint="eastAsia"/>
                <w:szCs w:val="21"/>
              </w:rPr>
            </w:pPr>
            <w:r>
              <w:rPr>
                <w:rFonts w:hint="eastAsia"/>
                <w:szCs w:val="21"/>
              </w:rPr>
              <w:t>总计</w:t>
            </w:r>
          </w:p>
        </w:tc>
        <w:tc>
          <w:tcPr>
            <w:tcW w:w="660" w:type="dxa"/>
            <w:vAlign w:val="center"/>
          </w:tcPr>
          <w:p>
            <w:pPr>
              <w:jc w:val="center"/>
              <w:rPr>
                <w:rFonts w:hint="eastAsia"/>
                <w:szCs w:val="21"/>
              </w:rPr>
            </w:pPr>
            <w:r>
              <w:rPr>
                <w:rFonts w:hint="eastAsia"/>
                <w:szCs w:val="21"/>
              </w:rPr>
              <w:t>结果维持</w:t>
            </w:r>
          </w:p>
        </w:tc>
        <w:tc>
          <w:tcPr>
            <w:tcW w:w="705" w:type="dxa"/>
            <w:vAlign w:val="center"/>
          </w:tcPr>
          <w:p>
            <w:pPr>
              <w:jc w:val="center"/>
              <w:rPr>
                <w:rFonts w:hint="eastAsia"/>
                <w:szCs w:val="21"/>
              </w:rPr>
            </w:pPr>
            <w:r>
              <w:rPr>
                <w:rFonts w:hint="eastAsia"/>
                <w:szCs w:val="21"/>
              </w:rPr>
              <w:t>结果纠正</w:t>
            </w:r>
          </w:p>
        </w:tc>
        <w:tc>
          <w:tcPr>
            <w:tcW w:w="825" w:type="dxa"/>
            <w:vAlign w:val="center"/>
          </w:tcPr>
          <w:p>
            <w:pPr>
              <w:jc w:val="center"/>
              <w:rPr>
                <w:rFonts w:hint="eastAsia"/>
                <w:szCs w:val="21"/>
              </w:rPr>
            </w:pPr>
            <w:r>
              <w:rPr>
                <w:rFonts w:hint="eastAsia"/>
                <w:szCs w:val="21"/>
              </w:rPr>
              <w:t>其他结果</w:t>
            </w:r>
          </w:p>
        </w:tc>
        <w:tc>
          <w:tcPr>
            <w:tcW w:w="735" w:type="dxa"/>
            <w:vAlign w:val="center"/>
          </w:tcPr>
          <w:p>
            <w:pPr>
              <w:jc w:val="center"/>
              <w:rPr>
                <w:rFonts w:hint="eastAsia"/>
                <w:szCs w:val="21"/>
              </w:rPr>
            </w:pPr>
            <w:r>
              <w:rPr>
                <w:rFonts w:hint="eastAsia"/>
                <w:szCs w:val="21"/>
              </w:rPr>
              <w:t>尚未审结</w:t>
            </w:r>
          </w:p>
        </w:tc>
        <w:tc>
          <w:tcPr>
            <w:tcW w:w="480" w:type="dxa"/>
            <w:vAlign w:val="center"/>
          </w:tcPr>
          <w:p>
            <w:pPr>
              <w:jc w:val="cente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690"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690"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675" w:type="dxa"/>
            <w:vAlign w:val="center"/>
          </w:tcPr>
          <w:p>
            <w:pPr>
              <w:rPr>
                <w:rFonts w:hint="eastAsia" w:eastAsiaTheme="minorEastAsia"/>
                <w:sz w:val="18"/>
                <w:szCs w:val="18"/>
                <w:lang w:val="en-US" w:eastAsia="zh-CN"/>
              </w:rPr>
            </w:pPr>
            <w:r>
              <w:rPr>
                <w:rFonts w:hint="eastAsia"/>
                <w:sz w:val="18"/>
                <w:szCs w:val="18"/>
                <w:lang w:val="en-US" w:eastAsia="zh-CN"/>
              </w:rPr>
              <w:t>0</w:t>
            </w:r>
          </w:p>
        </w:tc>
        <w:tc>
          <w:tcPr>
            <w:tcW w:w="690" w:type="dxa"/>
            <w:vAlign w:val="center"/>
          </w:tcPr>
          <w:p>
            <w:pPr>
              <w:rPr>
                <w:rFonts w:hint="eastAsia" w:eastAsiaTheme="minorEastAsia"/>
                <w:szCs w:val="21"/>
                <w:lang w:val="en-US" w:eastAsia="zh-CN"/>
              </w:rPr>
            </w:pPr>
            <w:r>
              <w:rPr>
                <w:rFonts w:hint="eastAsia"/>
                <w:szCs w:val="21"/>
                <w:lang w:val="en-US" w:eastAsia="zh-CN"/>
              </w:rPr>
              <w:t>0</w:t>
            </w:r>
          </w:p>
        </w:tc>
        <w:tc>
          <w:tcPr>
            <w:tcW w:w="428" w:type="dxa"/>
            <w:vAlign w:val="center"/>
          </w:tcPr>
          <w:p>
            <w:pPr>
              <w:rPr>
                <w:rFonts w:hint="eastAsia" w:eastAsiaTheme="minorEastAsia"/>
                <w:szCs w:val="21"/>
                <w:lang w:val="en-US" w:eastAsia="zh-CN"/>
              </w:rPr>
            </w:pPr>
            <w:r>
              <w:rPr>
                <w:rFonts w:hint="eastAsia"/>
                <w:szCs w:val="21"/>
                <w:lang w:val="en-US" w:eastAsia="zh-CN"/>
              </w:rPr>
              <w:t>0</w:t>
            </w:r>
          </w:p>
        </w:tc>
        <w:tc>
          <w:tcPr>
            <w:tcW w:w="761"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r>
              <w:rPr>
                <w:rFonts w:hint="eastAsia"/>
                <w:szCs w:val="21"/>
                <w:lang w:val="en-US" w:eastAsia="zh-CN"/>
              </w:rPr>
              <w:t>0</w:t>
            </w:r>
          </w:p>
        </w:tc>
        <w:tc>
          <w:tcPr>
            <w:tcW w:w="780" w:type="dxa"/>
            <w:vAlign w:val="center"/>
          </w:tcPr>
          <w:p>
            <w:pPr>
              <w:rPr>
                <w:rFonts w:hint="eastAsia" w:eastAsiaTheme="minorEastAsia"/>
                <w:szCs w:val="21"/>
                <w:lang w:val="en-US" w:eastAsia="zh-CN"/>
              </w:rPr>
            </w:pPr>
            <w:r>
              <w:rPr>
                <w:rFonts w:hint="eastAsia"/>
                <w:szCs w:val="21"/>
                <w:lang w:val="en-US" w:eastAsia="zh-CN"/>
              </w:rPr>
              <w:t>0</w:t>
            </w:r>
          </w:p>
        </w:tc>
        <w:tc>
          <w:tcPr>
            <w:tcW w:w="637" w:type="dxa"/>
            <w:vAlign w:val="center"/>
          </w:tcPr>
          <w:p>
            <w:pPr>
              <w:rPr>
                <w:rFonts w:hint="eastAsia" w:eastAsiaTheme="minorEastAsia"/>
                <w:szCs w:val="21"/>
                <w:lang w:val="en-US" w:eastAsia="zh-CN"/>
              </w:rPr>
            </w:pPr>
            <w:r>
              <w:rPr>
                <w:rFonts w:hint="eastAsia"/>
                <w:szCs w:val="21"/>
                <w:lang w:val="en-US" w:eastAsia="zh-CN"/>
              </w:rPr>
              <w:t>0</w:t>
            </w:r>
          </w:p>
        </w:tc>
        <w:tc>
          <w:tcPr>
            <w:tcW w:w="458" w:type="dxa"/>
            <w:vAlign w:val="center"/>
          </w:tcPr>
          <w:p>
            <w:pPr>
              <w:rPr>
                <w:rFonts w:hint="eastAsia" w:eastAsiaTheme="minorEastAsia"/>
                <w:szCs w:val="21"/>
                <w:lang w:val="en-US" w:eastAsia="zh-CN"/>
              </w:rPr>
            </w:pPr>
            <w:r>
              <w:rPr>
                <w:rFonts w:hint="eastAsia"/>
                <w:szCs w:val="21"/>
                <w:lang w:val="en-US" w:eastAsia="zh-CN"/>
              </w:rPr>
              <w:t>0</w:t>
            </w:r>
          </w:p>
        </w:tc>
        <w:tc>
          <w:tcPr>
            <w:tcW w:w="660" w:type="dxa"/>
            <w:vAlign w:val="center"/>
          </w:tcPr>
          <w:p>
            <w:pPr>
              <w:rPr>
                <w:rFonts w:hint="eastAsia" w:eastAsiaTheme="minorEastAsia"/>
                <w:szCs w:val="21"/>
                <w:lang w:val="en-US" w:eastAsia="zh-CN"/>
              </w:rPr>
            </w:pPr>
            <w:r>
              <w:rPr>
                <w:rFonts w:hint="eastAsia"/>
                <w:szCs w:val="21"/>
                <w:lang w:val="en-US" w:eastAsia="zh-CN"/>
              </w:rPr>
              <w:t>0</w:t>
            </w:r>
          </w:p>
        </w:tc>
        <w:tc>
          <w:tcPr>
            <w:tcW w:w="705" w:type="dxa"/>
            <w:vAlign w:val="center"/>
          </w:tcPr>
          <w:p>
            <w:pPr>
              <w:rPr>
                <w:rFonts w:hint="eastAsia" w:eastAsiaTheme="minorEastAsia"/>
                <w:szCs w:val="21"/>
                <w:lang w:val="en-US" w:eastAsia="zh-CN"/>
              </w:rPr>
            </w:pPr>
            <w:r>
              <w:rPr>
                <w:rFonts w:hint="eastAsia"/>
                <w:szCs w:val="21"/>
                <w:lang w:val="en-US" w:eastAsia="zh-CN"/>
              </w:rPr>
              <w:t>0</w:t>
            </w:r>
          </w:p>
        </w:tc>
        <w:tc>
          <w:tcPr>
            <w:tcW w:w="825" w:type="dxa"/>
            <w:vAlign w:val="center"/>
          </w:tcPr>
          <w:p>
            <w:pPr>
              <w:rPr>
                <w:rFonts w:hint="eastAsia" w:eastAsiaTheme="minorEastAsia"/>
                <w:szCs w:val="21"/>
                <w:lang w:val="en-US" w:eastAsia="zh-CN"/>
              </w:rPr>
            </w:pPr>
            <w:r>
              <w:rPr>
                <w:rFonts w:hint="eastAsia"/>
                <w:szCs w:val="21"/>
                <w:lang w:val="en-US" w:eastAsia="zh-CN"/>
              </w:rPr>
              <w:t>0</w:t>
            </w:r>
          </w:p>
        </w:tc>
        <w:tc>
          <w:tcPr>
            <w:tcW w:w="735" w:type="dxa"/>
            <w:vAlign w:val="center"/>
          </w:tcPr>
          <w:p>
            <w:pPr>
              <w:rPr>
                <w:rFonts w:hint="eastAsia" w:eastAsiaTheme="minorEastAsia"/>
                <w:szCs w:val="21"/>
                <w:lang w:val="en-US" w:eastAsia="zh-CN"/>
              </w:rPr>
            </w:pPr>
            <w:r>
              <w:rPr>
                <w:rFonts w:hint="eastAsia"/>
                <w:szCs w:val="21"/>
                <w:lang w:val="en-US" w:eastAsia="zh-CN"/>
              </w:rPr>
              <w:t>0</w:t>
            </w:r>
          </w:p>
        </w:tc>
        <w:tc>
          <w:tcPr>
            <w:tcW w:w="480" w:type="dxa"/>
            <w:vAlign w:val="center"/>
          </w:tcPr>
          <w:p>
            <w:pPr>
              <w:rPr>
                <w:rFonts w:hint="eastAsia" w:eastAsiaTheme="minorEastAsia"/>
                <w:szCs w:val="21"/>
                <w:lang w:val="en-US" w:eastAsia="zh-CN"/>
              </w:rPr>
            </w:pPr>
            <w:r>
              <w:rPr>
                <w:rFonts w:hint="eastAsia"/>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b w:val="0"/>
          <w:bCs/>
          <w:sz w:val="32"/>
          <w:szCs w:val="32"/>
        </w:rPr>
      </w:pPr>
      <w:r>
        <w:rPr>
          <w:rFonts w:hint="eastAsia" w:ascii="黑体" w:hAnsi="黑体" w:eastAsia="黑体"/>
          <w:b w:val="0"/>
          <w:bCs/>
          <w:sz w:val="32"/>
          <w:szCs w:val="32"/>
          <w:lang w:val="en-US" w:eastAsia="zh-CN"/>
        </w:rPr>
        <w:t>五、</w:t>
      </w:r>
      <w:r>
        <w:rPr>
          <w:rFonts w:hint="eastAsia" w:ascii="黑体" w:hAnsi="黑体" w:eastAsia="黑体"/>
          <w:b w:val="0"/>
          <w:bCs/>
          <w:sz w:val="32"/>
          <w:szCs w:val="32"/>
        </w:rPr>
        <w:t>人大代表建议和政协委员提案办理结果公开情况</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center"/>
        <w:rPr>
          <w:rFonts w:hint="eastAsia" w:ascii="黑体" w:hAnsi="黑体" w:eastAsia="黑体"/>
          <w:b w:val="0"/>
          <w:bCs/>
          <w:sz w:val="32"/>
          <w:szCs w:val="32"/>
          <w:lang w:val="en-US" w:eastAsia="zh-CN"/>
        </w:rPr>
      </w:pPr>
      <w:r>
        <w:rPr>
          <w:rFonts w:hint="default" w:ascii="仿宋_GB2312" w:hAnsi="ˎ̥" w:eastAsia="仿宋_GB2312" w:cs="Arial"/>
          <w:color w:val="000000"/>
          <w:kern w:val="0"/>
          <w:sz w:val="32"/>
          <w:szCs w:val="32"/>
          <w:lang w:val="en-US" w:eastAsia="zh-CN"/>
        </w:rPr>
        <w:t>2019年，根据上级部门的要求对所有的建议和提案进行面对面答复，在各科室的大力支持下办理人大代表建议和政协委员提案共计27件，代表和委员们满意。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b w:val="0"/>
          <w:bCs/>
          <w:sz w:val="32"/>
          <w:szCs w:val="32"/>
        </w:rPr>
      </w:pPr>
      <w:r>
        <w:rPr>
          <w:rFonts w:hint="eastAsia" w:ascii="黑体" w:hAnsi="黑体" w:eastAsia="黑体"/>
          <w:b w:val="0"/>
          <w:bCs/>
          <w:sz w:val="32"/>
          <w:szCs w:val="32"/>
          <w:lang w:val="en-US" w:eastAsia="zh-CN"/>
        </w:rPr>
        <w:t>六</w:t>
      </w:r>
      <w:r>
        <w:rPr>
          <w:rFonts w:hint="eastAsia" w:ascii="黑体" w:hAnsi="黑体" w:eastAsia="黑体"/>
          <w:b w:val="0"/>
          <w:bCs/>
          <w:sz w:val="32"/>
          <w:szCs w:val="32"/>
        </w:rPr>
        <w:t>、存在的主要问题及改进情况</w:t>
      </w:r>
    </w:p>
    <w:p>
      <w:pPr>
        <w:keepNext w:val="0"/>
        <w:keepLines w:val="0"/>
        <w:pageBreakBefore w:val="0"/>
        <w:widowControl/>
        <w:kinsoku/>
        <w:wordWrap/>
        <w:overflowPunct/>
        <w:topLinePunct w:val="0"/>
        <w:autoSpaceDE/>
        <w:autoSpaceDN/>
        <w:bidi w:val="0"/>
        <w:adjustRightInd/>
        <w:snapToGrid w:val="0"/>
        <w:spacing w:beforeAutospacing="0" w:afterAutospacing="0" w:line="560" w:lineRule="exact"/>
        <w:ind w:firstLine="640" w:firstLineChars="200"/>
        <w:jc w:val="left"/>
        <w:textAlignment w:val="center"/>
        <w:rPr>
          <w:rFonts w:hint="eastAsia"/>
        </w:rPr>
      </w:pPr>
      <w:r>
        <w:rPr>
          <w:rFonts w:hint="eastAsia" w:ascii="仿宋_GB2312" w:hAnsi="ˎ̥" w:eastAsia="仿宋_GB2312" w:cs="Arial"/>
          <w:color w:val="000000"/>
          <w:kern w:val="0"/>
          <w:sz w:val="32"/>
          <w:szCs w:val="32"/>
        </w:rPr>
        <w:t>我单位政府信息公开工作还存在着一些问题，个别地方公开定位不到位，信息公开的不及时。为此，</w:t>
      </w:r>
      <w:r>
        <w:rPr>
          <w:rFonts w:hint="eastAsia" w:ascii="仿宋_GB2312" w:hAnsi="宋体" w:eastAsia="仿宋_GB2312" w:cs="宋体"/>
          <w:color w:val="000000"/>
          <w:kern w:val="0"/>
          <w:sz w:val="32"/>
          <w:szCs w:val="32"/>
          <w:lang w:val="en-US" w:eastAsia="zh-CN"/>
        </w:rPr>
        <w:t>2020</w:t>
      </w:r>
      <w:r>
        <w:rPr>
          <w:rFonts w:hint="eastAsia" w:ascii="仿宋_GB2312" w:hAnsi="ˎ̥" w:eastAsia="仿宋_GB2312" w:cs="Arial"/>
          <w:color w:val="000000"/>
          <w:kern w:val="0"/>
          <w:sz w:val="32"/>
          <w:szCs w:val="32"/>
        </w:rPr>
        <w:t>年我单位将认真抓好以下几个方面：</w:t>
      </w:r>
      <w:r>
        <w:rPr>
          <w:rFonts w:hint="eastAsia" w:ascii="仿宋_GB2312" w:hAnsi="ˎ̥" w:eastAsia="仿宋_GB2312" w:cs="Arial"/>
          <w:bCs/>
          <w:color w:val="000000"/>
          <w:kern w:val="0"/>
          <w:sz w:val="32"/>
          <w:szCs w:val="32"/>
        </w:rPr>
        <w:t>一是深入学习，进一步增强公开意识。</w:t>
      </w:r>
      <w:r>
        <w:rPr>
          <w:rFonts w:hint="eastAsia" w:ascii="仿宋_GB2312" w:hAnsi="ˎ̥" w:eastAsia="仿宋_GB2312" w:cs="Arial"/>
          <w:color w:val="000000"/>
          <w:kern w:val="0"/>
          <w:sz w:val="32"/>
          <w:szCs w:val="32"/>
        </w:rPr>
        <w:t>进一步学习《中华人民共和国政府信息公开条例》，提高对信息公开工作的认识，要从办人民满意的教育、规范教育行政行为和推进科学行政、依法行政、民主行政的高度，进一步提高做好政府信息公开工作的自觉性。</w:t>
      </w:r>
      <w:r>
        <w:rPr>
          <w:rFonts w:hint="eastAsia" w:ascii="仿宋_GB2312" w:hAnsi="ˎ̥" w:eastAsia="仿宋_GB2312" w:cs="Arial"/>
          <w:bCs/>
          <w:color w:val="000000"/>
          <w:kern w:val="0"/>
          <w:sz w:val="32"/>
          <w:szCs w:val="32"/>
        </w:rPr>
        <w:t>二是加强督查，进一步提高公开质量。</w:t>
      </w:r>
      <w:r>
        <w:rPr>
          <w:rFonts w:hint="eastAsia" w:ascii="仿宋_GB2312" w:hAnsi="ˎ̥" w:eastAsia="仿宋_GB2312" w:cs="Arial"/>
          <w:color w:val="000000"/>
          <w:kern w:val="0"/>
          <w:sz w:val="32"/>
          <w:szCs w:val="32"/>
        </w:rPr>
        <w:t>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w:t>
      </w:r>
      <w:r>
        <w:rPr>
          <w:rFonts w:hint="eastAsia" w:ascii="仿宋_GB2312" w:hAnsi="ˎ̥" w:eastAsia="仿宋_GB2312" w:cs="Arial"/>
          <w:bCs/>
          <w:color w:val="000000"/>
          <w:kern w:val="0"/>
          <w:sz w:val="32"/>
          <w:szCs w:val="32"/>
        </w:rPr>
        <w:t>三是突出重点，进一步提高公开实效。</w:t>
      </w:r>
      <w:r>
        <w:rPr>
          <w:rFonts w:hint="eastAsia" w:ascii="仿宋_GB2312" w:hAnsi="ˎ̥" w:eastAsia="仿宋_GB2312" w:cs="Arial"/>
          <w:color w:val="000000"/>
          <w:kern w:val="0"/>
          <w:sz w:val="32"/>
          <w:szCs w:val="32"/>
        </w:rPr>
        <w:t>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r>
        <w:rPr>
          <w:rFonts w:hint="eastAsia"/>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七、其他需要报告的事项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ˎ̥" w:eastAsia="仿宋_GB2312" w:cs="Arial"/>
          <w:color w:val="000000"/>
          <w:kern w:val="0"/>
          <w:sz w:val="32"/>
          <w:szCs w:val="32"/>
          <w:lang w:val="en-US" w:eastAsia="zh-CN" w:bidi="ar-SA"/>
        </w:rPr>
      </w:pPr>
      <w:r>
        <w:rPr>
          <w:rFonts w:hint="eastAsia" w:ascii="仿宋_GB2312" w:hAnsi="ˎ̥" w:eastAsia="仿宋_GB2312" w:cs="Arial"/>
          <w:color w:val="000000"/>
          <w:kern w:val="0"/>
          <w:sz w:val="32"/>
          <w:szCs w:val="32"/>
          <w:lang w:val="en-US" w:eastAsia="zh-CN" w:bidi="ar-SA"/>
        </w:rPr>
        <w:t>无</w:t>
      </w:r>
    </w:p>
    <w:p>
      <w:pPr>
        <w:keepNext w:val="0"/>
        <w:keepLines w:val="0"/>
        <w:pageBreakBefore w:val="0"/>
        <w:widowControl/>
        <w:kinsoku/>
        <w:wordWrap/>
        <w:overflowPunct/>
        <w:topLinePunct w:val="0"/>
        <w:autoSpaceDE/>
        <w:autoSpaceDN/>
        <w:bidi w:val="0"/>
        <w:adjustRightInd/>
        <w:snapToGrid w:val="0"/>
        <w:spacing w:line="560" w:lineRule="exact"/>
        <w:jc w:val="left"/>
        <w:textAlignment w:val="center"/>
        <w:rPr>
          <w:rFonts w:hint="eastAsia"/>
        </w:rPr>
      </w:pPr>
    </w:p>
    <w:p>
      <w:pPr>
        <w:widowControl/>
        <w:snapToGrid w:val="0"/>
        <w:spacing w:line="560" w:lineRule="exact"/>
        <w:ind w:firstLine="420" w:firstLineChars="200"/>
        <w:jc w:val="left"/>
        <w:textAlignment w:val="center"/>
        <w:rPr>
          <w:rFonts w:hint="eastAsia"/>
        </w:rPr>
      </w:pPr>
    </w:p>
    <w:p>
      <w:pPr>
        <w:widowControl/>
        <w:snapToGrid w:val="0"/>
        <w:spacing w:line="560" w:lineRule="exact"/>
        <w:ind w:firstLine="4800" w:firstLineChars="1500"/>
        <w:jc w:val="left"/>
        <w:textAlignment w:val="center"/>
        <w:rPr>
          <w:rFonts w:hint="default"/>
          <w:sz w:val="32"/>
          <w:szCs w:val="32"/>
          <w:lang w:val="en-US" w:eastAsia="zh-CN"/>
        </w:rPr>
      </w:pPr>
      <w:r>
        <w:rPr>
          <w:rFonts w:hint="eastAsia"/>
          <w:sz w:val="32"/>
          <w:szCs w:val="32"/>
          <w:lang w:val="en-US" w:eastAsia="zh-CN"/>
        </w:rPr>
        <w:t>2020年1月15日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Microsoft JhengHei Light"/>
    <w:panose1 w:val="00000000000000000000"/>
    <w:charset w:val="00"/>
    <w:family w:val="roman"/>
    <w:pitch w:val="default"/>
    <w:sig w:usb0="00000000" w:usb1="00000000" w:usb2="00000000"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E03F11"/>
    <w:rsid w:val="00E04258"/>
    <w:rsid w:val="00E82A61"/>
    <w:rsid w:val="00EA3993"/>
    <w:rsid w:val="00FA3378"/>
    <w:rsid w:val="00FE3091"/>
    <w:rsid w:val="03AB4D2E"/>
    <w:rsid w:val="04F75A89"/>
    <w:rsid w:val="08B85395"/>
    <w:rsid w:val="09AC15C9"/>
    <w:rsid w:val="0E2933A2"/>
    <w:rsid w:val="143605C6"/>
    <w:rsid w:val="1C033CE0"/>
    <w:rsid w:val="28AC3C02"/>
    <w:rsid w:val="29E16A94"/>
    <w:rsid w:val="2B4D4ADF"/>
    <w:rsid w:val="35DD765C"/>
    <w:rsid w:val="3CB20490"/>
    <w:rsid w:val="400023E4"/>
    <w:rsid w:val="46215953"/>
    <w:rsid w:val="4DE93206"/>
    <w:rsid w:val="6AA138F1"/>
    <w:rsid w:val="7BF47A65"/>
    <w:rsid w:val="7D004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19</TotalTime>
  <ScaleCrop>false</ScaleCrop>
  <LinksUpToDate>false</LinksUpToDate>
  <CharactersWithSpaces>1154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csm</cp:lastModifiedBy>
  <dcterms:modified xsi:type="dcterms:W3CDTF">2021-02-24T02:03:19Z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