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bookmarkStart w:id="0" w:name="_GoBack"/>
      <w:r>
        <w:rPr>
          <w:rFonts w:hint="eastAsia" w:ascii="方正小标宋简体" w:hAnsi="方正小标宋简体" w:eastAsia="方正小标宋简体" w:cs="方正小标宋简体"/>
          <w:b w:val="0"/>
          <w:bCs/>
          <w:sz w:val="44"/>
          <w:szCs w:val="44"/>
          <w:lang w:val="en-US" w:eastAsia="zh-CN"/>
        </w:rPr>
        <w:t>2019年度桓台县科学技术局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政府信息公开工作年度报告</w:t>
      </w:r>
      <w:bookmarkEnd w:id="0"/>
    </w:p>
    <w:p>
      <w:pPr>
        <w:rPr>
          <w:rFonts w:hint="eastAsia" w:ascii="黑体" w:hAnsi="黑体" w:eastAsia="黑体" w:cs="黑体"/>
          <w:b w:val="0"/>
          <w:bCs/>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kern w:val="0"/>
          <w:sz w:val="32"/>
          <w:szCs w:val="32"/>
        </w:rPr>
        <w:t>《中华人民共和国政府信息公开条例》要求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桓台县</w:t>
      </w:r>
      <w:r>
        <w:rPr>
          <w:rFonts w:hint="eastAsia" w:ascii="仿宋_GB2312" w:hAnsi="仿宋_GB2312" w:eastAsia="仿宋_GB2312" w:cs="仿宋_GB2312"/>
          <w:color w:val="000000"/>
          <w:kern w:val="0"/>
          <w:sz w:val="32"/>
          <w:szCs w:val="32"/>
          <w:lang w:val="en-US" w:eastAsia="zh-CN"/>
        </w:rPr>
        <w:t>地方科学技术局坚持“严格依法、全面真实、注重实效、及时便民”的政府信息公开原则，</w:t>
      </w:r>
      <w:r>
        <w:rPr>
          <w:rFonts w:hint="eastAsia" w:ascii="仿宋_GB2312" w:hAnsi="仿宋_GB2312" w:eastAsia="仿宋_GB2312" w:cs="仿宋_GB2312"/>
          <w:kern w:val="2"/>
          <w:sz w:val="32"/>
          <w:szCs w:val="32"/>
          <w:shd w:val="clear" w:fill="FFFFFF"/>
          <w:lang w:val="en-US" w:eastAsia="zh-CN" w:bidi="ar"/>
        </w:rPr>
        <w:t>健全政务信息公开机制，严格政务信息公开程序，规范政务信息公开内容，加大重点领域信息公开力度，</w:t>
      </w:r>
      <w:r>
        <w:rPr>
          <w:rFonts w:hint="eastAsia" w:ascii="仿宋_GB2312" w:hAnsi="仿宋_GB2312" w:eastAsia="仿宋_GB2312" w:cs="仿宋_GB2312"/>
          <w:b w:val="0"/>
          <w:i w:val="0"/>
          <w:caps w:val="0"/>
          <w:spacing w:val="0"/>
          <w:kern w:val="0"/>
          <w:sz w:val="32"/>
          <w:szCs w:val="32"/>
          <w:shd w:val="clear" w:fill="FFFFFF"/>
          <w:lang w:val="en-US" w:eastAsia="zh-CN" w:bidi="ar"/>
        </w:rPr>
        <w:t>不断提高政务服务水平，扎实推进政务信息公开工作</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（一）政务信息公开组织领导和制度建设情况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一是健全组织机构，及时调整我局政府信息公开工作领导小组，形成主要领导亲自抓、分管领导具体抓、各科室负责人各负其责</w:t>
      </w:r>
      <w:r>
        <w:rPr>
          <w:rFonts w:hint="eastAsia" w:ascii="仿宋_GB2312" w:hAnsi="仿宋_GB2312" w:eastAsia="仿宋_GB2312" w:cs="仿宋_GB2312"/>
          <w:color w:val="000000"/>
          <w:sz w:val="32"/>
          <w:szCs w:val="32"/>
        </w:rPr>
        <w:t>的良好组织领导体系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并由</w:t>
      </w:r>
      <w:r>
        <w:rPr>
          <w:rFonts w:hint="eastAsia" w:ascii="仿宋_GB2312" w:hAnsi="仿宋_GB2312" w:eastAsia="仿宋_GB2312" w:cs="仿宋_GB2312"/>
          <w:color w:val="000000"/>
          <w:kern w:val="0"/>
          <w:sz w:val="32"/>
          <w:szCs w:val="32"/>
          <w:lang w:val="en-US" w:eastAsia="zh-CN"/>
        </w:rPr>
        <w:t>专人负责信息公开工作，确保重要信息不漏报、不迟报、不误报。二是明确工作制度。结合科技业务工作工作实际，以</w:t>
      </w:r>
      <w:r>
        <w:rPr>
          <w:rFonts w:hint="eastAsia" w:ascii="仿宋_GB2312" w:hAnsi="仿宋_GB2312" w:eastAsia="仿宋_GB2312" w:cs="仿宋_GB2312"/>
          <w:color w:val="000000"/>
          <w:sz w:val="32"/>
          <w:szCs w:val="32"/>
        </w:rPr>
        <w:t>建设“阳光机关”为导向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完善各项规章制度，</w:t>
      </w:r>
      <w:r>
        <w:rPr>
          <w:rFonts w:hint="eastAsia" w:ascii="仿宋_GB2312" w:hAnsi="仿宋_GB2312" w:eastAsia="仿宋_GB2312" w:cs="仿宋_GB2312"/>
          <w:color w:val="000000"/>
          <w:kern w:val="0"/>
          <w:sz w:val="32"/>
          <w:szCs w:val="32"/>
          <w:lang w:val="en-US" w:eastAsia="zh-CN"/>
        </w:rPr>
        <w:t>深入推行政府信息公开工作。三是加强学习培训，组织干部职工学习信息公开的有关知识和相关保密条例，保证既维护好相关机密信息的机密性，又能及时细致地公开科技工作各方面的情况，确保政府信息公开工作规范化和科学化。</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240" w:lineRule="auto"/>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（二）政务信息公开情况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县科技局认真梳理政务信息</w:t>
      </w:r>
      <w:r>
        <w:rPr>
          <w:rFonts w:hint="eastAsia" w:ascii="仿宋_GB2312" w:hAnsi="仿宋_GB2312" w:eastAsia="仿宋_GB2312" w:cs="仿宋_GB2312"/>
          <w:color w:val="000000"/>
          <w:sz w:val="32"/>
          <w:szCs w:val="32"/>
        </w:rPr>
        <w:t>，按照信息公开目录</w:t>
      </w:r>
      <w:r>
        <w:rPr>
          <w:rFonts w:hint="eastAsia" w:ascii="仿宋_GB2312" w:hAnsi="仿宋_GB2312" w:eastAsia="仿宋_GB2312" w:cs="仿宋_GB2312"/>
          <w:color w:val="000000"/>
          <w:sz w:val="32"/>
          <w:szCs w:val="32"/>
          <w:lang w:val="en-US" w:eastAsia="zh-CN"/>
        </w:rPr>
        <w:t>进行</w:t>
      </w:r>
      <w:r>
        <w:rPr>
          <w:rFonts w:hint="eastAsia" w:ascii="仿宋_GB2312" w:hAnsi="仿宋_GB2312" w:eastAsia="仿宋_GB2312" w:cs="仿宋_GB2312"/>
          <w:color w:val="000000"/>
          <w:sz w:val="32"/>
          <w:szCs w:val="32"/>
        </w:rPr>
        <w:t>分类，</w:t>
      </w:r>
      <w:r>
        <w:rPr>
          <w:rFonts w:hint="eastAsia" w:ascii="仿宋_GB2312" w:hAnsi="仿宋_GB2312" w:eastAsia="仿宋_GB2312" w:cs="仿宋_GB2312"/>
          <w:color w:val="000000"/>
          <w:sz w:val="32"/>
          <w:szCs w:val="32"/>
          <w:lang w:val="en-US" w:eastAsia="zh-CN"/>
        </w:rPr>
        <w:t>并及时进行信息公开。以</w:t>
      </w:r>
      <w:r>
        <w:rPr>
          <w:rFonts w:hint="eastAsia" w:ascii="仿宋_GB2312" w:hAnsi="仿宋_GB2312" w:eastAsia="仿宋_GB2312" w:cs="仿宋_GB2312"/>
          <w:color w:val="000000"/>
          <w:sz w:val="32"/>
          <w:szCs w:val="32"/>
        </w:rPr>
        <w:t>桓台政务网政务公开专栏</w:t>
      </w:r>
      <w:r>
        <w:rPr>
          <w:rFonts w:hint="eastAsia" w:ascii="仿宋_GB2312" w:hAnsi="仿宋_GB2312" w:eastAsia="仿宋_GB2312" w:cs="仿宋_GB2312"/>
          <w:color w:val="000000"/>
          <w:sz w:val="32"/>
          <w:szCs w:val="32"/>
          <w:lang w:val="en-US" w:eastAsia="zh-CN"/>
        </w:rPr>
        <w:t>为平台，</w:t>
      </w:r>
      <w:r>
        <w:rPr>
          <w:rFonts w:hint="eastAsia" w:ascii="仿宋_GB2312" w:hAnsi="仿宋_GB2312" w:eastAsia="仿宋_GB2312" w:cs="仿宋_GB2312"/>
          <w:color w:val="000000"/>
          <w:sz w:val="32"/>
          <w:szCs w:val="32"/>
        </w:rPr>
        <w:t>点击相关栏目可以查阅主动公开的</w:t>
      </w:r>
      <w:r>
        <w:rPr>
          <w:rFonts w:hint="eastAsia" w:ascii="仿宋_GB2312" w:hAnsi="仿宋_GB2312" w:eastAsia="仿宋_GB2312" w:cs="仿宋_GB2312"/>
          <w:color w:val="000000"/>
          <w:sz w:val="32"/>
          <w:szCs w:val="32"/>
          <w:lang w:val="en-US" w:eastAsia="zh-CN"/>
        </w:rPr>
        <w:t>政务</w:t>
      </w:r>
      <w:r>
        <w:rPr>
          <w:rFonts w:hint="eastAsia" w:ascii="仿宋_GB2312" w:hAnsi="仿宋_GB2312" w:eastAsia="仿宋_GB2312" w:cs="仿宋_GB2312"/>
          <w:color w:val="000000"/>
          <w:sz w:val="32"/>
          <w:szCs w:val="32"/>
        </w:rPr>
        <w:t>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截止到201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信息共1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依法维护广大群众合法利益起到了良好的作用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有效地向广大企业宣传了各级科技部门的科技政策，切实促进了全县企业自主创新能力的提升。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政府信息公开申请的办理情况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年12月，我局未收到任何形式的申请公开信息要求。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政府信息公开的收费及减免情况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我局实行免费提供政府信息公开。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年1月至201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年12月，我局未接到针对本部门有关政府信息公开事务的行政复议和诉讼案件。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p>
      <w:pPr>
        <w:rPr>
          <w:rFonts w:hint="eastAsia"/>
          <w:b/>
          <w:sz w:val="24"/>
          <w:szCs w:val="24"/>
        </w:rPr>
      </w:pP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rFonts w:hint="eastAsia"/>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sz w:val="24"/>
                <w:szCs w:val="24"/>
              </w:rPr>
            </w:pPr>
            <w:r>
              <w:rPr>
                <w:rFonts w:hint="eastAsia"/>
                <w:sz w:val="24"/>
                <w:szCs w:val="24"/>
              </w:rPr>
              <w:t>规章</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sz w:val="24"/>
                <w:szCs w:val="24"/>
              </w:rPr>
            </w:pPr>
            <w:r>
              <w:rPr>
                <w:rFonts w:hint="eastAsia"/>
                <w:sz w:val="24"/>
                <w:szCs w:val="24"/>
              </w:rPr>
              <w:t>规范性文件</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sz w:val="24"/>
                <w:szCs w:val="24"/>
              </w:rPr>
            </w:pPr>
            <w:r>
              <w:rPr>
                <w:rFonts w:hint="eastAsia"/>
                <w:sz w:val="24"/>
                <w:szCs w:val="24"/>
              </w:rPr>
              <w:t>行政许可</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sz w:val="24"/>
                <w:szCs w:val="24"/>
              </w:rPr>
            </w:pPr>
            <w:r>
              <w:rPr>
                <w:rFonts w:hint="eastAsia"/>
                <w:sz w:val="24"/>
                <w:szCs w:val="24"/>
              </w:rPr>
              <w:t>其他对外管理服务事项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行政处罚</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行政强制</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4252" w:type="dxa"/>
            <w:gridSpan w:val="2"/>
            <w:vAlign w:val="center"/>
          </w:tcPr>
          <w:p>
            <w:pPr>
              <w:jc w:val="center"/>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sz w:val="24"/>
                <w:szCs w:val="24"/>
              </w:rPr>
            </w:pPr>
            <w:r>
              <w:rPr>
                <w:rFonts w:hint="eastAsia"/>
                <w:sz w:val="24"/>
                <w:szCs w:val="24"/>
              </w:rPr>
              <w:t>行政事业性收费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left"/>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采购项目数量</w:t>
            </w:r>
          </w:p>
        </w:tc>
        <w:tc>
          <w:tcPr>
            <w:tcW w:w="4252" w:type="dxa"/>
            <w:gridSpan w:val="2"/>
            <w:vAlign w:val="center"/>
          </w:tcPr>
          <w:p>
            <w:pPr>
              <w:jc w:val="center"/>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sz w:val="24"/>
                <w:szCs w:val="24"/>
              </w:rPr>
            </w:pPr>
            <w:r>
              <w:rPr>
                <w:rFonts w:hint="eastAsia"/>
                <w:sz w:val="24"/>
                <w:szCs w:val="24"/>
              </w:rPr>
              <w:t>政府集中采购</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rPr>
                <w:rFonts w:hint="eastAsia" w:eastAsiaTheme="minorEastAsia"/>
                <w:sz w:val="24"/>
                <w:szCs w:val="24"/>
                <w:lang w:val="en-US" w:eastAsia="zh-CN"/>
              </w:rPr>
            </w:pPr>
            <w:r>
              <w:rPr>
                <w:rFonts w:hint="eastAsia"/>
                <w:sz w:val="24"/>
                <w:szCs w:val="24"/>
                <w:lang w:val="en-US" w:eastAsia="zh-CN"/>
              </w:rPr>
              <w:t>0</w:t>
            </w:r>
          </w:p>
        </w:tc>
      </w:tr>
    </w:tbl>
    <w:p>
      <w:pPr>
        <w:rPr>
          <w:rFonts w:hint="eastAsia"/>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b/>
          <w:sz w:val="28"/>
          <w:szCs w:val="28"/>
        </w:rPr>
      </w:pPr>
    </w:p>
    <w:p>
      <w:pPr>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20" w:type="dxa"/>
            <w:gridSpan w:val="3"/>
            <w:vMerge w:val="restart"/>
            <w:vAlign w:val="center"/>
          </w:tcPr>
          <w:p>
            <w:pPr>
              <w:rPr>
                <w:rFonts w:hint="eastAsia"/>
              </w:rPr>
            </w:pPr>
            <w:r>
              <w:rPr>
                <w:rFonts w:hint="eastAsia"/>
              </w:rPr>
              <w:t>（本列数据的勾稽关系为：第一项加第二项之和，等于第三项加第四项之和）</w:t>
            </w:r>
          </w:p>
        </w:tc>
        <w:tc>
          <w:tcPr>
            <w:tcW w:w="4961" w:type="dxa"/>
            <w:gridSpan w:val="7"/>
            <w:vAlign w:val="center"/>
          </w:tcPr>
          <w:p>
            <w:pPr>
              <w:jc w:val="center"/>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820" w:type="dxa"/>
            <w:gridSpan w:val="3"/>
            <w:vMerge w:val="continue"/>
          </w:tcPr>
          <w:p>
            <w:pPr>
              <w:rPr>
                <w:rFonts w:hint="eastAsia"/>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法人或其他组织</w:t>
            </w:r>
          </w:p>
        </w:tc>
        <w:tc>
          <w:tcPr>
            <w:tcW w:w="850" w:type="dxa"/>
            <w:vMerge w:val="restart"/>
            <w:vAlign w:val="center"/>
          </w:tcPr>
          <w:p>
            <w:pP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4820" w:type="dxa"/>
            <w:gridSpan w:val="3"/>
            <w:vMerge w:val="continue"/>
          </w:tcPr>
          <w:p>
            <w:pPr>
              <w:rPr>
                <w:rFonts w:hint="eastAsia"/>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其他</w:t>
            </w:r>
          </w:p>
        </w:tc>
        <w:tc>
          <w:tcPr>
            <w:tcW w:w="850"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820" w:type="dxa"/>
            <w:gridSpan w:val="3"/>
          </w:tcPr>
          <w:p>
            <w:pPr>
              <w:rPr>
                <w:rFonts w:hint="eastAsia"/>
              </w:rPr>
            </w:pPr>
            <w:r>
              <w:rPr>
                <w:rFonts w:hint="eastAsia"/>
              </w:rPr>
              <w:t>一、本年新收政府信息公开申请数量</w:t>
            </w:r>
          </w:p>
        </w:tc>
        <w:tc>
          <w:tcPr>
            <w:tcW w:w="567" w:type="dxa"/>
          </w:tcPr>
          <w:p>
            <w:pPr>
              <w:rPr>
                <w:rFonts w:hint="eastAsia"/>
              </w:rPr>
            </w:pPr>
          </w:p>
        </w:tc>
        <w:tc>
          <w:tcPr>
            <w:tcW w:w="709" w:type="dxa"/>
            <w:vAlign w:val="center"/>
          </w:tcPr>
          <w:p>
            <w:pPr>
              <w:rPr>
                <w:rFonts w:hint="eastAsia"/>
                <w:szCs w:val="21"/>
              </w:rPr>
            </w:pPr>
          </w:p>
        </w:tc>
        <w:tc>
          <w:tcPr>
            <w:tcW w:w="708"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850" w:type="dxa"/>
            <w:vAlign w:val="center"/>
          </w:tcPr>
          <w:p>
            <w:pP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820" w:type="dxa"/>
            <w:gridSpan w:val="3"/>
          </w:tcPr>
          <w:p>
            <w:pPr>
              <w:rPr>
                <w:rFonts w:hint="eastAsia"/>
              </w:rPr>
            </w:pPr>
            <w:r>
              <w:rPr>
                <w:rFonts w:hint="eastAsia"/>
              </w:rPr>
              <w:t>二、上年结转政府信息公开申请数量</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67" w:type="dxa"/>
            <w:vMerge w:val="restart"/>
            <w:vAlign w:val="center"/>
          </w:tcPr>
          <w:p>
            <w:pPr>
              <w:jc w:val="both"/>
              <w:rPr>
                <w:rFonts w:hint="eastAsia"/>
              </w:rPr>
            </w:pPr>
            <w:r>
              <w:rPr>
                <w:rFonts w:hint="eastAsia"/>
              </w:rPr>
              <w:t>三、本年度办理结果</w:t>
            </w:r>
          </w:p>
        </w:tc>
        <w:tc>
          <w:tcPr>
            <w:tcW w:w="4253"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67" w:type="dxa"/>
            <w:vMerge w:val="continue"/>
          </w:tcPr>
          <w:p>
            <w:pPr>
              <w:rPr>
                <w:rFonts w:hint="eastAsia"/>
              </w:rPr>
            </w:pPr>
          </w:p>
        </w:tc>
        <w:tc>
          <w:tcPr>
            <w:tcW w:w="4253"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67" w:type="dxa"/>
            <w:vMerge w:val="continue"/>
          </w:tcPr>
          <w:p>
            <w:pPr>
              <w:rPr>
                <w:rFonts w:hint="eastAsia"/>
              </w:rPr>
            </w:pPr>
          </w:p>
        </w:tc>
        <w:tc>
          <w:tcPr>
            <w:tcW w:w="1560"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7" w:type="dxa"/>
            <w:vMerge w:val="continue"/>
          </w:tcPr>
          <w:p>
            <w:pPr>
              <w:rPr>
                <w:rFonts w:hint="eastAsia"/>
              </w:rPr>
            </w:pPr>
          </w:p>
        </w:tc>
        <w:tc>
          <w:tcPr>
            <w:tcW w:w="1560" w:type="dxa"/>
            <w:vMerge w:val="continue"/>
            <w:vAlign w:val="center"/>
          </w:tcPr>
          <w:p>
            <w:pPr>
              <w:rPr>
                <w:rFonts w:asciiTheme="minorEastAsia" w:hAnsiTheme="minor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67" w:type="dxa"/>
            <w:vMerge w:val="continue"/>
          </w:tcPr>
          <w:p>
            <w:pPr>
              <w:rPr>
                <w:rFonts w:hint="eastAsia"/>
              </w:rPr>
            </w:pPr>
          </w:p>
        </w:tc>
        <w:tc>
          <w:tcPr>
            <w:tcW w:w="1560" w:type="dxa"/>
            <w:vMerge w:val="restart"/>
            <w:vAlign w:val="center"/>
          </w:tcPr>
          <w:p>
            <w:pPr>
              <w:rPr>
                <w:rFonts w:hint="eastAsia"/>
                <w:sz w:val="18"/>
                <w:szCs w:val="18"/>
              </w:rPr>
            </w:pPr>
            <w:r>
              <w:rPr>
                <w:rFonts w:hint="eastAsia"/>
                <w:sz w:val="18"/>
                <w:szCs w:val="18"/>
              </w:rPr>
              <w:t>（四）无法提供</w:t>
            </w:r>
          </w:p>
        </w:tc>
        <w:tc>
          <w:tcPr>
            <w:tcW w:w="2693"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67" w:type="dxa"/>
            <w:vMerge w:val="continue"/>
          </w:tcPr>
          <w:p>
            <w:pPr>
              <w:rPr>
                <w:rFonts w:hint="eastAsia"/>
              </w:rPr>
            </w:pPr>
          </w:p>
        </w:tc>
        <w:tc>
          <w:tcPr>
            <w:tcW w:w="1560" w:type="dxa"/>
            <w:vMerge w:val="restart"/>
            <w:vAlign w:val="center"/>
          </w:tcPr>
          <w:p>
            <w:pPr>
              <w:rPr>
                <w:rFonts w:hint="eastAsia"/>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tcPr>
          <w:p>
            <w:pPr>
              <w:rPr>
                <w:rFonts w:hint="eastAsia"/>
              </w:rPr>
            </w:pPr>
          </w:p>
        </w:tc>
        <w:tc>
          <w:tcPr>
            <w:tcW w:w="2693"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67" w:type="dxa"/>
          </w:tcPr>
          <w:p>
            <w:pPr>
              <w:rPr>
                <w:rFonts w:hint="eastAsia"/>
              </w:rPr>
            </w:pPr>
          </w:p>
        </w:tc>
        <w:tc>
          <w:tcPr>
            <w:tcW w:w="4253" w:type="dxa"/>
            <w:gridSpan w:val="2"/>
            <w:vAlign w:val="center"/>
          </w:tcPr>
          <w:p>
            <w:pPr>
              <w:rPr>
                <w:rFonts w:hint="eastAsia"/>
                <w:sz w:val="18"/>
                <w:szCs w:val="18"/>
              </w:rPr>
            </w:pPr>
            <w:r>
              <w:rPr>
                <w:rFonts w:hint="eastAsia"/>
                <w:sz w:val="18"/>
                <w:szCs w:val="18"/>
              </w:rPr>
              <w:t>（六）其他处理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7" w:type="dxa"/>
          </w:tcPr>
          <w:p>
            <w:pPr>
              <w:rPr>
                <w:rFonts w:hint="eastAsia"/>
              </w:rPr>
            </w:pPr>
          </w:p>
        </w:tc>
        <w:tc>
          <w:tcPr>
            <w:tcW w:w="4253" w:type="dxa"/>
            <w:gridSpan w:val="2"/>
            <w:vAlign w:val="center"/>
          </w:tcPr>
          <w:p>
            <w:pPr>
              <w:rPr>
                <w:rFonts w:hint="eastAsia"/>
                <w:sz w:val="18"/>
                <w:szCs w:val="18"/>
              </w:rPr>
            </w:pPr>
            <w:r>
              <w:rPr>
                <w:rFonts w:hint="eastAsia"/>
                <w:sz w:val="18"/>
                <w:szCs w:val="18"/>
              </w:rPr>
              <w:t>（七）总计</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hint="eastAsia"/>
              </w:rPr>
            </w:pPr>
            <w:r>
              <w:rPr>
                <w:rFonts w:hint="eastAsia"/>
              </w:rPr>
              <w:t>四、结转下年度继续办理</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bl>
    <w:p/>
    <w:p>
      <w:pPr>
        <w:rPr>
          <w:rFonts w:hint="eastAsia"/>
        </w:rPr>
      </w:pPr>
    </w:p>
    <w:p>
      <w:pPr>
        <w:rPr>
          <w:rFonts w:ascii="黑体" w:hAnsi="黑体" w:eastAsia="黑体"/>
          <w:b w:val="0"/>
          <w:bCs/>
          <w:sz w:val="32"/>
          <w:szCs w:val="32"/>
        </w:rPr>
      </w:pPr>
      <w:r>
        <w:rPr>
          <w:rFonts w:hint="eastAsia" w:ascii="黑体" w:hAnsi="黑体" w:eastAsia="黑体"/>
          <w:b w:val="0"/>
          <w:bCs/>
          <w:sz w:val="32"/>
          <w:szCs w:val="32"/>
        </w:rPr>
        <w:t>四</w:t>
      </w:r>
      <w:r>
        <w:rPr>
          <w:rFonts w:hint="eastAsia" w:ascii="黑体" w:hAnsi="黑体" w:eastAsia="黑体"/>
          <w:b w:val="0"/>
          <w:bCs/>
          <w:sz w:val="32"/>
          <w:szCs w:val="32"/>
          <w:lang w:eastAsia="zh-CN"/>
        </w:rPr>
        <w:t>、</w:t>
      </w:r>
      <w:r>
        <w:rPr>
          <w:rFonts w:hint="eastAsia" w:ascii="黑体" w:hAnsi="黑体" w:eastAsia="黑体"/>
          <w:b w:val="0"/>
          <w:bCs/>
          <w:sz w:val="32"/>
          <w:szCs w:val="32"/>
        </w:rPr>
        <w:t>政府信息公开行政复议、行政诉讼情况</w:t>
      </w:r>
    </w:p>
    <w:tbl>
      <w:tblPr>
        <w:tblStyle w:val="4"/>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eastAsia"/>
                <w:szCs w:val="21"/>
              </w:rPr>
            </w:pPr>
            <w:r>
              <w:rPr>
                <w:rFonts w:hint="eastAsia"/>
                <w:szCs w:val="21"/>
              </w:rPr>
              <w:t>行政复议</w:t>
            </w:r>
          </w:p>
        </w:tc>
        <w:tc>
          <w:tcPr>
            <w:tcW w:w="6804" w:type="dxa"/>
            <w:gridSpan w:val="10"/>
            <w:vAlign w:val="center"/>
          </w:tcPr>
          <w:p>
            <w:pPr>
              <w:jc w:val="center"/>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eastAsia"/>
                <w:szCs w:val="21"/>
              </w:rPr>
            </w:pPr>
            <w:r>
              <w:rPr>
                <w:rFonts w:hint="eastAsia"/>
                <w:szCs w:val="21"/>
              </w:rPr>
              <w:t>结果维持</w:t>
            </w:r>
          </w:p>
        </w:tc>
        <w:tc>
          <w:tcPr>
            <w:tcW w:w="708" w:type="dxa"/>
            <w:vMerge w:val="restart"/>
            <w:vAlign w:val="center"/>
          </w:tcPr>
          <w:p>
            <w:pPr>
              <w:jc w:val="center"/>
              <w:rPr>
                <w:rFonts w:hint="eastAsia"/>
                <w:szCs w:val="21"/>
              </w:rPr>
            </w:pPr>
            <w:r>
              <w:rPr>
                <w:rFonts w:hint="eastAsia"/>
                <w:szCs w:val="21"/>
              </w:rPr>
              <w:t>结果纠正</w:t>
            </w:r>
          </w:p>
        </w:tc>
        <w:tc>
          <w:tcPr>
            <w:tcW w:w="709" w:type="dxa"/>
            <w:vMerge w:val="restart"/>
            <w:vAlign w:val="center"/>
          </w:tcPr>
          <w:p>
            <w:pPr>
              <w:jc w:val="center"/>
              <w:rPr>
                <w:rFonts w:hint="eastAsia"/>
                <w:szCs w:val="21"/>
              </w:rPr>
            </w:pPr>
            <w:r>
              <w:rPr>
                <w:rFonts w:hint="eastAsia"/>
                <w:szCs w:val="21"/>
              </w:rPr>
              <w:t>其他结果</w:t>
            </w:r>
          </w:p>
        </w:tc>
        <w:tc>
          <w:tcPr>
            <w:tcW w:w="682" w:type="dxa"/>
            <w:vMerge w:val="restart"/>
            <w:vAlign w:val="center"/>
          </w:tcPr>
          <w:p>
            <w:pPr>
              <w:jc w:val="center"/>
              <w:rPr>
                <w:rFonts w:hint="eastAsia"/>
                <w:szCs w:val="21"/>
              </w:rPr>
            </w:pPr>
            <w:r>
              <w:rPr>
                <w:rFonts w:hint="eastAsia"/>
                <w:szCs w:val="21"/>
              </w:rPr>
              <w:t>尚未审结</w:t>
            </w:r>
          </w:p>
        </w:tc>
        <w:tc>
          <w:tcPr>
            <w:tcW w:w="594" w:type="dxa"/>
            <w:vMerge w:val="restart"/>
            <w:vAlign w:val="center"/>
          </w:tcPr>
          <w:p>
            <w:pPr>
              <w:jc w:val="center"/>
              <w:rPr>
                <w:rFonts w:hint="eastAsia"/>
                <w:szCs w:val="21"/>
              </w:rPr>
            </w:pPr>
            <w:r>
              <w:rPr>
                <w:rFonts w:hint="eastAsia"/>
                <w:szCs w:val="21"/>
              </w:rPr>
              <w:t>总计</w:t>
            </w:r>
          </w:p>
        </w:tc>
        <w:tc>
          <w:tcPr>
            <w:tcW w:w="3402" w:type="dxa"/>
            <w:gridSpan w:val="5"/>
            <w:vAlign w:val="center"/>
          </w:tcPr>
          <w:p>
            <w:pPr>
              <w:jc w:val="center"/>
              <w:rPr>
                <w:rFonts w:hint="eastAsia"/>
                <w:szCs w:val="21"/>
              </w:rPr>
            </w:pPr>
            <w:r>
              <w:rPr>
                <w:rFonts w:hint="eastAsia"/>
                <w:szCs w:val="21"/>
              </w:rPr>
              <w:t>未经复议直接起诉</w:t>
            </w:r>
          </w:p>
        </w:tc>
        <w:tc>
          <w:tcPr>
            <w:tcW w:w="3402" w:type="dxa"/>
            <w:gridSpan w:val="5"/>
            <w:vAlign w:val="center"/>
          </w:tcPr>
          <w:p>
            <w:pPr>
              <w:jc w:val="center"/>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eastAsia"/>
                <w:sz w:val="18"/>
                <w:szCs w:val="18"/>
              </w:rPr>
            </w:pPr>
          </w:p>
        </w:tc>
        <w:tc>
          <w:tcPr>
            <w:tcW w:w="708" w:type="dxa"/>
            <w:vMerge w:val="continue"/>
            <w:vAlign w:val="center"/>
          </w:tcPr>
          <w:p>
            <w:pPr>
              <w:jc w:val="center"/>
              <w:rPr>
                <w:rFonts w:hint="eastAsia"/>
                <w:sz w:val="18"/>
                <w:szCs w:val="18"/>
              </w:rPr>
            </w:pPr>
          </w:p>
        </w:tc>
        <w:tc>
          <w:tcPr>
            <w:tcW w:w="709" w:type="dxa"/>
            <w:vMerge w:val="continue"/>
            <w:vAlign w:val="center"/>
          </w:tcPr>
          <w:p>
            <w:pPr>
              <w:jc w:val="center"/>
              <w:rPr>
                <w:rFonts w:hint="eastAsia"/>
                <w:sz w:val="18"/>
                <w:szCs w:val="18"/>
              </w:rPr>
            </w:pPr>
          </w:p>
        </w:tc>
        <w:tc>
          <w:tcPr>
            <w:tcW w:w="682" w:type="dxa"/>
            <w:vMerge w:val="continue"/>
            <w:vAlign w:val="center"/>
          </w:tcPr>
          <w:p>
            <w:pPr>
              <w:jc w:val="center"/>
              <w:rPr>
                <w:rFonts w:hint="eastAsia"/>
                <w:szCs w:val="21"/>
              </w:rPr>
            </w:pPr>
          </w:p>
        </w:tc>
        <w:tc>
          <w:tcPr>
            <w:tcW w:w="594" w:type="dxa"/>
            <w:vMerge w:val="continue"/>
            <w:vAlign w:val="center"/>
          </w:tcPr>
          <w:p>
            <w:pPr>
              <w:jc w:val="center"/>
              <w:rPr>
                <w:rFonts w:hint="eastAsia"/>
                <w:szCs w:val="21"/>
              </w:rPr>
            </w:pPr>
          </w:p>
        </w:tc>
        <w:tc>
          <w:tcPr>
            <w:tcW w:w="709" w:type="dxa"/>
            <w:vAlign w:val="center"/>
          </w:tcPr>
          <w:p>
            <w:pPr>
              <w:jc w:val="center"/>
              <w:rPr>
                <w:rFonts w:hint="eastAsia"/>
                <w:szCs w:val="21"/>
              </w:rPr>
            </w:pPr>
            <w:r>
              <w:rPr>
                <w:rFonts w:hint="eastAsia"/>
                <w:szCs w:val="21"/>
              </w:rPr>
              <w:t>结果维持</w:t>
            </w:r>
          </w:p>
        </w:tc>
        <w:tc>
          <w:tcPr>
            <w:tcW w:w="709" w:type="dxa"/>
            <w:vAlign w:val="center"/>
          </w:tcPr>
          <w:p>
            <w:pPr>
              <w:jc w:val="center"/>
              <w:rPr>
                <w:rFonts w:hint="eastAsia"/>
                <w:szCs w:val="21"/>
              </w:rPr>
            </w:pPr>
            <w:r>
              <w:rPr>
                <w:rFonts w:hint="eastAsia"/>
                <w:szCs w:val="21"/>
              </w:rPr>
              <w:t>结果纠正</w:t>
            </w:r>
          </w:p>
        </w:tc>
        <w:tc>
          <w:tcPr>
            <w:tcW w:w="709" w:type="dxa"/>
            <w:vAlign w:val="center"/>
          </w:tcPr>
          <w:p>
            <w:pPr>
              <w:jc w:val="center"/>
              <w:rPr>
                <w:rFonts w:hint="eastAsia"/>
                <w:szCs w:val="21"/>
              </w:rPr>
            </w:pPr>
            <w:r>
              <w:rPr>
                <w:rFonts w:hint="eastAsia"/>
                <w:szCs w:val="21"/>
              </w:rPr>
              <w:t>其他结果</w:t>
            </w:r>
          </w:p>
        </w:tc>
        <w:tc>
          <w:tcPr>
            <w:tcW w:w="708" w:type="dxa"/>
            <w:vAlign w:val="center"/>
          </w:tcPr>
          <w:p>
            <w:pPr>
              <w:jc w:val="center"/>
              <w:rPr>
                <w:rFonts w:hint="eastAsia"/>
                <w:szCs w:val="21"/>
              </w:rPr>
            </w:pPr>
            <w:r>
              <w:rPr>
                <w:rFonts w:hint="eastAsia"/>
                <w:szCs w:val="21"/>
              </w:rPr>
              <w:t>尚未审结</w:t>
            </w:r>
          </w:p>
        </w:tc>
        <w:tc>
          <w:tcPr>
            <w:tcW w:w="567" w:type="dxa"/>
            <w:vAlign w:val="center"/>
          </w:tcPr>
          <w:p>
            <w:pPr>
              <w:jc w:val="center"/>
              <w:rPr>
                <w:rFonts w:hint="eastAsia"/>
                <w:szCs w:val="21"/>
              </w:rPr>
            </w:pPr>
            <w:r>
              <w:rPr>
                <w:rFonts w:hint="eastAsia"/>
                <w:szCs w:val="21"/>
              </w:rPr>
              <w:t>总计</w:t>
            </w:r>
          </w:p>
        </w:tc>
        <w:tc>
          <w:tcPr>
            <w:tcW w:w="851" w:type="dxa"/>
            <w:vAlign w:val="center"/>
          </w:tcPr>
          <w:p>
            <w:pPr>
              <w:jc w:val="center"/>
              <w:rPr>
                <w:rFonts w:hint="eastAsia"/>
                <w:szCs w:val="21"/>
              </w:rPr>
            </w:pPr>
            <w:r>
              <w:rPr>
                <w:rFonts w:hint="eastAsia"/>
                <w:szCs w:val="21"/>
              </w:rPr>
              <w:t>结果维持</w:t>
            </w:r>
          </w:p>
        </w:tc>
        <w:tc>
          <w:tcPr>
            <w:tcW w:w="650" w:type="dxa"/>
            <w:vAlign w:val="center"/>
          </w:tcPr>
          <w:p>
            <w:pPr>
              <w:jc w:val="center"/>
              <w:rPr>
                <w:rFonts w:hint="eastAsia"/>
                <w:szCs w:val="21"/>
              </w:rPr>
            </w:pPr>
            <w:r>
              <w:rPr>
                <w:rFonts w:hint="eastAsia"/>
                <w:szCs w:val="21"/>
              </w:rPr>
              <w:t>结果纠正</w:t>
            </w:r>
          </w:p>
        </w:tc>
        <w:tc>
          <w:tcPr>
            <w:tcW w:w="767" w:type="dxa"/>
            <w:vAlign w:val="center"/>
          </w:tcPr>
          <w:p>
            <w:pPr>
              <w:jc w:val="center"/>
              <w:rPr>
                <w:rFonts w:hint="eastAsia"/>
                <w:szCs w:val="21"/>
              </w:rPr>
            </w:pPr>
            <w:r>
              <w:rPr>
                <w:rFonts w:hint="eastAsia"/>
                <w:szCs w:val="21"/>
              </w:rPr>
              <w:t>其他结果</w:t>
            </w:r>
          </w:p>
        </w:tc>
        <w:tc>
          <w:tcPr>
            <w:tcW w:w="709" w:type="dxa"/>
            <w:vAlign w:val="center"/>
          </w:tcPr>
          <w:p>
            <w:pPr>
              <w:jc w:val="center"/>
              <w:rPr>
                <w:rFonts w:hint="eastAsia"/>
                <w:szCs w:val="21"/>
              </w:rPr>
            </w:pPr>
            <w:r>
              <w:rPr>
                <w:rFonts w:hint="eastAsia"/>
                <w:szCs w:val="21"/>
              </w:rPr>
              <w:t>尚未审结</w:t>
            </w:r>
          </w:p>
        </w:tc>
        <w:tc>
          <w:tcPr>
            <w:tcW w:w="425" w:type="dxa"/>
            <w:vAlign w:val="center"/>
          </w:tcPr>
          <w:p>
            <w:pPr>
              <w:jc w:val="cente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hint="eastAsia" w:eastAsiaTheme="minorEastAsia"/>
                <w:sz w:val="18"/>
                <w:szCs w:val="18"/>
                <w:lang w:val="en-US" w:eastAsia="zh-CN"/>
              </w:rPr>
            </w:pPr>
          </w:p>
        </w:tc>
        <w:tc>
          <w:tcPr>
            <w:tcW w:w="708" w:type="dxa"/>
            <w:vAlign w:val="center"/>
          </w:tcPr>
          <w:p>
            <w:pPr>
              <w:rPr>
                <w:rFonts w:hint="eastAsia"/>
                <w:sz w:val="18"/>
                <w:szCs w:val="18"/>
              </w:rPr>
            </w:pPr>
          </w:p>
        </w:tc>
        <w:tc>
          <w:tcPr>
            <w:tcW w:w="709" w:type="dxa"/>
            <w:vAlign w:val="center"/>
          </w:tcPr>
          <w:p>
            <w:pPr>
              <w:rPr>
                <w:rFonts w:hint="eastAsia"/>
                <w:sz w:val="18"/>
                <w:szCs w:val="18"/>
              </w:rPr>
            </w:pPr>
          </w:p>
        </w:tc>
        <w:tc>
          <w:tcPr>
            <w:tcW w:w="682" w:type="dxa"/>
            <w:vAlign w:val="center"/>
          </w:tcPr>
          <w:p>
            <w:pPr>
              <w:rPr>
                <w:rFonts w:hint="eastAsia"/>
                <w:szCs w:val="21"/>
              </w:rPr>
            </w:pPr>
          </w:p>
        </w:tc>
        <w:tc>
          <w:tcPr>
            <w:tcW w:w="594"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708" w:type="dxa"/>
            <w:vAlign w:val="center"/>
          </w:tcPr>
          <w:p>
            <w:pPr>
              <w:rPr>
                <w:rFonts w:hint="eastAsia"/>
                <w:szCs w:val="21"/>
              </w:rPr>
            </w:pPr>
          </w:p>
        </w:tc>
        <w:tc>
          <w:tcPr>
            <w:tcW w:w="567" w:type="dxa"/>
            <w:vAlign w:val="center"/>
          </w:tcPr>
          <w:p>
            <w:pPr>
              <w:rPr>
                <w:rFonts w:hint="eastAsia" w:eastAsiaTheme="minorEastAsia"/>
                <w:szCs w:val="21"/>
                <w:lang w:val="en-US" w:eastAsia="zh-CN"/>
              </w:rPr>
            </w:pPr>
            <w:r>
              <w:rPr>
                <w:rFonts w:hint="eastAsia"/>
                <w:szCs w:val="21"/>
                <w:lang w:val="en-US" w:eastAsia="zh-CN"/>
              </w:rPr>
              <w:t>0</w:t>
            </w:r>
          </w:p>
        </w:tc>
        <w:tc>
          <w:tcPr>
            <w:tcW w:w="851" w:type="dxa"/>
            <w:vAlign w:val="center"/>
          </w:tcPr>
          <w:p>
            <w:pPr>
              <w:rPr>
                <w:rFonts w:hint="eastAsia"/>
                <w:szCs w:val="21"/>
              </w:rPr>
            </w:pPr>
          </w:p>
        </w:tc>
        <w:tc>
          <w:tcPr>
            <w:tcW w:w="650" w:type="dxa"/>
            <w:vAlign w:val="center"/>
          </w:tcPr>
          <w:p>
            <w:pPr>
              <w:rPr>
                <w:rFonts w:hint="eastAsia"/>
                <w:szCs w:val="21"/>
              </w:rPr>
            </w:pPr>
          </w:p>
        </w:tc>
        <w:tc>
          <w:tcPr>
            <w:tcW w:w="767" w:type="dxa"/>
            <w:vAlign w:val="center"/>
          </w:tcPr>
          <w:p>
            <w:pPr>
              <w:rPr>
                <w:rFonts w:hint="eastAsia"/>
                <w:szCs w:val="21"/>
              </w:rPr>
            </w:pPr>
          </w:p>
        </w:tc>
        <w:tc>
          <w:tcPr>
            <w:tcW w:w="709" w:type="dxa"/>
            <w:vAlign w:val="center"/>
          </w:tcPr>
          <w:p>
            <w:pPr>
              <w:rPr>
                <w:rFonts w:hint="eastAsia"/>
                <w:szCs w:val="21"/>
              </w:rPr>
            </w:pPr>
          </w:p>
        </w:tc>
        <w:tc>
          <w:tcPr>
            <w:tcW w:w="425" w:type="dxa"/>
            <w:vAlign w:val="center"/>
          </w:tcPr>
          <w:p>
            <w:pPr>
              <w:rPr>
                <w:rFonts w:hint="eastAsia" w:eastAsiaTheme="minorEastAsia"/>
                <w:szCs w:val="21"/>
                <w:lang w:val="en-US" w:eastAsia="zh-CN"/>
              </w:rPr>
            </w:pPr>
            <w:r>
              <w:rPr>
                <w:rFonts w:hint="eastAsia"/>
                <w:szCs w:val="21"/>
                <w:lang w:val="en-US" w:eastAsia="zh-CN"/>
              </w:rPr>
              <w:t>0</w:t>
            </w:r>
          </w:p>
        </w:tc>
      </w:tr>
    </w:tbl>
    <w:p>
      <w:pPr>
        <w:numPr>
          <w:ilvl w:val="0"/>
          <w:numId w:val="0"/>
        </w:numPr>
        <w:ind w:firstLine="640" w:firstLineChars="200"/>
        <w:rPr>
          <w:rFonts w:hint="eastAsia" w:ascii="黑体" w:hAnsi="黑体" w:eastAsia="黑体"/>
          <w:b w:val="0"/>
          <w:bCs/>
          <w:sz w:val="32"/>
          <w:szCs w:val="32"/>
        </w:rPr>
      </w:pPr>
      <w:r>
        <w:rPr>
          <w:rFonts w:hint="eastAsia" w:ascii="黑体" w:hAnsi="黑体" w:eastAsia="黑体"/>
          <w:b w:val="0"/>
          <w:bCs/>
          <w:sz w:val="32"/>
          <w:szCs w:val="32"/>
          <w:lang w:val="en-US" w:eastAsia="zh-CN"/>
        </w:rPr>
        <w:t>五、</w:t>
      </w:r>
      <w:r>
        <w:rPr>
          <w:rFonts w:hint="eastAsia" w:ascii="黑体" w:hAnsi="黑体" w:eastAsia="黑体"/>
          <w:b w:val="0"/>
          <w:bCs/>
          <w:sz w:val="32"/>
          <w:szCs w:val="32"/>
        </w:rPr>
        <w:t>存在的主要问题及改进情况</w:t>
      </w:r>
    </w:p>
    <w:p>
      <w:pPr>
        <w:numPr>
          <w:ilvl w:val="0"/>
          <w:numId w:val="0"/>
        </w:numPr>
        <w:ind w:firstLine="640" w:firstLineChars="20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存在问题主要表现在两方面：</w:t>
      </w:r>
      <w:r>
        <w:rPr>
          <w:rFonts w:hint="eastAsia" w:ascii="仿宋_GB2312" w:hAnsi="仿宋_GB2312" w:eastAsia="仿宋_GB2312" w:cs="仿宋_GB2312"/>
          <w:b w:val="0"/>
          <w:bCs/>
          <w:sz w:val="32"/>
          <w:szCs w:val="32"/>
        </w:rPr>
        <w:t>一是信息更新还不够及时，二是信息公开的内容有待进一步完善，对各级科技政策法规、规范性文件的公开内容和范围还有待进一步扩展。</w:t>
      </w:r>
      <w:r>
        <w:rPr>
          <w:rFonts w:hint="eastAsia" w:ascii="仿宋_GB2312" w:hAnsi="仿宋_GB2312" w:eastAsia="仿宋_GB2312" w:cs="仿宋_GB2312"/>
          <w:b w:val="0"/>
          <w:bCs/>
          <w:sz w:val="32"/>
          <w:szCs w:val="32"/>
          <w:lang w:val="en-US" w:eastAsia="zh-CN"/>
        </w:rPr>
        <w:t>下一步，县科技局将进一步深入学习</w:t>
      </w:r>
      <w:r>
        <w:rPr>
          <w:rFonts w:hint="eastAsia" w:ascii="仿宋_GB2312" w:hAnsi="ˎ̥" w:eastAsia="仿宋_GB2312" w:cs="Arial"/>
          <w:color w:val="000000"/>
          <w:kern w:val="0"/>
          <w:sz w:val="32"/>
          <w:szCs w:val="32"/>
        </w:rPr>
        <w:t>《中华人民共和国政府信息公开条例》</w:t>
      </w:r>
      <w:r>
        <w:rPr>
          <w:rFonts w:hint="eastAsia" w:ascii="仿宋_GB2312" w:hAnsi="ˎ̥" w:eastAsia="仿宋_GB2312" w:cs="Arial"/>
          <w:color w:val="000000"/>
          <w:kern w:val="0"/>
          <w:sz w:val="32"/>
          <w:szCs w:val="32"/>
          <w:lang w:eastAsia="zh-CN"/>
        </w:rPr>
        <w:t>，</w:t>
      </w:r>
      <w:r>
        <w:rPr>
          <w:rFonts w:hint="eastAsia" w:ascii="仿宋_GB2312" w:hAnsi="ˎ̥" w:eastAsia="仿宋_GB2312" w:cs="Arial"/>
          <w:color w:val="000000"/>
          <w:kern w:val="0"/>
          <w:sz w:val="32"/>
          <w:szCs w:val="32"/>
        </w:rPr>
        <w:t>提高对信息公开工作的认识</w:t>
      </w:r>
      <w:r>
        <w:rPr>
          <w:rFonts w:hint="eastAsia" w:ascii="仿宋_GB2312" w:hAnsi="ˎ̥" w:eastAsia="仿宋_GB2312" w:cs="Arial"/>
          <w:color w:val="000000"/>
          <w:kern w:val="0"/>
          <w:sz w:val="32"/>
          <w:szCs w:val="32"/>
          <w:lang w:eastAsia="zh-CN"/>
        </w:rPr>
        <w:t>，</w:t>
      </w:r>
      <w:r>
        <w:rPr>
          <w:rFonts w:hint="eastAsia" w:ascii="仿宋_GB2312" w:hAnsi="仿宋_GB2312" w:eastAsia="仿宋_GB2312" w:cs="仿宋_GB2312"/>
          <w:b w:val="0"/>
          <w:bCs/>
          <w:sz w:val="32"/>
          <w:szCs w:val="32"/>
        </w:rPr>
        <w:t>进一步加强政府信息公开工作规范化、制度化、程序化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突出重点，及时将科技政策、科技工作予以公开，提高公开实效，</w:t>
      </w:r>
      <w:r>
        <w:rPr>
          <w:rFonts w:hint="eastAsia" w:ascii="仿宋_GB2312" w:hAnsi="仿宋_GB2312" w:eastAsia="仿宋_GB2312" w:cs="仿宋_GB2312"/>
          <w:b w:val="0"/>
          <w:bCs/>
          <w:sz w:val="32"/>
          <w:szCs w:val="32"/>
        </w:rPr>
        <w:t>使政府信息公开成为政府沟通老百姓的有效途径。</w:t>
      </w:r>
    </w:p>
    <w:p>
      <w:pPr>
        <w:ind w:firstLine="640" w:firstLineChars="200"/>
        <w:rPr>
          <w:rFonts w:hint="eastAsia" w:ascii="黑体" w:hAnsi="黑体" w:eastAsia="黑体"/>
          <w:b w:val="0"/>
          <w:bCs/>
          <w:sz w:val="32"/>
          <w:szCs w:val="32"/>
        </w:rPr>
      </w:pPr>
      <w:r>
        <w:rPr>
          <w:rFonts w:hint="eastAsia" w:ascii="黑体" w:hAnsi="黑体" w:eastAsia="黑体"/>
          <w:b w:val="0"/>
          <w:bCs/>
          <w:sz w:val="32"/>
          <w:szCs w:val="32"/>
          <w:lang w:val="en-US" w:eastAsia="zh-CN"/>
        </w:rPr>
        <w:t>六、</w:t>
      </w:r>
      <w:r>
        <w:rPr>
          <w:rFonts w:hint="eastAsia" w:ascii="黑体" w:hAnsi="黑体" w:eastAsia="黑体"/>
          <w:b w:val="0"/>
          <w:bCs/>
          <w:sz w:val="32"/>
          <w:szCs w:val="32"/>
        </w:rPr>
        <w:t>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Microsoft JhengHei Light"/>
    <w:panose1 w:val="00000000000000000000"/>
    <w:charset w:val="00"/>
    <w:family w:val="roman"/>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1D407A29"/>
    <w:rsid w:val="1F637EFC"/>
    <w:rsid w:val="3A9B6A01"/>
    <w:rsid w:val="41467871"/>
    <w:rsid w:val="4DE93206"/>
    <w:rsid w:val="58C65110"/>
    <w:rsid w:val="5C1D4C86"/>
    <w:rsid w:val="65EA6141"/>
    <w:rsid w:val="71771F4C"/>
    <w:rsid w:val="7A04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14</TotalTime>
  <ScaleCrop>false</ScaleCrop>
  <LinksUpToDate>false</LinksUpToDate>
  <CharactersWithSpaces>1154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dell</cp:lastModifiedBy>
  <cp:lastPrinted>2020-01-19T07:57:00Z</cp:lastPrinted>
  <dcterms:modified xsi:type="dcterms:W3CDTF">2020-01-19T08:40:19Z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