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马桥镇人民政府2020年度政府信息公开</w:t>
      </w:r>
    </w:p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  <w:r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  <w:t xml:space="preserve">工作年度报告</w:t>
      </w:r>
    </w:p>
    <w:p>
      <w:pPr>
        <w:widowControl w:val="false"/>
        <w:numPr>
          <w:ilvl w:val="0"/>
          <w:numId w:val="2"/>
        </w:num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  <w:t xml:space="preserve">总体情况</w:t>
      </w:r>
    </w:p>
    <w:p>
      <w:pPr>
        <w:widowControl w:val="false"/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2020年，马桥镇人民政府严格按照《中华人民共和国政府信息公开条例》规定，紧紧围绕各项工作，全面推进政务公开体系建设，切实提高政府信息公开工作的规范化、制度化水平。成立领导小组，建立了一把手亲自抓、分管领导具体抓，办公室统筹协调的运行机制。着重在法规文件、政府会议、规划计划等领域进行政务信息公开。现将工作开展情况汇报如下：</w:t>
      </w:r>
    </w:p>
    <w:p>
      <w:pPr>
        <w:widowControl w:val="false"/>
        <w:numPr>
          <w:ilvl w:val="0"/>
          <w:numId w:val="4"/>
        </w:num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2"/>
          <w:shd w:fill="auto" w:val="clear"/>
        </w:rPr>
        <w:t xml:space="preserve">主动公开。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2020年，镇政府以桓台县人民政府门户网站为平台，全方位、多渠道的推进主动公开政府信息工作。不断优化、完善政府信息公开目录，为村民、企业提供政府信息的查询服务，通过网站主动公开政府信息56条。</w:t>
      </w:r>
    </w:p>
    <w:p>
      <w:pPr>
        <w:widowControl w:val="false"/>
        <w:numPr>
          <w:ilvl w:val="0"/>
          <w:numId w:val="4"/>
        </w:num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2"/>
          <w:shd w:fill="auto" w:val="clear"/>
        </w:rPr>
        <w:t xml:space="preserve">依申请公开。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2020年，马桥镇人民政府共收到自然人、法人或其他组织申请公开政府信息数3件。</w:t>
      </w:r>
    </w:p>
    <w:p>
      <w:pPr>
        <w:widowControl w:val="false"/>
        <w:numPr>
          <w:ilvl w:val="0"/>
          <w:numId w:val="4"/>
        </w:num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2"/>
          <w:shd w:fill="auto" w:val="clear"/>
        </w:rPr>
        <w:t xml:space="preserve">政府信息管理。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调整政务公开工作领导小组，由镇党委书记任组长，镇长任副组长，镇党委副书记、分管领导为成员，领导小组下设办公室，负责在全镇范围内广泛收集政府最新工作动态，严格按照《中华人民共和国政府信息公开条例》及时公开政府信息，确保信息公开及时、迅速。</w:t>
      </w:r>
    </w:p>
    <w:p>
      <w:pPr>
        <w:widowControl w:val="false"/>
        <w:numPr>
          <w:ilvl w:val="0"/>
          <w:numId w:val="4"/>
        </w:num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2"/>
          <w:shd w:fill="auto" w:val="clear"/>
        </w:rPr>
        <w:t xml:space="preserve">平台建设。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严格实行政务公开审批制度，由办公室工作人员采集各委办可公开的政府信息，部门负责人、分管领导、镇长层层审批，审核通过后方可公开，严禁保密信息外泄。</w:t>
      </w:r>
    </w:p>
    <w:p>
      <w:pPr>
        <w:widowControl w:val="false"/>
        <w:numPr>
          <w:ilvl w:val="0"/>
          <w:numId w:val="4"/>
        </w:num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2"/>
          <w:shd w:fill="auto" w:val="clear"/>
        </w:rPr>
        <w:t xml:space="preserve">监督保障。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按照上级部门的规范要求，对政府信息公开的保密审查、信息送交、统计报送等具体工作进行规范。开展隐私排查工作，对已发布信息逐条排查，进一步加强对公民个人隐私的保护，依法依规维护好人民群众的切身利益，促进政府信息公开工作走上制度化、规范化的轨道。</w:t>
      </w:r>
    </w:p>
    <w:p>
      <w:pPr>
        <w:widowControl w:val="false"/>
        <w:numPr>
          <w:ilvl w:val="0"/>
          <w:numId w:val="4"/>
        </w:num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  <w:t xml:space="preserve">主动公开政府信息情况</w:t>
      </w:r>
    </w:p>
    <w:tbl>
      <w:tblPr>
        <w:tblInd w:w="250" w:type="dxa"/>
      </w:tblPr>
      <w:tblGrid>
        <w:gridCol w:w="2500"/>
        <w:gridCol w:w="1840"/>
        <w:gridCol w:w="1900"/>
        <w:gridCol w:w="2000"/>
      </w:tblGrid>
      <w:tr>
        <w:trPr>
          <w:trHeight w:val="420" w:hRule="auto"/>
          <w:jc w:val="left"/>
        </w:trPr>
        <w:tc>
          <w:tcPr>
            <w:tcW w:w="82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3100" w:left="310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第二十条第（一）项</w:t>
            </w:r>
          </w:p>
        </w:tc>
      </w:tr>
      <w:tr>
        <w:trPr>
          <w:trHeight w:val="40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100" w:left="1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信息内容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110" w:left="13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本年新制作数量</w:t>
            </w:r>
          </w:p>
        </w:tc>
        <w:tc>
          <w:tcPr>
            <w:tcW w:w="1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150" w:left="15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本年新公开数量</w:t>
            </w:r>
          </w:p>
        </w:tc>
        <w:tc>
          <w:tcPr>
            <w:tcW w:w="2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209" w:left="191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对外公开总数量</w:t>
            </w:r>
          </w:p>
        </w:tc>
      </w:tr>
      <w:tr>
        <w:trPr>
          <w:trHeight w:val="42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100" w:left="14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规章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1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2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</w:tr>
      <w:tr>
        <w:trPr>
          <w:trHeight w:val="40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100" w:left="119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规范性文件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197</w:t>
            </w:r>
          </w:p>
        </w:tc>
        <w:tc>
          <w:tcPr>
            <w:tcW w:w="1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17</w:t>
            </w:r>
          </w:p>
        </w:tc>
        <w:tc>
          <w:tcPr>
            <w:tcW w:w="2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17</w:t>
            </w:r>
          </w:p>
        </w:tc>
      </w:tr>
      <w:tr>
        <w:trPr>
          <w:trHeight w:val="400" w:hRule="auto"/>
          <w:jc w:val="left"/>
        </w:trPr>
        <w:tc>
          <w:tcPr>
            <w:tcW w:w="82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3100" w:left="310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第二十条第（五）项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100" w:left="1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信息内容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110" w:left="13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上一年项目数量</w:t>
            </w:r>
          </w:p>
        </w:tc>
        <w:tc>
          <w:tcPr>
            <w:tcW w:w="1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150" w:left="15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本年增/减</w:t>
            </w:r>
          </w:p>
        </w:tc>
        <w:tc>
          <w:tcPr>
            <w:tcW w:w="2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171" w:left="191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处理决定数量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00" w:left="1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行政许可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1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2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00" w:left="14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其他对外管理服务事项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1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2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</w:tr>
      <w:tr>
        <w:trPr>
          <w:trHeight w:val="380" w:hRule="auto"/>
          <w:jc w:val="left"/>
        </w:trPr>
        <w:tc>
          <w:tcPr>
            <w:tcW w:w="82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3100" w:left="310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第二十条第（六）项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00" w:left="1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信息内容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10" w:left="13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上一年项目数量</w:t>
            </w:r>
          </w:p>
        </w:tc>
        <w:tc>
          <w:tcPr>
            <w:tcW w:w="1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50" w:left="15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本年增/减</w:t>
            </w:r>
          </w:p>
        </w:tc>
        <w:tc>
          <w:tcPr>
            <w:tcW w:w="2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71" w:left="191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处理决定数量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00" w:left="1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行政处罚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1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2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00" w:left="1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行政强制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19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20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</w:tr>
      <w:tr>
        <w:trPr>
          <w:trHeight w:val="380" w:hRule="auto"/>
          <w:jc w:val="left"/>
        </w:trPr>
        <w:tc>
          <w:tcPr>
            <w:tcW w:w="82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3100" w:left="310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第二十条第（八）项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00" w:left="1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信息内容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10" w:left="13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上一年项目数量</w:t>
            </w:r>
          </w:p>
        </w:tc>
        <w:tc>
          <w:tcPr>
            <w:tcW w:w="390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360" w:left="136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本年增/减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00" w:left="10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行政事业性收费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390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</w:tr>
      <w:tr>
        <w:trPr>
          <w:trHeight w:val="400" w:hRule="auto"/>
          <w:jc w:val="left"/>
        </w:trPr>
        <w:tc>
          <w:tcPr>
            <w:tcW w:w="8240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3100" w:left="310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第二十条第（九）项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100" w:left="1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信息内容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110" w:left="129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采购项目数量</w:t>
            </w:r>
          </w:p>
        </w:tc>
        <w:tc>
          <w:tcPr>
            <w:tcW w:w="390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1360" w:left="138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采购总金额</w:t>
            </w:r>
          </w:p>
        </w:tc>
      </w:tr>
      <w:tr>
        <w:trPr>
          <w:trHeight w:val="380" w:hRule="auto"/>
          <w:jc w:val="left"/>
        </w:trPr>
        <w:tc>
          <w:tcPr>
            <w:tcW w:w="2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100" w:left="14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政府集中采购</w:t>
            </w:r>
          </w:p>
        </w:tc>
        <w:tc>
          <w:tcPr>
            <w:tcW w:w="18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  <w:tc>
          <w:tcPr>
            <w:tcW w:w="390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numPr>
          <w:ilvl w:val="0"/>
          <w:numId w:val="76"/>
        </w:num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  <w:t xml:space="preserve">收到和处理政府信息公开申请情况</w:t>
      </w:r>
    </w:p>
    <w:tbl>
      <w:tblPr>
        <w:tblInd w:w="130" w:type="dxa"/>
      </w:tblPr>
      <w:tblGrid>
        <w:gridCol w:w="1120"/>
        <w:gridCol w:w="1140"/>
        <w:gridCol w:w="1880"/>
        <w:gridCol w:w="580"/>
        <w:gridCol w:w="620"/>
        <w:gridCol w:w="640"/>
        <w:gridCol w:w="780"/>
        <w:gridCol w:w="780"/>
        <w:gridCol w:w="480"/>
        <w:gridCol w:w="500"/>
      </w:tblGrid>
      <w:tr>
        <w:trPr>
          <w:trHeight w:val="460" w:hRule="auto"/>
          <w:jc w:val="left"/>
        </w:trPr>
        <w:tc>
          <w:tcPr>
            <w:tcW w:w="4140" w:type="dxa"/>
            <w:gridSpan w:val="3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9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73"/>
              <w:ind w:right="77" w:left="479" w:hanging="380"/>
              <w:jc w:val="both"/>
              <w:rPr>
                <w:rFonts w:ascii="宋体" w:hAnsi="宋体" w:cs="宋体" w:eastAsia="宋体"/>
                <w:color w:val="auto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（</w:t>
            </w:r>
            <w:r>
              <w:rPr>
                <w:rFonts w:ascii="宋体" w:hAnsi="宋体" w:cs="宋体" w:eastAsia="宋体"/>
                <w:color w:val="auto"/>
                <w:spacing w:val="-19"/>
                <w:position w:val="0"/>
                <w:sz w:val="22"/>
                <w:shd w:fill="auto" w:val="clear"/>
              </w:rPr>
              <w:t xml:space="preserve">本列数据的勾稽关系为：第一项加第二项</w:t>
            </w:r>
            <w:r>
              <w:rPr>
                <w:rFonts w:ascii="宋体" w:hAnsi="宋体" w:cs="宋体" w:eastAsia="宋体"/>
                <w:color w:val="auto"/>
                <w:spacing w:val="-13"/>
                <w:position w:val="0"/>
                <w:sz w:val="22"/>
                <w:shd w:fill="auto" w:val="clear"/>
              </w:rPr>
              <w:t xml:space="preserve">之和，等于第三项加第四项之和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）</w:t>
            </w:r>
          </w:p>
        </w:tc>
        <w:tc>
          <w:tcPr>
            <w:tcW w:w="4380" w:type="dxa"/>
            <w:gridSpan w:val="7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1600" w:left="16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申请人情况</w:t>
            </w:r>
          </w:p>
        </w:tc>
      </w:tr>
      <w:tr>
        <w:trPr>
          <w:trHeight w:val="560" w:hRule="auto"/>
          <w:jc w:val="left"/>
        </w:trPr>
        <w:tc>
          <w:tcPr>
            <w:tcW w:w="4140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48" w:after="0" w:line="273"/>
              <w:ind w:right="157" w:left="18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自然人</w:t>
            </w:r>
          </w:p>
        </w:tc>
        <w:tc>
          <w:tcPr>
            <w:tcW w:w="330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0" w:after="0" w:line="240"/>
              <w:ind w:right="0" w:left="9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法人或其他组织</w:t>
            </w:r>
          </w:p>
        </w:tc>
        <w:tc>
          <w:tcPr>
            <w:tcW w:w="50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3"/>
              <w:ind w:right="118" w:left="139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总计</w:t>
            </w:r>
          </w:p>
        </w:tc>
      </w:tr>
      <w:tr>
        <w:trPr>
          <w:trHeight w:val="1240" w:hRule="auto"/>
          <w:jc w:val="left"/>
        </w:trPr>
        <w:tc>
          <w:tcPr>
            <w:tcW w:w="4140" w:type="dxa"/>
            <w:gridSpan w:val="3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177" w:left="2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商业企</w:t>
            </w:r>
          </w:p>
          <w:p>
            <w:pPr>
              <w:spacing w:before="0" w:after="0" w:line="240"/>
              <w:ind w:right="0" w:left="2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业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198" w:left="199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科研机</w:t>
            </w:r>
          </w:p>
          <w:p>
            <w:pPr>
              <w:spacing w:before="0" w:after="0" w:line="240"/>
              <w:ind w:right="0" w:left="199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构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0" w:after="0" w:line="264"/>
              <w:ind w:right="158" w:left="159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社会公益组织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0" w:after="0" w:line="264"/>
              <w:ind w:right="157" w:left="16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法律服务机构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73"/>
              <w:ind w:right="118" w:left="119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其他</w:t>
            </w:r>
          </w:p>
        </w:tc>
        <w:tc>
          <w:tcPr>
            <w:tcW w:w="50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414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一、本年新收政府信息公开申请数量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400" w:hRule="auto"/>
          <w:jc w:val="left"/>
        </w:trPr>
        <w:tc>
          <w:tcPr>
            <w:tcW w:w="414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二、上年结转政府信息公开申请数量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440" w:hRule="auto"/>
          <w:jc w:val="left"/>
        </w:trPr>
        <w:tc>
          <w:tcPr>
            <w:tcW w:w="112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三、本年</w:t>
            </w:r>
          </w:p>
          <w:p>
            <w:pPr>
              <w:spacing w:before="50" w:after="0" w:line="271"/>
              <w:ind w:right="77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度办理结果</w:t>
            </w:r>
          </w:p>
        </w:tc>
        <w:tc>
          <w:tcPr>
            <w:tcW w:w="302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（一）予以公开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64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-29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（</w:t>
            </w:r>
            <w:r>
              <w:rPr>
                <w:rFonts w:ascii="宋体" w:hAnsi="宋体" w:cs="宋体" w:eastAsia="宋体"/>
                <w:color w:val="auto"/>
                <w:spacing w:val="-21"/>
                <w:position w:val="0"/>
                <w:sz w:val="22"/>
                <w:shd w:fill="auto" w:val="clear"/>
              </w:rPr>
              <w:t xml:space="preserve">二）</w:t>
            </w:r>
            <w:r>
              <w:rPr>
                <w:rFonts w:ascii="宋体" w:hAnsi="宋体" w:cs="宋体" w:eastAsia="宋体"/>
                <w:color w:val="auto"/>
                <w:spacing w:val="-16"/>
                <w:position w:val="0"/>
                <w:sz w:val="22"/>
                <w:shd w:fill="auto" w:val="clear"/>
              </w:rPr>
              <w:t xml:space="preserve">部分公开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（</w:t>
            </w:r>
            <w:r>
              <w:rPr>
                <w:rFonts w:ascii="宋体" w:hAnsi="宋体" w:cs="宋体" w:eastAsia="宋体"/>
                <w:color w:val="auto"/>
                <w:spacing w:val="-11"/>
                <w:position w:val="0"/>
                <w:sz w:val="22"/>
                <w:shd w:fill="auto" w:val="clear"/>
              </w:rPr>
              <w:t xml:space="preserve">区分处理的，</w:t>
            </w:r>
          </w:p>
          <w:p>
            <w:pPr>
              <w:spacing w:before="38" w:after="0" w:line="240"/>
              <w:ind w:right="-29" w:left="100" w:firstLine="0"/>
              <w:jc w:val="both"/>
              <w:rPr>
                <w:rFonts w:ascii="宋体" w:hAnsi="宋体" w:cs="宋体" w:eastAsia="宋体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15"/>
                <w:position w:val="0"/>
                <w:sz w:val="22"/>
                <w:shd w:fill="auto" w:val="clear"/>
              </w:rPr>
              <w:t xml:space="preserve">只计这一情形，不计其他情形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）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</w:tr>
      <w:tr>
        <w:trPr>
          <w:trHeight w:val="50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77" w:after="0" w:line="273"/>
              <w:ind w:right="108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（三）不予公开</w:t>
            </w: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1．属于国家秘密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2．其他法律行政</w:t>
            </w:r>
          </w:p>
          <w:p>
            <w:pPr>
              <w:spacing w:before="1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法规禁止公开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3．危及“三安全</w:t>
            </w:r>
          </w:p>
          <w:p>
            <w:pPr>
              <w:spacing w:before="3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一稳定”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4．保护第三方合</w:t>
            </w:r>
          </w:p>
          <w:p>
            <w:pPr>
              <w:spacing w:before="3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法权益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0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5．属于三类内部</w:t>
            </w:r>
          </w:p>
          <w:p>
            <w:pPr>
              <w:spacing w:before="1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事务信息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6．属于四类过程</w:t>
            </w:r>
          </w:p>
          <w:p>
            <w:pPr>
              <w:spacing w:before="3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性信息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7．属于行政执法</w:t>
            </w:r>
          </w:p>
          <w:p>
            <w:pPr>
              <w:spacing w:before="3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案卷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0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8．属于行政查询</w:t>
            </w:r>
          </w:p>
          <w:p>
            <w:pPr>
              <w:spacing w:before="1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事项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7"/>
                <w:shd w:fill="auto" w:val="clear"/>
              </w:rPr>
            </w:pPr>
          </w:p>
          <w:p>
            <w:pPr>
              <w:spacing w:before="0" w:after="0" w:line="273"/>
              <w:ind w:right="108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（四）无法提供</w:t>
            </w: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1．本单位不掌握</w:t>
            </w:r>
          </w:p>
          <w:p>
            <w:pPr>
              <w:spacing w:before="3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相关政府信息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2．没有现成信息</w:t>
            </w:r>
          </w:p>
          <w:p>
            <w:pPr>
              <w:spacing w:before="3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需要另行制作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0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3．补正后申请内</w:t>
            </w:r>
          </w:p>
          <w:p>
            <w:pPr>
              <w:spacing w:before="1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容仍不明确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42" w:after="0" w:line="271"/>
              <w:ind w:right="108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（五）不予处理</w:t>
            </w: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1．信访举报投诉</w:t>
            </w:r>
          </w:p>
          <w:p>
            <w:pPr>
              <w:spacing w:before="1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类申请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3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2．重复申请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3．要求提供公开</w:t>
            </w:r>
          </w:p>
          <w:p>
            <w:pPr>
              <w:spacing w:before="3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出版物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6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2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4．无正当理由大</w:t>
            </w:r>
          </w:p>
          <w:p>
            <w:pPr>
              <w:spacing w:before="38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量反复申请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9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4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178" w:left="300" w:hanging="20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6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宋体" w:hAnsi="宋体" w:cs="宋体" w:eastAsia="宋体"/>
                <w:color w:val="auto"/>
                <w:spacing w:val="-13"/>
                <w:position w:val="0"/>
                <w:sz w:val="22"/>
                <w:shd w:fill="auto" w:val="clear"/>
              </w:rPr>
              <w:t xml:space="preserve">．要求行政机关</w:t>
            </w: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2"/>
                <w:shd w:fill="auto" w:val="clear"/>
              </w:rPr>
              <w:t xml:space="preserve">确认或重新出</w:t>
            </w:r>
          </w:p>
          <w:p>
            <w:pPr>
              <w:spacing w:before="12" w:after="0" w:line="240"/>
              <w:ind w:right="0" w:left="300" w:firstLine="0"/>
              <w:jc w:val="both"/>
              <w:rPr>
                <w:rFonts w:ascii="宋体" w:hAnsi="宋体" w:cs="宋体" w:eastAsia="宋体"/>
                <w:color w:val="auto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-8"/>
                <w:position w:val="0"/>
                <w:sz w:val="22"/>
                <w:shd w:fill="auto" w:val="clear"/>
              </w:rPr>
              <w:t xml:space="preserve">具已获取信息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48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0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（六）其他处理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  <w:tr>
        <w:trPr>
          <w:trHeight w:val="420" w:hRule="auto"/>
          <w:jc w:val="left"/>
        </w:trPr>
        <w:tc>
          <w:tcPr>
            <w:tcW w:w="112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2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0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（七）总计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340" w:hRule="auto"/>
          <w:jc w:val="left"/>
        </w:trPr>
        <w:tc>
          <w:tcPr>
            <w:tcW w:w="4140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40"/>
              <w:ind w:right="0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四、结转下年度继续办理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64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7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5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numPr>
          <w:ilvl w:val="0"/>
          <w:numId w:val="235"/>
        </w:num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  <w:t xml:space="preserve">政府信息公开行政复议、行政诉讼情况</w:t>
      </w:r>
    </w:p>
    <w:tbl>
      <w:tblPr>
        <w:tblInd w:w="230" w:type="dxa"/>
      </w:tblPr>
      <w:tblGrid>
        <w:gridCol w:w="580"/>
        <w:gridCol w:w="600"/>
        <w:gridCol w:w="600"/>
        <w:gridCol w:w="580"/>
        <w:gridCol w:w="460"/>
        <w:gridCol w:w="600"/>
        <w:gridCol w:w="600"/>
        <w:gridCol w:w="600"/>
        <w:gridCol w:w="580"/>
        <w:gridCol w:w="460"/>
        <w:gridCol w:w="600"/>
        <w:gridCol w:w="600"/>
        <w:gridCol w:w="600"/>
        <w:gridCol w:w="580"/>
        <w:gridCol w:w="480"/>
      </w:tblGrid>
      <w:tr>
        <w:trPr>
          <w:trHeight w:val="460" w:hRule="auto"/>
          <w:jc w:val="left"/>
        </w:trPr>
        <w:tc>
          <w:tcPr>
            <w:tcW w:w="282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1020" w:left="102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行政复议</w:t>
            </w:r>
          </w:p>
        </w:tc>
        <w:tc>
          <w:tcPr>
            <w:tcW w:w="5700" w:type="dxa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0" w:after="0" w:line="240"/>
              <w:ind w:right="2460" w:left="246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行政诉讼</w:t>
            </w:r>
          </w:p>
        </w:tc>
      </w:tr>
      <w:tr>
        <w:trPr>
          <w:trHeight w:val="540" w:hRule="auto"/>
          <w:jc w:val="left"/>
        </w:trPr>
        <w:tc>
          <w:tcPr>
            <w:tcW w:w="58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97" w:left="1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结果维持</w:t>
            </w:r>
          </w:p>
        </w:tc>
        <w:tc>
          <w:tcPr>
            <w:tcW w:w="60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97" w:left="12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结果纠正</w:t>
            </w:r>
          </w:p>
        </w:tc>
        <w:tc>
          <w:tcPr>
            <w:tcW w:w="60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18" w:left="99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其他结果</w:t>
            </w:r>
          </w:p>
        </w:tc>
        <w:tc>
          <w:tcPr>
            <w:tcW w:w="58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98" w:left="99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尚未审结</w:t>
            </w:r>
          </w:p>
        </w:tc>
        <w:tc>
          <w:tcPr>
            <w:tcW w:w="460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117" w:left="14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总计</w:t>
            </w:r>
          </w:p>
        </w:tc>
        <w:tc>
          <w:tcPr>
            <w:tcW w:w="284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0" w:left="70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未经复议直接起诉</w:t>
            </w:r>
          </w:p>
        </w:tc>
        <w:tc>
          <w:tcPr>
            <w:tcW w:w="2860" w:type="dxa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0" w:after="0" w:line="240"/>
              <w:ind w:right="940" w:left="96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复议后起诉</w:t>
            </w:r>
          </w:p>
        </w:tc>
      </w:tr>
      <w:tr>
        <w:trPr>
          <w:trHeight w:val="620" w:hRule="auto"/>
          <w:jc w:val="left"/>
        </w:trPr>
        <w:tc>
          <w:tcPr>
            <w:tcW w:w="58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0" w:type="dxa"/>
            <w:vMerge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19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结果</w:t>
            </w:r>
          </w:p>
          <w:p>
            <w:pPr>
              <w:spacing w:before="0" w:after="0" w:line="304"/>
              <w:ind w:right="0" w:left="119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维持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20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结果</w:t>
            </w:r>
          </w:p>
          <w:p>
            <w:pPr>
              <w:spacing w:before="0" w:after="0" w:line="304"/>
              <w:ind w:right="0" w:left="12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纠正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00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其他</w:t>
            </w:r>
          </w:p>
          <w:p>
            <w:pPr>
              <w:spacing w:before="0" w:after="0" w:line="304"/>
              <w:ind w:right="0" w:left="10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结果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99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尚未</w:t>
            </w:r>
          </w:p>
          <w:p>
            <w:pPr>
              <w:spacing w:before="0" w:after="0" w:line="304"/>
              <w:ind w:right="0" w:left="99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审结</w:t>
            </w:r>
          </w:p>
        </w:tc>
        <w:tc>
          <w:tcPr>
            <w:tcW w:w="4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40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总</w:t>
            </w:r>
          </w:p>
          <w:p>
            <w:pPr>
              <w:spacing w:before="0" w:after="0" w:line="304"/>
              <w:ind w:right="0" w:left="14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计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19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结果</w:t>
            </w:r>
          </w:p>
          <w:p>
            <w:pPr>
              <w:spacing w:before="0" w:after="0" w:line="304"/>
              <w:ind w:right="0" w:left="119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维持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19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结果</w:t>
            </w:r>
          </w:p>
          <w:p>
            <w:pPr>
              <w:spacing w:before="0" w:after="0" w:line="304"/>
              <w:ind w:right="0" w:left="119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纠正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00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其他</w:t>
            </w:r>
          </w:p>
          <w:p>
            <w:pPr>
              <w:spacing w:before="0" w:after="0" w:line="304"/>
              <w:ind w:right="0" w:left="10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结果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00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尚未</w:t>
            </w:r>
          </w:p>
          <w:p>
            <w:pPr>
              <w:spacing w:before="0" w:after="0" w:line="304"/>
              <w:ind w:right="0" w:left="10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审结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96"/>
              <w:ind w:right="0" w:left="139" w:firstLine="0"/>
              <w:jc w:val="both"/>
              <w:rPr>
                <w:rFonts w:ascii="Microsoft JhengHei" w:hAnsi="Microsoft JhengHei" w:cs="Microsoft JhengHei" w:eastAsia="Microsoft JhengHe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总</w:t>
            </w:r>
          </w:p>
          <w:p>
            <w:pPr>
              <w:spacing w:before="0" w:after="0" w:line="304"/>
              <w:ind w:right="0" w:left="139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计</w:t>
            </w:r>
          </w:p>
        </w:tc>
      </w:tr>
      <w:tr>
        <w:trPr>
          <w:trHeight w:val="560" w:hRule="auto"/>
          <w:jc w:val="left"/>
        </w:trPr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4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4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60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5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48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widowControl w:val="false"/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</w:p>
    <w:p>
      <w:pPr>
        <w:widowControl w:val="false"/>
        <w:numPr>
          <w:ilvl w:val="0"/>
          <w:numId w:val="281"/>
        </w:num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  <w:t xml:space="preserve">存在的主要问题及改进情况</w:t>
      </w:r>
    </w:p>
    <w:p>
      <w:pPr>
        <w:widowControl w:val="false"/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2020年，全镇政府信息公开工作在深化政府信息公开内容、完善政府信息公开配套工作、加强政府信息公开基础性工作等取得了新的进展，但政府机关主动公开政府信息工作还存在公开渠道狭窄，工作流程不规范，监督制度不完善等问题，与公众需求还存在一些差距。结合工作中存在的问题和不足，我们将从以下四个方面改进。</w:t>
      </w:r>
    </w:p>
    <w:p>
      <w:pPr>
        <w:widowControl w:val="false"/>
        <w:numPr>
          <w:ilvl w:val="0"/>
          <w:numId w:val="283"/>
        </w:num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2"/>
          <w:shd w:fill="auto" w:val="clear"/>
        </w:rPr>
        <w:t xml:space="preserve">进一步拓宽公开渠道。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进一步梳理、整合政府信息，规范公开政府办事服务信息；在其它公共场所采用政府简报、公开栏、便民手册等多种方式，为群众、法人或者其它组织获取政府信息提供便利。</w:t>
      </w:r>
    </w:p>
    <w:p>
      <w:pPr>
        <w:widowControl w:val="false"/>
        <w:numPr>
          <w:ilvl w:val="0"/>
          <w:numId w:val="283"/>
        </w:num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2"/>
          <w:shd w:fill="auto" w:val="clear"/>
        </w:rPr>
        <w:t xml:space="preserve">规范工作流程。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升级完善全镇政府信息公开目录体系，规范公开行为，逐级细化政府信息公开审核、发布、监督评议、问责等工作流程。</w:t>
      </w:r>
    </w:p>
    <w:p>
      <w:pPr>
        <w:widowControl w:val="false"/>
        <w:numPr>
          <w:ilvl w:val="0"/>
          <w:numId w:val="283"/>
        </w:num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2"/>
          <w:shd w:fill="auto" w:val="clear"/>
        </w:rPr>
        <w:t xml:space="preserve">完善配套制度。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完善依申请公开分发、处理、反馈工作机制，依法稳妥做好依申请公开工作；建立健全政府信息发布机制，及时澄清虚假或不完整信息；制定政府信息公开考核制度，细化考核内容。</w:t>
      </w:r>
    </w:p>
    <w:p>
      <w:pPr>
        <w:widowControl w:val="false"/>
        <w:numPr>
          <w:ilvl w:val="0"/>
          <w:numId w:val="283"/>
        </w:numPr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2"/>
          <w:shd w:fill="auto" w:val="clear"/>
        </w:rPr>
        <w:t xml:space="preserve">加强监督检查。</w:t>
      </w: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进一步完善监督评议机制，对政府信息公开内容、便民程度以及公开的效果、群众的满意度、群众意见建议和投诉处理的落实情况等进行综合评议、考核，推动政府信息公开工作深入开展。</w:t>
      </w:r>
    </w:p>
    <w:p>
      <w:pPr>
        <w:widowControl w:val="false"/>
        <w:numPr>
          <w:ilvl w:val="0"/>
          <w:numId w:val="283"/>
        </w:numPr>
        <w:spacing w:before="0" w:after="0" w:line="240"/>
        <w:ind w:right="0" w:left="0" w:firstLine="0"/>
        <w:jc w:val="left"/>
        <w:rPr>
          <w:rFonts w:ascii="黑体" w:hAnsi="黑体" w:cs="黑体" w:eastAsia="黑体"/>
          <w:color w:val="auto"/>
          <w:spacing w:val="0"/>
          <w:position w:val="0"/>
          <w:sz w:val="32"/>
          <w:shd w:fill="auto" w:val="clear"/>
        </w:rPr>
      </w:pPr>
      <w:r>
        <w:rPr>
          <w:rFonts w:ascii="黑体" w:hAnsi="黑体" w:cs="黑体" w:eastAsia="黑体"/>
          <w:color w:val="000000"/>
          <w:spacing w:val="0"/>
          <w:position w:val="0"/>
          <w:sz w:val="32"/>
          <w:shd w:fill="auto" w:val="clear"/>
        </w:rPr>
        <w:t xml:space="preserve">其他需要报告的事项</w:t>
      </w:r>
    </w:p>
    <w:p>
      <w:pPr>
        <w:widowControl w:val="false"/>
        <w:spacing w:before="0" w:after="0" w:line="560"/>
        <w:ind w:right="0" w:left="0" w:firstLine="640"/>
        <w:jc w:val="both"/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</w:pPr>
      <w:r>
        <w:rPr>
          <w:rFonts w:ascii="仿宋_GB2312" w:hAnsi="仿宋_GB2312" w:cs="仿宋_GB2312" w:eastAsia="仿宋_GB2312"/>
          <w:color w:val="auto"/>
          <w:spacing w:val="0"/>
          <w:position w:val="0"/>
          <w:sz w:val="32"/>
          <w:shd w:fill="auto" w:val="clear"/>
        </w:rPr>
        <w:t xml:space="preserve">无。</w:t>
      </w:r>
    </w:p>
    <w:p>
      <w:pPr>
        <w:spacing w:before="0" w:after="0" w:line="240"/>
        <w:ind w:right="0" w:left="0" w:firstLine="0"/>
        <w:jc w:val="center"/>
        <w:rPr>
          <w:rFonts w:ascii="方正小标宋简体" w:hAnsi="方正小标宋简体" w:cs="方正小标宋简体" w:eastAsia="方正小标宋简体"/>
          <w:color w:val="auto"/>
          <w:spacing w:val="0"/>
          <w:position w:val="0"/>
          <w:sz w:val="4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4">
    <w:abstractNumId w:val="24"/>
  </w:num>
  <w:num w:numId="76">
    <w:abstractNumId w:val="18"/>
  </w:num>
  <w:num w:numId="235">
    <w:abstractNumId w:val="12"/>
  </w:num>
  <w:num w:numId="281">
    <w:abstractNumId w:val="6"/>
  </w:num>
  <w:num w:numId="28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