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马桥镇人民</w:t>
      </w:r>
      <w:r>
        <w:rPr>
          <w:rFonts w:hint="eastAsia" w:ascii="方正小标宋简体" w:hAnsi="方正小标宋简体" w:eastAsia="方正小标宋简体" w:cs="方正小标宋简体"/>
          <w:sz w:val="44"/>
          <w:szCs w:val="44"/>
        </w:rPr>
        <w:t>政府</w:t>
      </w:r>
      <w:r>
        <w:rPr>
          <w:rFonts w:hint="eastAsia" w:ascii="方正小标宋简体" w:hAnsi="方正小标宋简体" w:eastAsia="方正小标宋简体" w:cs="方正小标宋简体"/>
          <w:sz w:val="44"/>
          <w:szCs w:val="44"/>
          <w:lang w:val="en-US" w:eastAsia="zh-CN"/>
        </w:rPr>
        <w:t>2021年政府</w:t>
      </w:r>
    </w:p>
    <w:p>
      <w:pPr>
        <w:spacing w:beforeLines="0" w:afterLine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信息公开工作年度报告</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政府的正确领导下，我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认真贯彻《中华人民共和国政府信息公开条例》《中共中央办公厅国务院办公厅关于全面推进政务公开工作的意见》等文件精神，不断加强政府信息公开工作，强化公开平台建设，创新公开方式，拓宽公开范围，全力推进政务公开工作扎实有序开展。现将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年政务公开工作情况总结如下: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主动公开</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rPr>
        <w:t>充分发挥政府网站在信息公开中的平台作用，着力建设新媒体</w:t>
      </w:r>
      <w:r>
        <w:rPr>
          <w:rFonts w:hint="eastAsia" w:ascii="仿宋_GB2312" w:hAnsi="仿宋_GB2312" w:eastAsia="仿宋_GB2312" w:cs="仿宋_GB2312"/>
          <w:sz w:val="32"/>
          <w:szCs w:val="32"/>
          <w:lang w:eastAsia="zh-CN"/>
        </w:rPr>
        <w:t>“瞩目马桥”</w:t>
      </w:r>
      <w:r>
        <w:rPr>
          <w:rFonts w:hint="eastAsia" w:ascii="仿宋_GB2312" w:hAnsi="仿宋_GB2312" w:eastAsia="仿宋_GB2312" w:cs="仿宋_GB2312"/>
          <w:sz w:val="32"/>
          <w:szCs w:val="32"/>
        </w:rPr>
        <w:t>的政务信息发布。完善主动发布机制，共主动公开政府信息</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条，其他信息</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依申请公开。</w:t>
      </w:r>
      <w:r>
        <w:rPr>
          <w:rFonts w:hint="eastAsia" w:ascii="仿宋_GB2312" w:hAnsi="仿宋_GB2312" w:eastAsia="仿宋_GB2312" w:cs="仿宋_GB2312"/>
          <w:sz w:val="32"/>
          <w:szCs w:val="32"/>
        </w:rPr>
        <w:t>全年共办理依申请公开事项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涉及土地规划图公开，已</w:t>
      </w:r>
      <w:r>
        <w:rPr>
          <w:rFonts w:hint="eastAsia" w:ascii="仿宋_GB2312" w:hAnsi="仿宋_GB2312" w:eastAsia="仿宋_GB2312" w:cs="仿宋_GB2312"/>
          <w:sz w:val="32"/>
          <w:szCs w:val="32"/>
        </w:rPr>
        <w:t>按时完成，未引发行政复议及诉讼。</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2020年相比，申请公开数量减少2件，无收费情况。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（三）政府信息管理。</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加强信息公开组织领导。成立由</w:t>
      </w:r>
      <w:r>
        <w:rPr>
          <w:rFonts w:hint="eastAsia" w:ascii="仿宋_GB2312" w:hAnsi="仿宋_GB2312" w:eastAsia="仿宋_GB2312" w:cs="仿宋_GB2312"/>
          <w:sz w:val="32"/>
          <w:szCs w:val="32"/>
          <w:lang w:eastAsia="zh-CN"/>
        </w:rPr>
        <w:t>镇党委书记任组长，镇长任副组长，镇党委副书记、</w:t>
      </w:r>
      <w:r>
        <w:rPr>
          <w:rFonts w:hint="eastAsia" w:ascii="仿宋_GB2312" w:hAnsi="仿宋_GB2312" w:eastAsia="仿宋_GB2312" w:cs="仿宋_GB2312"/>
          <w:sz w:val="32"/>
          <w:szCs w:val="32"/>
        </w:rPr>
        <w:t>分管领导</w:t>
      </w:r>
      <w:r>
        <w:rPr>
          <w:rFonts w:hint="eastAsia" w:ascii="仿宋_GB2312" w:hAnsi="仿宋_GB2312" w:eastAsia="仿宋_GB2312" w:cs="仿宋_GB2312"/>
          <w:sz w:val="32"/>
          <w:szCs w:val="32"/>
          <w:lang w:eastAsia="zh-CN"/>
        </w:rPr>
        <w:t>为成员</w:t>
      </w:r>
      <w:r>
        <w:rPr>
          <w:rFonts w:hint="eastAsia" w:ascii="仿宋_GB2312" w:hAnsi="仿宋_GB2312" w:eastAsia="仿宋_GB2312" w:cs="仿宋_GB2312"/>
          <w:sz w:val="32"/>
          <w:szCs w:val="32"/>
        </w:rPr>
        <w:t>的政府信息公开工作领导小组，由党政办具体负责政府信息公开日常事务。</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健全信息公开管理制度。严格执行信息公开内容审查制度，按照“先审后发”的程序，确保涉密信息不上网。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（四）政府信息公开平台建设</w:t>
      </w:r>
      <w:r>
        <w:rPr>
          <w:rFonts w:hint="eastAsia" w:ascii="楷体" w:hAnsi="楷体" w:eastAsia="楷体" w:cs="楷体"/>
          <w:sz w:val="32"/>
          <w:szCs w:val="32"/>
        </w:rPr>
        <w:t>。</w:t>
      </w:r>
      <w:r>
        <w:rPr>
          <w:rFonts w:hint="eastAsia" w:ascii="仿宋_GB2312" w:hAnsi="仿宋_GB2312" w:eastAsia="仿宋_GB2312" w:cs="仿宋_GB2312"/>
          <w:sz w:val="32"/>
          <w:szCs w:val="32"/>
        </w:rPr>
        <w:t>我镇落实专人负责政府信息公开平台的运行维护，按照更新周期要求，进行动态更新及适时发布信息，同时由宣传干事负责“</w:t>
      </w:r>
      <w:r>
        <w:rPr>
          <w:rFonts w:hint="eastAsia" w:ascii="仿宋_GB2312" w:hAnsi="仿宋_GB2312" w:eastAsia="仿宋_GB2312" w:cs="仿宋_GB2312"/>
          <w:sz w:val="32"/>
          <w:szCs w:val="32"/>
          <w:lang w:eastAsia="zh-CN"/>
        </w:rPr>
        <w:t>瞩目马桥</w:t>
      </w:r>
      <w:r>
        <w:rPr>
          <w:rFonts w:hint="eastAsia" w:ascii="仿宋_GB2312" w:hAnsi="仿宋_GB2312" w:eastAsia="仿宋_GB2312" w:cs="仿宋_GB2312"/>
          <w:sz w:val="32"/>
          <w:szCs w:val="32"/>
        </w:rPr>
        <w:t>”公众号的运行管理。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w:t>
      </w:r>
      <w:r>
        <w:rPr>
          <w:rFonts w:hint="eastAsia" w:ascii="楷体" w:hAnsi="楷体" w:eastAsia="楷体" w:cs="楷体"/>
          <w:sz w:val="32"/>
          <w:szCs w:val="32"/>
          <w:lang w:eastAsia="zh-CN"/>
        </w:rPr>
        <w:t>监督保障</w:t>
      </w:r>
      <w:r>
        <w:rPr>
          <w:rFonts w:hint="eastAsia" w:ascii="楷体" w:hAnsi="楷体" w:eastAsia="楷体" w:cs="楷体"/>
          <w:sz w:val="32"/>
          <w:szCs w:val="32"/>
        </w:rPr>
        <w:t>。</w:t>
      </w:r>
      <w:r>
        <w:rPr>
          <w:rFonts w:hint="eastAsia" w:ascii="仿宋_GB2312" w:hAnsi="仿宋_GB2312" w:eastAsia="仿宋_GB2312" w:cs="仿宋_GB2312"/>
          <w:sz w:val="32"/>
          <w:szCs w:val="32"/>
        </w:rPr>
        <w:t>定期对网站公开目录系统进行全面巡查，将政府信息公开工作分解落实到各</w:t>
      </w:r>
      <w:r>
        <w:rPr>
          <w:rFonts w:hint="eastAsia" w:ascii="仿宋_GB2312" w:hAnsi="仿宋_GB2312" w:eastAsia="仿宋_GB2312" w:cs="仿宋_GB2312"/>
          <w:sz w:val="32"/>
          <w:szCs w:val="32"/>
          <w:lang w:eastAsia="zh-CN"/>
        </w:rPr>
        <w:t>委办。</w:t>
      </w:r>
      <w:r>
        <w:rPr>
          <w:rFonts w:hint="eastAsia" w:ascii="仿宋_GB2312" w:hAnsi="仿宋_GB2312" w:eastAsia="仿宋_GB2312" w:cs="仿宋_GB2312"/>
          <w:sz w:val="32"/>
          <w:szCs w:val="32"/>
        </w:rPr>
        <w:t>积极组织工作人员参加关于政府信息公开相关业务培训，及时与上级相关部门对接工作，</w:t>
      </w:r>
      <w:r>
        <w:rPr>
          <w:rFonts w:hint="eastAsia" w:ascii="仿宋_GB2312" w:hAnsi="仿宋_GB2312" w:eastAsia="仿宋_GB2312" w:cs="仿宋_GB2312"/>
          <w:sz w:val="32"/>
          <w:szCs w:val="32"/>
          <w:lang w:eastAsia="zh-CN"/>
        </w:rPr>
        <w:t>全面保障</w:t>
      </w:r>
      <w:r>
        <w:rPr>
          <w:rFonts w:hint="eastAsia" w:ascii="仿宋_GB2312" w:hAnsi="仿宋_GB2312" w:eastAsia="仿宋_GB2312" w:cs="仿宋_GB2312"/>
          <w:sz w:val="32"/>
          <w:szCs w:val="32"/>
        </w:rPr>
        <w:t>政府信息公开。</w:t>
      </w:r>
    </w:p>
    <w:p>
      <w:pPr>
        <w:spacing w:beforeLines="0" w:afterLines="0"/>
        <w:rPr>
          <w:rFonts w:hint="eastAsia" w:ascii="黑体" w:hAnsi="黑体" w:eastAsia="黑体" w:cs="黑体"/>
          <w:sz w:val="32"/>
          <w:szCs w:val="32"/>
        </w:rPr>
      </w:pPr>
      <w:r>
        <w:rPr>
          <w:rFonts w:hint="eastAsia" w:ascii="黑体" w:hAnsi="黑体" w:eastAsia="黑体" w:cs="黑体"/>
          <w:sz w:val="32"/>
          <w:szCs w:val="32"/>
        </w:rPr>
        <w:t>二、主动公开政府信息情况</w:t>
      </w:r>
    </w:p>
    <w:p>
      <w:pPr>
        <w:spacing w:beforeLines="0" w:afterLines="0"/>
        <w:rPr>
          <w:rFonts w:hint="eastAsia" w:ascii="黑体" w:hAnsi="黑体" w:eastAsia="黑体" w:cs="黑体"/>
          <w:sz w:val="32"/>
          <w:szCs w:val="32"/>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beforeLines="0" w:afterLines="0"/>
        <w:rPr>
          <w:rFonts w:hint="eastAsia" w:ascii="黑体" w:hAnsi="黑体" w:eastAsia="黑体" w:cs="黑体"/>
          <w:sz w:val="32"/>
          <w:szCs w:val="32"/>
        </w:rPr>
      </w:pPr>
    </w:p>
    <w:p>
      <w:pPr>
        <w:spacing w:beforeLines="0" w:afterLines="0"/>
        <w:rPr>
          <w:rFonts w:hint="eastAsia" w:ascii="黑体" w:hAnsi="黑体" w:eastAsia="黑体" w:cs="黑体"/>
          <w:sz w:val="32"/>
          <w:szCs w:val="32"/>
        </w:rPr>
      </w:pPr>
    </w:p>
    <w:p>
      <w:pPr>
        <w:spacing w:beforeLines="0" w:afterLines="0"/>
        <w:rPr>
          <w:rFonts w:hint="eastAsia" w:ascii="黑体" w:hAnsi="黑体" w:eastAsia="黑体" w:cs="黑体"/>
          <w:sz w:val="32"/>
          <w:szCs w:val="32"/>
        </w:rPr>
      </w:pPr>
    </w:p>
    <w:p>
      <w:pPr>
        <w:spacing w:beforeLines="0" w:afterLines="0"/>
        <w:rPr>
          <w:rFonts w:hint="eastAsia" w:ascii="黑体" w:hAnsi="黑体" w:eastAsia="黑体" w:cs="黑体"/>
          <w:sz w:val="32"/>
          <w:szCs w:val="32"/>
        </w:rPr>
      </w:pPr>
    </w:p>
    <w:p>
      <w:pPr>
        <w:spacing w:beforeLines="0" w:afterLines="0"/>
        <w:rPr>
          <w:rFonts w:hint="eastAsia" w:ascii="黑体" w:hAnsi="黑体" w:eastAsia="黑体" w:cs="黑体"/>
          <w:sz w:val="32"/>
          <w:szCs w:val="32"/>
        </w:rPr>
      </w:pPr>
    </w:p>
    <w:p>
      <w:pPr>
        <w:spacing w:beforeLines="0" w:afterLines="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pPr w:leftFromText="180" w:rightFromText="180" w:vertAnchor="text" w:horzAnchor="page" w:tblpX="1363" w:tblpY="621"/>
        <w:tblOverlap w:val="never"/>
        <w:tblW w:w="1013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62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617"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627"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continue"/>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627" w:type="dxa"/>
            <w:vMerge w:val="continue"/>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restart"/>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（一）予以公开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（二）部分公开（区分处理的，只计这一情形，不计其他情形）</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（三）不予公开</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1.属于国家秘密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2.其他法律行政法规禁止公开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3.危及“三安全一稳定”</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4.保护第三方合法权益</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5.属于三类内部事务信息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6.属于四类过程性信息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7"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beforeLines="0" w:afterLines="0"/>
        <w:rPr>
          <w:rFonts w:hint="eastAsia" w:ascii="仿宋" w:hAnsi="仿宋" w:eastAsia="仿宋" w:cs="仿宋"/>
          <w:sz w:val="32"/>
          <w:szCs w:val="32"/>
        </w:rPr>
      </w:pPr>
      <w:r>
        <w:rPr>
          <w:rFonts w:hint="eastAsia" w:ascii="黑体" w:hAnsi="黑体" w:eastAsia="黑体" w:cs="黑体"/>
          <w:sz w:val="32"/>
          <w:szCs w:val="32"/>
        </w:rPr>
        <w:t>四、政府信息公开行政复议、行政诉讼情况</w:t>
      </w:r>
    </w:p>
    <w:tbl>
      <w:tblPr>
        <w:tblStyle w:val="5"/>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行政复议</w:t>
            </w:r>
          </w:p>
        </w:tc>
        <w:tc>
          <w:tcPr>
            <w:tcW w:w="6428"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结果维持</w:t>
            </w:r>
          </w:p>
        </w:tc>
        <w:tc>
          <w:tcPr>
            <w:tcW w:w="642"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42"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42"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42"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3213"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1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2"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2"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2"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2"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43"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2"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3"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beforeLines="0" w:afterLines="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年，我镇政府信息公开工作还存在一些不足，一是</w:t>
      </w:r>
      <w:r>
        <w:rPr>
          <w:rFonts w:hint="eastAsia" w:ascii="仿宋_GB2312" w:hAnsi="仿宋_GB2312" w:eastAsia="仿宋_GB2312" w:cs="仿宋_GB2312"/>
          <w:sz w:val="32"/>
          <w:szCs w:val="32"/>
          <w:lang w:eastAsia="zh-CN"/>
        </w:rPr>
        <w:t>部分栏目更新不及时，</w:t>
      </w:r>
      <w:r>
        <w:rPr>
          <w:rFonts w:hint="eastAsia" w:ascii="仿宋_GB2312" w:hAnsi="仿宋_GB2312" w:eastAsia="仿宋_GB2312" w:cs="仿宋_GB2312"/>
          <w:sz w:val="32"/>
          <w:szCs w:val="32"/>
        </w:rPr>
        <w:t>二是政府信息公开内容格式不规范。对于以上问题，</w:t>
      </w:r>
      <w:r>
        <w:rPr>
          <w:rFonts w:hint="eastAsia" w:ascii="仿宋_GB2312" w:hAnsi="仿宋_GB2312" w:eastAsia="仿宋_GB2312" w:cs="仿宋_GB2312"/>
          <w:sz w:val="32"/>
          <w:szCs w:val="32"/>
          <w:lang w:eastAsia="zh-CN"/>
        </w:rPr>
        <w:t>我镇</w:t>
      </w:r>
      <w:r>
        <w:rPr>
          <w:rFonts w:hint="eastAsia" w:ascii="仿宋_GB2312" w:hAnsi="仿宋_GB2312" w:eastAsia="仿宋_GB2312" w:cs="仿宋_GB2312"/>
          <w:sz w:val="32"/>
          <w:szCs w:val="32"/>
        </w:rPr>
        <w:t>将进一步完善政务信息公开工作制度及保障措施，继续优化政府网站与</w:t>
      </w:r>
      <w:r>
        <w:rPr>
          <w:rFonts w:hint="eastAsia" w:ascii="仿宋_GB2312" w:hAnsi="仿宋_GB2312" w:eastAsia="仿宋_GB2312" w:cs="仿宋_GB2312"/>
          <w:sz w:val="32"/>
          <w:szCs w:val="32"/>
          <w:lang w:eastAsia="zh-CN"/>
        </w:rPr>
        <w:t>微信公号</w:t>
      </w:r>
      <w:r>
        <w:rPr>
          <w:rFonts w:hint="eastAsia" w:ascii="仿宋_GB2312" w:hAnsi="仿宋_GB2312" w:eastAsia="仿宋_GB2312" w:cs="仿宋_GB2312"/>
          <w:sz w:val="32"/>
          <w:szCs w:val="32"/>
        </w:rPr>
        <w:t>等信息交流共享平台，扎实做好政府信息公开工作，不断提升信息公开工作水平，提高公众对我街道政府信息的获得感和满意度。</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(一)收费情况。</w:t>
      </w:r>
      <w:r>
        <w:rPr>
          <w:rFonts w:hint="eastAsia" w:ascii="仿宋_GB2312" w:hAnsi="仿宋_GB2312" w:eastAsia="仿宋_GB2312" w:cs="仿宋_GB2312"/>
          <w:sz w:val="32"/>
          <w:szCs w:val="32"/>
          <w:lang w:eastAsia="zh-CN"/>
        </w:rPr>
        <w:t>2021年度，我单位无收取政府信息公开信息处理费的情况。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(二)提案建议办理情况</w:t>
      </w:r>
      <w:r>
        <w:rPr>
          <w:rFonts w:hint="eastAsia" w:ascii="仿宋_GB2312" w:hAnsi="仿宋_GB2312" w:eastAsia="仿宋_GB2312" w:cs="仿宋_GB2312"/>
          <w:sz w:val="32"/>
          <w:szCs w:val="32"/>
          <w:lang w:eastAsia="zh-CN"/>
        </w:rPr>
        <w:t>。2021年，我单位共收到政协委员提</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件，人大代表建议0件。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(三)政务公开要点落实情况。</w:t>
      </w:r>
      <w:r>
        <w:rPr>
          <w:rFonts w:hint="eastAsia" w:ascii="仿宋_GB2312" w:hAnsi="仿宋_GB2312" w:eastAsia="仿宋_GB2312" w:cs="仿宋_GB2312"/>
          <w:sz w:val="32"/>
          <w:szCs w:val="32"/>
          <w:lang w:eastAsia="zh-CN"/>
        </w:rPr>
        <w:t>依法公开工作职能、机构设置等信息。围绕实际承担的工作职责及时全面梳理主动公开内容，按目录及时公开有关内容。根据省市县关于全面推进政务公开标准化规范化工作的相关文件要求，结合本单位实际，全面推进政务公开标准化规范化工作。</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eastAsia="zh-CN"/>
        </w:rPr>
        <w:t>(四)政务公开工作创新情况。</w:t>
      </w:r>
      <w:r>
        <w:rPr>
          <w:rFonts w:hint="eastAsia" w:ascii="仿宋_GB2312" w:hAnsi="仿宋_GB2312" w:eastAsia="仿宋_GB2312" w:cs="仿宋_GB2312"/>
          <w:sz w:val="32"/>
          <w:szCs w:val="32"/>
          <w:lang w:eastAsia="zh-CN"/>
        </w:rPr>
        <w:t>本年度无政务公开工作创新情况。</w:t>
      </w:r>
    </w:p>
    <w:sectPr>
      <w:footerReference r:id="rId3" w:type="default"/>
      <w:pgSz w:w="11906" w:h="16838"/>
      <w:pgMar w:top="2007" w:right="1463" w:bottom="172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3733165</wp:posOffset>
              </wp:positionH>
              <wp:positionV relativeFrom="page">
                <wp:posOffset>10052685</wp:posOffset>
              </wp:positionV>
              <wp:extent cx="19050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65100"/>
                      </a:xfrm>
                      <a:prstGeom prst="rect">
                        <a:avLst/>
                      </a:prstGeom>
                      <a:noFill/>
                      <a:ln>
                        <a:noFill/>
                      </a:ln>
                    </wps:spPr>
                    <wps:txbx>
                      <w:txbxContent>
                        <w:p>
                          <w:pPr>
                            <w:spacing w:before="0" w:line="260" w:lineRule="exact"/>
                            <w:ind w:left="40" w:right="0" w:firstLine="0"/>
                            <w:jc w:val="left"/>
                            <w:rPr>
                              <w:sz w:val="22"/>
                            </w:rPr>
                          </w:pPr>
                          <w:r>
                            <w:fldChar w:fldCharType="begin"/>
                          </w:r>
                          <w:r>
                            <w:rPr>
                              <w:sz w:val="22"/>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95pt;margin-top:791.55pt;height:13pt;width:15pt;mso-position-horizontal-relative:page;mso-position-vertical-relative:page;z-index:-251657216;mso-width-relative:page;mso-height-relative:page;" filled="f" stroked="f" coordsize="21600,21600" o:gfxdata="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ZhsGNoAAAANAQAADwAAAAAAAAABACAAAAAiAAAAZHJzL2Rvd25yZXYueG1sUEsBAhQA&#10;FAAAAAgAh07iQJoFWOC3AQAAcQMAAA4AAAAAAAAAAQAgAAAAKQEAAGRycy9lMm9Eb2MueG1sUEsF&#10;BgAAAAAGAAYAWQEAAFIFAAAAAA==&#10;">
              <v:fill on="f" focussize="0,0"/>
              <v:stroke on="f"/>
              <v:imagedata o:title=""/>
              <o:lock v:ext="edit" aspectratio="f"/>
              <v:textbox inset="0mm,0mm,0mm,0mm">
                <w:txbxContent>
                  <w:p>
                    <w:pPr>
                      <w:spacing w:before="0" w:line="260" w:lineRule="exact"/>
                      <w:ind w:left="40" w:right="0" w:firstLine="0"/>
                      <w:jc w:val="left"/>
                      <w:rPr>
                        <w:sz w:val="22"/>
                      </w:rPr>
                    </w:pPr>
                    <w:r>
                      <w:fldChar w:fldCharType="begin"/>
                    </w:r>
                    <w:r>
                      <w:rPr>
                        <w:sz w:val="22"/>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38F4"/>
    <w:multiLevelType w:val="singleLevel"/>
    <w:tmpl w:val="87B538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6E13"/>
    <w:rsid w:val="00CD3BD9"/>
    <w:rsid w:val="00EA3068"/>
    <w:rsid w:val="01606728"/>
    <w:rsid w:val="019B2FEF"/>
    <w:rsid w:val="01E33B93"/>
    <w:rsid w:val="025B6AAA"/>
    <w:rsid w:val="0339592D"/>
    <w:rsid w:val="03A03184"/>
    <w:rsid w:val="05492548"/>
    <w:rsid w:val="05554935"/>
    <w:rsid w:val="06952264"/>
    <w:rsid w:val="09F215B2"/>
    <w:rsid w:val="0A4D7496"/>
    <w:rsid w:val="0BBD324C"/>
    <w:rsid w:val="0C0F4A2F"/>
    <w:rsid w:val="0C5C7609"/>
    <w:rsid w:val="0CA752D2"/>
    <w:rsid w:val="0ECC12D1"/>
    <w:rsid w:val="104300C1"/>
    <w:rsid w:val="11EC08DB"/>
    <w:rsid w:val="12266484"/>
    <w:rsid w:val="124422CF"/>
    <w:rsid w:val="13366846"/>
    <w:rsid w:val="13461376"/>
    <w:rsid w:val="14220443"/>
    <w:rsid w:val="142470D7"/>
    <w:rsid w:val="15995057"/>
    <w:rsid w:val="177366C3"/>
    <w:rsid w:val="18825FB3"/>
    <w:rsid w:val="18C563FF"/>
    <w:rsid w:val="19440EBF"/>
    <w:rsid w:val="1D6436F5"/>
    <w:rsid w:val="1E0B5CBA"/>
    <w:rsid w:val="1ED51FC9"/>
    <w:rsid w:val="1F10327F"/>
    <w:rsid w:val="1F4D25F8"/>
    <w:rsid w:val="1F565CC0"/>
    <w:rsid w:val="1FB3110C"/>
    <w:rsid w:val="1FB774C9"/>
    <w:rsid w:val="215624BD"/>
    <w:rsid w:val="21D06ED2"/>
    <w:rsid w:val="21F35D34"/>
    <w:rsid w:val="221E72F9"/>
    <w:rsid w:val="226C47C6"/>
    <w:rsid w:val="229E48DB"/>
    <w:rsid w:val="22FB7F7F"/>
    <w:rsid w:val="23E02922"/>
    <w:rsid w:val="255B08E9"/>
    <w:rsid w:val="257D0F08"/>
    <w:rsid w:val="259F2AFD"/>
    <w:rsid w:val="25C27654"/>
    <w:rsid w:val="25E346A4"/>
    <w:rsid w:val="27182F0D"/>
    <w:rsid w:val="276B53DA"/>
    <w:rsid w:val="290336EA"/>
    <w:rsid w:val="2C2C0E15"/>
    <w:rsid w:val="2D8B2CC5"/>
    <w:rsid w:val="2D987A07"/>
    <w:rsid w:val="2DCA2A28"/>
    <w:rsid w:val="2E0F3004"/>
    <w:rsid w:val="2FB7247A"/>
    <w:rsid w:val="30D86302"/>
    <w:rsid w:val="30FD171F"/>
    <w:rsid w:val="3138690D"/>
    <w:rsid w:val="32FC43B4"/>
    <w:rsid w:val="32FC6156"/>
    <w:rsid w:val="33920B03"/>
    <w:rsid w:val="33E30D15"/>
    <w:rsid w:val="347A65AD"/>
    <w:rsid w:val="35067B08"/>
    <w:rsid w:val="363960BE"/>
    <w:rsid w:val="36564B04"/>
    <w:rsid w:val="36582569"/>
    <w:rsid w:val="369415F4"/>
    <w:rsid w:val="37355F18"/>
    <w:rsid w:val="374B4BD9"/>
    <w:rsid w:val="378225B3"/>
    <w:rsid w:val="378B1CFE"/>
    <w:rsid w:val="37990BFB"/>
    <w:rsid w:val="379978D1"/>
    <w:rsid w:val="379C572A"/>
    <w:rsid w:val="37C4525E"/>
    <w:rsid w:val="38096ADD"/>
    <w:rsid w:val="391A06D2"/>
    <w:rsid w:val="3BAA5C47"/>
    <w:rsid w:val="3CBC7404"/>
    <w:rsid w:val="40A9685F"/>
    <w:rsid w:val="40BD60BF"/>
    <w:rsid w:val="41220805"/>
    <w:rsid w:val="415E03DD"/>
    <w:rsid w:val="441F0F50"/>
    <w:rsid w:val="44941A9D"/>
    <w:rsid w:val="44F4438C"/>
    <w:rsid w:val="468217B0"/>
    <w:rsid w:val="469B0365"/>
    <w:rsid w:val="474462AE"/>
    <w:rsid w:val="49757894"/>
    <w:rsid w:val="4A8C22A5"/>
    <w:rsid w:val="4C271AB0"/>
    <w:rsid w:val="4CE00DA6"/>
    <w:rsid w:val="4D712350"/>
    <w:rsid w:val="4E2661A3"/>
    <w:rsid w:val="4E3221F7"/>
    <w:rsid w:val="4E5B5A4D"/>
    <w:rsid w:val="4E636A7A"/>
    <w:rsid w:val="53075135"/>
    <w:rsid w:val="532B1DB7"/>
    <w:rsid w:val="543D36A4"/>
    <w:rsid w:val="54D67D81"/>
    <w:rsid w:val="54DF6509"/>
    <w:rsid w:val="55591DEA"/>
    <w:rsid w:val="567800EE"/>
    <w:rsid w:val="56FB12EE"/>
    <w:rsid w:val="58872CD5"/>
    <w:rsid w:val="58F93FFE"/>
    <w:rsid w:val="5A5E31A6"/>
    <w:rsid w:val="5B790761"/>
    <w:rsid w:val="5C484272"/>
    <w:rsid w:val="5C772A32"/>
    <w:rsid w:val="5CF25A9A"/>
    <w:rsid w:val="5D8D0A9C"/>
    <w:rsid w:val="5E476826"/>
    <w:rsid w:val="5F9A78DB"/>
    <w:rsid w:val="5FCA53EC"/>
    <w:rsid w:val="608531AF"/>
    <w:rsid w:val="6249396F"/>
    <w:rsid w:val="630D46AD"/>
    <w:rsid w:val="63884AEF"/>
    <w:rsid w:val="64F14457"/>
    <w:rsid w:val="67CF22E7"/>
    <w:rsid w:val="699A5AD6"/>
    <w:rsid w:val="6B0E46FF"/>
    <w:rsid w:val="6B3E43E1"/>
    <w:rsid w:val="6B570981"/>
    <w:rsid w:val="6E0A43AD"/>
    <w:rsid w:val="6EED7D49"/>
    <w:rsid w:val="6F332BDE"/>
    <w:rsid w:val="6F760CCA"/>
    <w:rsid w:val="710E776D"/>
    <w:rsid w:val="723F18B4"/>
    <w:rsid w:val="72434380"/>
    <w:rsid w:val="7431692A"/>
    <w:rsid w:val="74524160"/>
    <w:rsid w:val="752A6268"/>
    <w:rsid w:val="76A62DE4"/>
    <w:rsid w:val="770905D5"/>
    <w:rsid w:val="77713B84"/>
    <w:rsid w:val="77FF6420"/>
    <w:rsid w:val="792A1B99"/>
    <w:rsid w:val="798F25C2"/>
    <w:rsid w:val="79AF0A5A"/>
    <w:rsid w:val="7A0917AF"/>
    <w:rsid w:val="7ADF5309"/>
    <w:rsid w:val="7B8B496B"/>
    <w:rsid w:val="7CA54407"/>
    <w:rsid w:val="7D0A672C"/>
    <w:rsid w:val="7D32101D"/>
    <w:rsid w:val="7FE94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2"/>
      <w:ind w:left="3202" w:right="3080"/>
      <w:jc w:val="center"/>
      <w:outlineLvl w:val="1"/>
    </w:pPr>
    <w:rPr>
      <w:rFonts w:ascii="宋体" w:hAnsi="宋体" w:eastAsia="宋体" w:cs="宋体"/>
      <w:b/>
      <w:bCs/>
      <w:sz w:val="44"/>
      <w:szCs w:val="4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0" w:firstLine="640"/>
    </w:pPr>
    <w:rPr>
      <w:rFonts w:ascii="宋体" w:hAnsi="宋体" w:eastAsia="宋体" w:cs="宋体"/>
      <w:sz w:val="32"/>
      <w:szCs w:val="3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font22"/>
    <w:basedOn w:val="6"/>
    <w:qFormat/>
    <w:uiPriority w:val="0"/>
    <w:rPr>
      <w:rFonts w:hint="default" w:ascii="Times New Roman" w:hAnsi="Times New Roman" w:cs="Times New Roman"/>
      <w:b/>
      <w:color w:val="auto"/>
      <w:sz w:val="44"/>
      <w:szCs w:val="44"/>
      <w:u w:val="none"/>
    </w:rPr>
  </w:style>
  <w:style w:type="character" w:customStyle="1" w:styleId="11">
    <w:name w:val="font291"/>
    <w:basedOn w:val="6"/>
    <w:qFormat/>
    <w:uiPriority w:val="0"/>
    <w:rPr>
      <w:rFonts w:hint="eastAsia" w:ascii="宋体" w:hAnsi="宋体" w:eastAsia="宋体" w:cs="宋体"/>
      <w:b/>
      <w:color w:val="auto"/>
      <w:sz w:val="44"/>
      <w:szCs w:val="44"/>
      <w:u w:val="none"/>
    </w:rPr>
  </w:style>
  <w:style w:type="character" w:customStyle="1" w:styleId="12">
    <w:name w:val="font31"/>
    <w:basedOn w:val="6"/>
    <w:qFormat/>
    <w:uiPriority w:val="0"/>
    <w:rPr>
      <w:rFonts w:hint="eastAsia" w:ascii="楷体_GB2312" w:eastAsia="楷体_GB2312" w:cs="楷体_GB2312"/>
      <w:color w:val="auto"/>
      <w:sz w:val="32"/>
      <w:szCs w:val="32"/>
      <w:u w:val="none"/>
    </w:rPr>
  </w:style>
  <w:style w:type="character" w:customStyle="1" w:styleId="13">
    <w:name w:val="font301"/>
    <w:basedOn w:val="6"/>
    <w:qFormat/>
    <w:uiPriority w:val="0"/>
    <w:rPr>
      <w:rFonts w:hint="default" w:ascii="Times New Roman" w:hAnsi="Times New Roman" w:cs="Times New Roman"/>
      <w:color w:val="auto"/>
      <w:sz w:val="32"/>
      <w:szCs w:val="32"/>
      <w:u w:val="none"/>
    </w:rPr>
  </w:style>
  <w:style w:type="paragraph" w:customStyle="1" w:styleId="14">
    <w:name w:val="正文文本 New"/>
    <w:basedOn w:val="15"/>
    <w:qFormat/>
    <w:uiPriority w:val="0"/>
    <w:rPr>
      <w:rFonts w:ascii="仿宋_GB2312" w:hAnsi="宋体" w:eastAsia="仿宋_GB2312"/>
      <w:sz w:val="30"/>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16">
    <w:name w:val="List Paragraph"/>
    <w:basedOn w:val="1"/>
    <w:qFormat/>
    <w:uiPriority w:val="1"/>
    <w:pPr>
      <w:ind w:left="220" w:firstLine="640"/>
    </w:pPr>
    <w:rPr>
      <w:rFonts w:ascii="宋体" w:hAnsi="宋体" w:eastAsia="宋体" w:cs="宋体"/>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443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2020-08-25T00:50:00Z</dcterms:created>
  <dc:creator>ADREAM</dc:creator>
  <cp:lastModifiedBy>周末</cp:lastModifiedBy>
  <cp:lastPrinted>2021-01-20T08:32:00Z</cp:lastPrinted>
  <dcterms:modified xsi:type="dcterms:W3CDTF">2022-01-19T05:40:42Z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09B37FD54A524CE3A346DF8A0904C0D0</vt:lpwstr>
  </property>
</Properties>
</file>