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EDC6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大标宋简体" w:hAnsi="方正大标宋简体" w:eastAsia="方正大标宋简体" w:cs="方正大标宋简体"/>
          <w:b w:val="0"/>
          <w:bCs w:val="0"/>
          <w:color w:val="000000" w:themeColor="text1"/>
          <w:sz w:val="44"/>
          <w:szCs w:val="44"/>
          <w:lang w:eastAsia="zh-CN"/>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z w:val="44"/>
          <w:szCs w:val="44"/>
          <w:lang w:eastAsia="zh-CN"/>
          <w14:textFill>
            <w14:solidFill>
              <w14:schemeClr w14:val="tx1"/>
            </w14:solidFill>
          </w14:textFill>
        </w:rPr>
        <w:t>桓台县民政局</w:t>
      </w:r>
    </w:p>
    <w:p w14:paraId="1084841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大标宋简体" w:hAnsi="方正大标宋简体" w:eastAsia="方正大标宋简体" w:cs="方正大标宋简体"/>
          <w:b w:val="0"/>
          <w:bCs w:val="0"/>
          <w:color w:val="000000" w:themeColor="text1"/>
          <w:sz w:val="44"/>
          <w:szCs w:val="44"/>
          <w:lang w:val="en-US" w:eastAsia="zh-CN"/>
          <w14:textFill>
            <w14:solidFill>
              <w14:schemeClr w14:val="tx1"/>
            </w14:solidFill>
          </w14:textFill>
        </w:rPr>
      </w:pPr>
      <w:r>
        <w:rPr>
          <w:rFonts w:hint="eastAsia" w:ascii="方正大标宋简体" w:hAnsi="方正大标宋简体" w:eastAsia="方正大标宋简体" w:cs="方正大标宋简体"/>
          <w:b w:val="0"/>
          <w:bCs w:val="0"/>
          <w:color w:val="000000" w:themeColor="text1"/>
          <w:sz w:val="44"/>
          <w:szCs w:val="44"/>
          <w:lang w:val="en-US" w:eastAsia="zh-CN"/>
          <w14:textFill>
            <w14:solidFill>
              <w14:schemeClr w14:val="tx1"/>
            </w14:solidFill>
          </w14:textFill>
        </w:rPr>
        <w:t>2024年度政府信息公开工作年度报告</w:t>
      </w:r>
    </w:p>
    <w:p w14:paraId="212CC94E">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14:paraId="5DFB5F06">
      <w:pPr>
        <w:keepNext w:val="0"/>
        <w:keepLines w:val="0"/>
        <w:pageBreakBefore w:val="0"/>
        <w:widowControl/>
        <w:suppressLineNumbers w:val="0"/>
        <w:kinsoku/>
        <w:wordWrap/>
        <w:overflowPunct/>
        <w:topLinePunct w:val="0"/>
        <w:autoSpaceDE/>
        <w:autoSpaceDN/>
        <w:bidi w:val="0"/>
        <w:adjustRightInd/>
        <w:snapToGrid/>
        <w:spacing w:line="560" w:lineRule="exact"/>
        <w:ind w:firstLine="684" w:firstLineChars="200"/>
        <w:jc w:val="left"/>
        <w:textAlignment w:val="auto"/>
        <w:rPr>
          <w:rFonts w:hint="eastAsia" w:ascii="仿宋_GB2312" w:hAnsi="仿宋_GB2312" w:eastAsia="仿宋_GB2312" w:cs="仿宋_GB2312"/>
          <w:i w:val="0"/>
          <w:iCs w:val="0"/>
          <w:caps w:val="0"/>
          <w:color w:val="000000"/>
          <w:spacing w:val="11"/>
          <w:sz w:val="32"/>
          <w:szCs w:val="32"/>
          <w:shd w:val="clear" w:fill="FFFFFF"/>
          <w:lang w:eastAsia="zh-CN"/>
        </w:rPr>
      </w:pPr>
      <w:r>
        <w:rPr>
          <w:rFonts w:hint="eastAsia" w:ascii="仿宋_GB2312" w:hAnsi="仿宋_GB2312" w:eastAsia="仿宋_GB2312" w:cs="仿宋_GB2312"/>
          <w:i w:val="0"/>
          <w:iCs w:val="0"/>
          <w:caps w:val="0"/>
          <w:color w:val="000000"/>
          <w:spacing w:val="11"/>
          <w:sz w:val="32"/>
          <w:szCs w:val="32"/>
          <w:shd w:val="clear" w:fill="FFFFFF"/>
          <w:lang w:eastAsia="zh-CN"/>
        </w:rPr>
        <w:t>本年度报告中所列数据的统计期限自202</w:t>
      </w:r>
      <w:r>
        <w:rPr>
          <w:rFonts w:hint="eastAsia" w:ascii="仿宋_GB2312" w:hAnsi="仿宋_GB2312" w:eastAsia="仿宋_GB2312" w:cs="仿宋_GB2312"/>
          <w:i w:val="0"/>
          <w:iCs w:val="0"/>
          <w:caps w:val="0"/>
          <w:color w:val="000000"/>
          <w:spacing w:val="11"/>
          <w:sz w:val="32"/>
          <w:szCs w:val="32"/>
          <w:shd w:val="clear" w:fill="FFFFFF"/>
          <w:lang w:val="en-US" w:eastAsia="zh-CN"/>
        </w:rPr>
        <w:t>4</w:t>
      </w:r>
      <w:r>
        <w:rPr>
          <w:rFonts w:hint="eastAsia" w:ascii="仿宋_GB2312" w:hAnsi="仿宋_GB2312" w:eastAsia="仿宋_GB2312" w:cs="仿宋_GB2312"/>
          <w:i w:val="0"/>
          <w:iCs w:val="0"/>
          <w:caps w:val="0"/>
          <w:color w:val="000000"/>
          <w:spacing w:val="11"/>
          <w:sz w:val="32"/>
          <w:szCs w:val="32"/>
          <w:shd w:val="clear" w:fill="FFFFFF"/>
          <w:lang w:eastAsia="zh-CN"/>
        </w:rPr>
        <w:t>年1月1日起，至202</w:t>
      </w:r>
      <w:r>
        <w:rPr>
          <w:rFonts w:hint="eastAsia" w:ascii="仿宋_GB2312" w:hAnsi="仿宋_GB2312" w:eastAsia="仿宋_GB2312" w:cs="仿宋_GB2312"/>
          <w:i w:val="0"/>
          <w:iCs w:val="0"/>
          <w:caps w:val="0"/>
          <w:color w:val="000000"/>
          <w:spacing w:val="11"/>
          <w:sz w:val="32"/>
          <w:szCs w:val="32"/>
          <w:shd w:val="clear" w:fill="FFFFFF"/>
          <w:lang w:val="en-US" w:eastAsia="zh-CN"/>
        </w:rPr>
        <w:t>4</w:t>
      </w:r>
      <w:r>
        <w:rPr>
          <w:rFonts w:hint="eastAsia" w:ascii="仿宋_GB2312" w:hAnsi="仿宋_GB2312" w:eastAsia="仿宋_GB2312" w:cs="仿宋_GB2312"/>
          <w:i w:val="0"/>
          <w:iCs w:val="0"/>
          <w:caps w:val="0"/>
          <w:color w:val="000000"/>
          <w:spacing w:val="11"/>
          <w:sz w:val="32"/>
          <w:szCs w:val="32"/>
          <w:shd w:val="clear" w:fill="FFFFFF"/>
          <w:lang w:eastAsia="zh-CN"/>
        </w:rPr>
        <w:t>年12月31日止。如对报告内容有疑问，请与桓台县民政局联系（地址：</w:t>
      </w:r>
      <w:r>
        <w:rPr>
          <w:rFonts w:hint="eastAsia" w:ascii="仿宋_GB2312" w:hAnsi="仿宋_GB2312" w:eastAsia="仿宋_GB2312" w:cs="仿宋_GB2312"/>
          <w:i w:val="0"/>
          <w:iCs w:val="0"/>
          <w:caps w:val="0"/>
          <w:color w:val="000000"/>
          <w:spacing w:val="11"/>
          <w:sz w:val="32"/>
          <w:szCs w:val="32"/>
          <w:shd w:val="clear" w:fill="FFFFFF"/>
          <w:lang w:val="en-US" w:eastAsia="zh-CN"/>
        </w:rPr>
        <w:t>桓台县卫生街126号</w:t>
      </w:r>
      <w:r>
        <w:rPr>
          <w:rFonts w:hint="eastAsia" w:ascii="仿宋_GB2312" w:hAnsi="仿宋_GB2312" w:eastAsia="仿宋_GB2312" w:cs="仿宋_GB2312"/>
          <w:i w:val="0"/>
          <w:iCs w:val="0"/>
          <w:caps w:val="0"/>
          <w:color w:val="000000"/>
          <w:spacing w:val="11"/>
          <w:sz w:val="32"/>
          <w:szCs w:val="32"/>
          <w:shd w:val="clear" w:fill="FFFFFF"/>
          <w:lang w:eastAsia="zh-CN"/>
        </w:rPr>
        <w:t>；邮编：</w:t>
      </w:r>
      <w:r>
        <w:rPr>
          <w:rFonts w:hint="eastAsia" w:ascii="仿宋_GB2312" w:hAnsi="仿宋_GB2312" w:eastAsia="仿宋_GB2312" w:cs="仿宋_GB2312"/>
          <w:i w:val="0"/>
          <w:iCs w:val="0"/>
          <w:caps w:val="0"/>
          <w:color w:val="000000"/>
          <w:spacing w:val="11"/>
          <w:sz w:val="32"/>
          <w:szCs w:val="32"/>
          <w:shd w:val="clear" w:fill="FFFFFF"/>
          <w:lang w:val="en-US" w:eastAsia="zh-CN"/>
        </w:rPr>
        <w:t>256400</w:t>
      </w:r>
      <w:r>
        <w:rPr>
          <w:rFonts w:hint="eastAsia" w:ascii="仿宋_GB2312" w:hAnsi="仿宋_GB2312" w:eastAsia="仿宋_GB2312" w:cs="仿宋_GB2312"/>
          <w:i w:val="0"/>
          <w:iCs w:val="0"/>
          <w:caps w:val="0"/>
          <w:color w:val="000000"/>
          <w:spacing w:val="11"/>
          <w:sz w:val="32"/>
          <w:szCs w:val="32"/>
          <w:shd w:val="clear" w:fill="FFFFFF"/>
          <w:lang w:eastAsia="zh-CN"/>
        </w:rPr>
        <w:t>；电话：</w:t>
      </w:r>
      <w:r>
        <w:rPr>
          <w:rFonts w:hint="eastAsia" w:ascii="仿宋_GB2312" w:hAnsi="仿宋_GB2312" w:eastAsia="仿宋_GB2312" w:cs="仿宋_GB2312"/>
          <w:i w:val="0"/>
          <w:iCs w:val="0"/>
          <w:caps w:val="0"/>
          <w:color w:val="000000"/>
          <w:spacing w:val="11"/>
          <w:sz w:val="32"/>
          <w:szCs w:val="32"/>
          <w:shd w:val="clear" w:fill="FFFFFF"/>
          <w:lang w:val="en-US" w:eastAsia="zh-CN"/>
        </w:rPr>
        <w:t>8180126</w:t>
      </w:r>
      <w:r>
        <w:rPr>
          <w:rFonts w:hint="eastAsia" w:ascii="仿宋_GB2312" w:hAnsi="仿宋_GB2312" w:eastAsia="仿宋_GB2312" w:cs="仿宋_GB2312"/>
          <w:i w:val="0"/>
          <w:iCs w:val="0"/>
          <w:caps w:val="0"/>
          <w:color w:val="000000"/>
          <w:spacing w:val="11"/>
          <w:sz w:val="32"/>
          <w:szCs w:val="32"/>
          <w:shd w:val="clear" w:fill="FFFFFF"/>
          <w:lang w:eastAsia="zh-CN"/>
        </w:rPr>
        <w:t>；邮箱：</w:t>
      </w:r>
      <w:r>
        <w:rPr>
          <w:rFonts w:hint="eastAsia" w:ascii="仿宋_GB2312" w:hAnsi="仿宋_GB2312" w:eastAsia="仿宋_GB2312" w:cs="仿宋_GB2312"/>
          <w:i w:val="0"/>
          <w:iCs w:val="0"/>
          <w:caps w:val="0"/>
          <w:color w:val="000000"/>
          <w:spacing w:val="11"/>
          <w:sz w:val="32"/>
          <w:szCs w:val="32"/>
          <w:shd w:val="clear" w:fill="FFFFFF"/>
          <w:lang w:val="en-US" w:eastAsia="zh-CN"/>
        </w:rPr>
        <w:fldChar w:fldCharType="begin"/>
      </w:r>
      <w:r>
        <w:rPr>
          <w:rFonts w:hint="eastAsia" w:ascii="仿宋_GB2312" w:hAnsi="仿宋_GB2312" w:eastAsia="仿宋_GB2312" w:cs="仿宋_GB2312"/>
          <w:i w:val="0"/>
          <w:iCs w:val="0"/>
          <w:caps w:val="0"/>
          <w:color w:val="000000"/>
          <w:spacing w:val="11"/>
          <w:sz w:val="32"/>
          <w:szCs w:val="32"/>
          <w:shd w:val="clear" w:fill="FFFFFF"/>
          <w:lang w:val="en-US" w:eastAsia="zh-CN"/>
        </w:rPr>
        <w:instrText xml:space="preserve"> HYPERLINK "mailto:htxmzj@zb.shandong.cn）。" </w:instrText>
      </w:r>
      <w:r>
        <w:rPr>
          <w:rFonts w:hint="eastAsia" w:ascii="仿宋_GB2312" w:hAnsi="仿宋_GB2312" w:eastAsia="仿宋_GB2312" w:cs="仿宋_GB2312"/>
          <w:i w:val="0"/>
          <w:iCs w:val="0"/>
          <w:caps w:val="0"/>
          <w:color w:val="000000"/>
          <w:spacing w:val="11"/>
          <w:sz w:val="32"/>
          <w:szCs w:val="32"/>
          <w:shd w:val="clear" w:fill="FFFFFF"/>
          <w:lang w:val="en-US" w:eastAsia="zh-CN"/>
        </w:rPr>
        <w:fldChar w:fldCharType="separate"/>
      </w:r>
      <w:r>
        <w:rPr>
          <w:rFonts w:hint="eastAsia" w:ascii="仿宋_GB2312" w:hAnsi="仿宋_GB2312" w:eastAsia="仿宋_GB2312" w:cs="仿宋_GB2312"/>
          <w:i w:val="0"/>
          <w:iCs w:val="0"/>
          <w:caps w:val="0"/>
          <w:color w:val="000000"/>
          <w:spacing w:val="11"/>
          <w:sz w:val="32"/>
          <w:szCs w:val="32"/>
          <w:shd w:val="clear" w:fill="FFFFFF"/>
          <w:lang w:val="en-US" w:eastAsia="zh-CN"/>
        </w:rPr>
        <w:t>htxmzj@zb.shandong.cn</w:t>
      </w:r>
      <w:r>
        <w:rPr>
          <w:rFonts w:hint="eastAsia" w:ascii="仿宋_GB2312" w:hAnsi="仿宋_GB2312" w:eastAsia="仿宋_GB2312" w:cs="仿宋_GB2312"/>
          <w:i w:val="0"/>
          <w:iCs w:val="0"/>
          <w:caps w:val="0"/>
          <w:color w:val="000000"/>
          <w:spacing w:val="11"/>
          <w:sz w:val="32"/>
          <w:szCs w:val="32"/>
          <w:shd w:val="clear" w:fill="FFFFFF"/>
          <w:lang w:eastAsia="zh-CN"/>
        </w:rPr>
        <w:t>）。</w:t>
      </w:r>
      <w:r>
        <w:rPr>
          <w:rFonts w:hint="eastAsia" w:ascii="仿宋_GB2312" w:hAnsi="仿宋_GB2312" w:eastAsia="仿宋_GB2312" w:cs="仿宋_GB2312"/>
          <w:i w:val="0"/>
          <w:iCs w:val="0"/>
          <w:caps w:val="0"/>
          <w:color w:val="000000"/>
          <w:spacing w:val="11"/>
          <w:sz w:val="32"/>
          <w:szCs w:val="32"/>
          <w:shd w:val="clear" w:fill="FFFFFF"/>
          <w:lang w:val="en-US" w:eastAsia="zh-CN"/>
        </w:rPr>
        <w:fldChar w:fldCharType="end"/>
      </w:r>
    </w:p>
    <w:p w14:paraId="47B6AD8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一、总体情况</w:t>
      </w:r>
    </w:p>
    <w:p w14:paraId="0A1AD9A6">
      <w:pPr>
        <w:keepNext w:val="0"/>
        <w:keepLines w:val="0"/>
        <w:widowControl/>
        <w:suppressLineNumbers w:val="0"/>
        <w:ind w:firstLine="684" w:firstLineChars="200"/>
        <w:jc w:val="lef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spacing w:val="11"/>
          <w:sz w:val="32"/>
          <w:szCs w:val="32"/>
          <w:shd w:val="clear" w:fill="FFFFFF"/>
        </w:rPr>
        <w:t>桓台县</w:t>
      </w:r>
      <w:r>
        <w:rPr>
          <w:rFonts w:hint="eastAsia" w:ascii="仿宋_GB2312" w:hAnsi="仿宋_GB2312" w:eastAsia="仿宋_GB2312" w:cs="仿宋_GB2312"/>
          <w:i w:val="0"/>
          <w:iCs w:val="0"/>
          <w:caps w:val="0"/>
          <w:color w:val="000000"/>
          <w:spacing w:val="11"/>
          <w:sz w:val="32"/>
          <w:szCs w:val="32"/>
          <w:shd w:val="clear" w:fill="FFFFFF"/>
          <w:lang w:eastAsia="zh-CN"/>
        </w:rPr>
        <w:t>民政局</w:t>
      </w:r>
      <w:r>
        <w:rPr>
          <w:rFonts w:hint="eastAsia" w:ascii="仿宋_GB2312" w:hAnsi="仿宋_GB2312" w:eastAsia="仿宋_GB2312" w:cs="仿宋_GB2312"/>
          <w:color w:val="000000"/>
          <w:kern w:val="0"/>
          <w:sz w:val="31"/>
          <w:szCs w:val="31"/>
          <w:lang w:val="en-US" w:eastAsia="zh-CN" w:bidi="ar"/>
        </w:rPr>
        <w:t>全面贯彻落实党的二十大精神，坚持围绕中心，</w:t>
      </w:r>
      <w:r>
        <w:rPr>
          <w:rFonts w:hint="eastAsia" w:ascii="仿宋_GB2312" w:hAnsi="仿宋_GB2312" w:eastAsia="仿宋_GB2312" w:cs="仿宋_GB2312"/>
          <w:i w:val="0"/>
          <w:iCs w:val="0"/>
          <w:caps w:val="0"/>
          <w:color w:val="000000"/>
          <w:spacing w:val="11"/>
          <w:sz w:val="32"/>
          <w:szCs w:val="32"/>
          <w:shd w:val="clear" w:fill="FFFFFF"/>
        </w:rPr>
        <w:t>坚持以习近平新时代中国特色社会主义思想和党的二十大精神为指导</w:t>
      </w:r>
      <w:r>
        <w:rPr>
          <w:rFonts w:hint="eastAsia" w:ascii="仿宋_GB2312" w:hAnsi="仿宋_GB2312" w:eastAsia="仿宋_GB2312" w:cs="仿宋_GB2312"/>
          <w:i w:val="0"/>
          <w:iCs w:val="0"/>
          <w:caps w:val="0"/>
          <w:color w:val="000000"/>
          <w:spacing w:val="11"/>
          <w:sz w:val="32"/>
          <w:szCs w:val="32"/>
          <w:shd w:val="clear" w:fill="FFFFFF"/>
          <w:lang w:eastAsia="zh-CN"/>
        </w:rPr>
        <w:t>，深入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贯彻落实《政府信息公开条例》和市、县相关工作要求，科学有序开展政府信息公开工作。通过政府门户网站、“桓台民政”微信公众号等主动公开政策法规、事项清单等信息，确保工作落实。2024年度，累计发布各类信息582余条。</w:t>
      </w:r>
    </w:p>
    <w:p w14:paraId="0365AA1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1.主动公开方面</w:t>
      </w:r>
    </w:p>
    <w:p w14:paraId="0C1B060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桓台县民政局通过政府信息公开平台主动公开各类信息102件，养老服务信息30件，社会救助信息17件，社会福利信息33件，建议提案办理情况13件，政府工作报告1件“双随机、一公开”信息4件，财政信息3件，政府信息公开指南1件。</w:t>
      </w:r>
    </w:p>
    <w:p w14:paraId="3E98F8E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2.依申请公开工作方面</w:t>
      </w:r>
    </w:p>
    <w:p w14:paraId="6861460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2024年度共收到依申请公开1件，与2023年持平。2024无因政府信息公开申请被行政复议或行政诉讼情况发生。</w:t>
      </w:r>
    </w:p>
    <w:p w14:paraId="20A801E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3.政府信息管理方面</w:t>
      </w:r>
    </w:p>
    <w:p w14:paraId="17E841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根据最新工作部署，编制完善《桓台县民政局政府信息公开指南》，动态更新《桓台县民政局政府信息主动公开基本目录》，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完善政府信息公开源头认定机制，对拟公开的政府信息依法依规做好保密审查，切实做到“涉密信息不上网、上网信息不涉密”，对本单位制发行政规范性文件及时清理，公开清理结果0条。</w:t>
      </w:r>
    </w:p>
    <w:p w14:paraId="7A55A63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4.政府信息公开平台建设方面</w:t>
      </w:r>
    </w:p>
    <w:p w14:paraId="2FA720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进一步完善政府信息公开平台栏目设置和内容维护，增设栏目0个，“桓台县民政局”微信公众号规范公开</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各类信息582条。</w:t>
      </w:r>
    </w:p>
    <w:p w14:paraId="0D1DCF9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5.监督保障方面</w:t>
      </w:r>
    </w:p>
    <w:p w14:paraId="7C6E0BF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及时根据人员变动，调整了由局长任组长、分管副局长任副组长、相关科室负责人为成员的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县民政局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政府信息公开工作领导小组，由法制科负责政务公开事项的组织实施及监督检查工作。设立举报监督电话和邮箱，对办公地址、联系方式等内容进行规范公开，确保监督保障渠道畅通。全年开展政务公开工作专题培训3次，参培20余人。</w:t>
      </w:r>
    </w:p>
    <w:p w14:paraId="733E07C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二、主动公开政府信息情况</w:t>
      </w:r>
    </w:p>
    <w:tbl>
      <w:tblPr>
        <w:tblStyle w:val="3"/>
        <w:tblW w:w="101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859"/>
      </w:tblGrid>
      <w:tr w14:paraId="08846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0164" w:type="dxa"/>
            <w:gridSpan w:val="4"/>
            <w:tcBorders>
              <w:top w:val="single" w:color="auto" w:sz="8" w:space="0"/>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14:paraId="68F2E2AB">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第二十条第（一）项</w:t>
            </w:r>
          </w:p>
        </w:tc>
      </w:tr>
      <w:tr w14:paraId="3CAC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70A02191">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14:paraId="43D90819">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本年制发件数</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14:paraId="643F4F16">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本年废止件数</w:t>
            </w:r>
          </w:p>
        </w:tc>
        <w:tc>
          <w:tcPr>
            <w:tcW w:w="2859"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14:paraId="1CF9D583">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现行有效件数</w:t>
            </w:r>
          </w:p>
        </w:tc>
      </w:tr>
      <w:tr w14:paraId="749E3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5DE48AE6">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规章</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ABFE6D6">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07F7E233">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859"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B25EEBB">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07B6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03582E54">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行政规范性文件</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E329473">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5B24B798">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859" w:type="dxa"/>
            <w:tcBorders>
              <w:top w:val="nil"/>
              <w:left w:val="nil"/>
              <w:bottom w:val="single" w:color="auto" w:sz="8" w:space="0"/>
              <w:right w:val="single" w:color="auto" w:sz="8" w:space="0"/>
              <w:tl2br w:val="nil"/>
              <w:tr2bl w:val="nil"/>
            </w:tcBorders>
            <w:noWrap w:val="0"/>
            <w:tcMar>
              <w:left w:w="57" w:type="dxa"/>
              <w:right w:w="57" w:type="dxa"/>
            </w:tcMar>
            <w:vAlign w:val="center"/>
          </w:tcPr>
          <w:p w14:paraId="39D6094F">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4318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jc w:val="center"/>
        </w:trPr>
        <w:tc>
          <w:tcPr>
            <w:tcW w:w="10164"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14:paraId="347461B0">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第二十条第（五）项</w:t>
            </w:r>
          </w:p>
        </w:tc>
      </w:tr>
      <w:tr w14:paraId="7CF8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31DDA016">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729"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14:paraId="30B01B19">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本年处理决定数量</w:t>
            </w:r>
          </w:p>
        </w:tc>
      </w:tr>
      <w:tr w14:paraId="2BCA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764209CF">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行政许可</w:t>
            </w:r>
          </w:p>
        </w:tc>
        <w:tc>
          <w:tcPr>
            <w:tcW w:w="7729"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14:paraId="0175BC07">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058B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0164"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14:paraId="2113187B">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第二十条第（六）项</w:t>
            </w:r>
          </w:p>
        </w:tc>
      </w:tr>
      <w:tr w14:paraId="1ED69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076E25A2">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729" w:type="dxa"/>
            <w:gridSpan w:val="3"/>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14:paraId="7A418F2E">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本年处理决定数量</w:t>
            </w:r>
          </w:p>
        </w:tc>
      </w:tr>
      <w:tr w14:paraId="2429E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634675AD">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行政处罚</w:t>
            </w:r>
          </w:p>
        </w:tc>
        <w:tc>
          <w:tcPr>
            <w:tcW w:w="7729"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14:paraId="73EDC7FA">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45EA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22E99CBC">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行政强制</w:t>
            </w:r>
          </w:p>
        </w:tc>
        <w:tc>
          <w:tcPr>
            <w:tcW w:w="7729"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14:paraId="046D1702">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0EFDE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jc w:val="center"/>
        </w:trPr>
        <w:tc>
          <w:tcPr>
            <w:tcW w:w="10164"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14:paraId="1AA6B916">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第二十条第（八）项</w:t>
            </w:r>
          </w:p>
        </w:tc>
      </w:tr>
      <w:tr w14:paraId="6F82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6F3BC9F8">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729" w:type="dxa"/>
            <w:gridSpan w:val="3"/>
            <w:tcBorders>
              <w:top w:val="nil"/>
              <w:left w:val="nil"/>
              <w:bottom w:val="single" w:color="auto" w:sz="8" w:space="0"/>
              <w:right w:val="single" w:color="000000" w:sz="8" w:space="0"/>
              <w:tl2br w:val="nil"/>
              <w:tr2bl w:val="nil"/>
            </w:tcBorders>
            <w:noWrap w:val="0"/>
            <w:tcMar>
              <w:left w:w="57" w:type="dxa"/>
              <w:right w:w="57" w:type="dxa"/>
            </w:tcMar>
            <w:vAlign w:val="center"/>
          </w:tcPr>
          <w:p w14:paraId="64CE9969">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本年收费金额（单位：万元）</w:t>
            </w:r>
          </w:p>
        </w:tc>
      </w:tr>
      <w:tr w14:paraId="0D57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14:paraId="2694CD29">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行政事业性收费</w:t>
            </w:r>
          </w:p>
        </w:tc>
        <w:tc>
          <w:tcPr>
            <w:tcW w:w="7729" w:type="dxa"/>
            <w:gridSpan w:val="3"/>
            <w:tcBorders>
              <w:top w:val="nil"/>
              <w:left w:val="nil"/>
              <w:bottom w:val="single" w:color="auto" w:sz="8" w:space="0"/>
              <w:right w:val="single" w:color="000000" w:sz="8" w:space="0"/>
              <w:tl2br w:val="nil"/>
              <w:tr2bl w:val="nil"/>
            </w:tcBorders>
            <w:noWrap w:val="0"/>
            <w:tcMar>
              <w:left w:w="57" w:type="dxa"/>
              <w:right w:w="57" w:type="dxa"/>
            </w:tcMar>
            <w:vAlign w:val="center"/>
          </w:tcPr>
          <w:p w14:paraId="4A5747B2">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14:paraId="70B124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三、收到和处理政府信息公开申请情况</w:t>
      </w:r>
    </w:p>
    <w:tbl>
      <w:tblPr>
        <w:tblStyle w:val="3"/>
        <w:tblpPr w:leftFromText="180" w:rightFromText="180" w:vertAnchor="text" w:horzAnchor="page" w:tblpX="1363" w:tblpY="621"/>
        <w:tblOverlap w:val="never"/>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5"/>
        <w:gridCol w:w="1694"/>
        <w:gridCol w:w="3363"/>
        <w:gridCol w:w="576"/>
        <w:gridCol w:w="621"/>
        <w:gridCol w:w="634"/>
        <w:gridCol w:w="634"/>
        <w:gridCol w:w="841"/>
        <w:gridCol w:w="684"/>
        <w:gridCol w:w="497"/>
      </w:tblGrid>
      <w:tr w14:paraId="0B35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522" w:type="dxa"/>
            <w:gridSpan w:val="3"/>
            <w:vMerge w:val="restart"/>
            <w:tcBorders>
              <w:tl2br w:val="nil"/>
              <w:tr2bl w:val="nil"/>
            </w:tcBorders>
            <w:noWrap w:val="0"/>
            <w:tcMar>
              <w:left w:w="108" w:type="dxa"/>
              <w:right w:w="108" w:type="dxa"/>
            </w:tcMar>
            <w:vAlign w:val="center"/>
          </w:tcPr>
          <w:p w14:paraId="68F75F0B">
            <w:pPr>
              <w:spacing w:beforeLines="0" w:afterLines="0"/>
              <w:rPr>
                <w:rFonts w:hint="eastAsia" w:ascii="仿宋" w:hAnsi="仿宋" w:eastAsia="仿宋" w:cs="仿宋"/>
                <w:sz w:val="24"/>
                <w:szCs w:val="24"/>
              </w:rPr>
            </w:pPr>
            <w:r>
              <w:rPr>
                <w:rFonts w:hint="eastAsia" w:ascii="楷体" w:hAnsi="楷体" w:eastAsia="楷体" w:cs="楷体"/>
                <w:sz w:val="24"/>
                <w:szCs w:val="24"/>
              </w:rPr>
              <w:t>（本列数据的勾稽关系为：第一项加第二项之和，等于第三项加第四项之和）</w:t>
            </w:r>
          </w:p>
        </w:tc>
        <w:tc>
          <w:tcPr>
            <w:tcW w:w="4487" w:type="dxa"/>
            <w:gridSpan w:val="7"/>
            <w:tcBorders>
              <w:tl2br w:val="nil"/>
              <w:tr2bl w:val="nil"/>
            </w:tcBorders>
            <w:noWrap w:val="0"/>
            <w:tcMar>
              <w:left w:w="57" w:type="dxa"/>
              <w:right w:w="57" w:type="dxa"/>
            </w:tcMar>
            <w:vAlign w:val="center"/>
          </w:tcPr>
          <w:p w14:paraId="3FA23A74">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申请人情况</w:t>
            </w:r>
          </w:p>
        </w:tc>
      </w:tr>
      <w:tr w14:paraId="3287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522" w:type="dxa"/>
            <w:gridSpan w:val="3"/>
            <w:vMerge w:val="continue"/>
            <w:tcBorders>
              <w:tl2br w:val="nil"/>
              <w:tr2bl w:val="nil"/>
            </w:tcBorders>
            <w:noWrap w:val="0"/>
            <w:tcMar>
              <w:left w:w="108" w:type="dxa"/>
              <w:right w:w="108" w:type="dxa"/>
            </w:tcMar>
            <w:vAlign w:val="center"/>
          </w:tcPr>
          <w:p w14:paraId="5B7225DC">
            <w:pPr>
              <w:spacing w:beforeLines="0" w:afterLines="0"/>
              <w:rPr>
                <w:rFonts w:hint="eastAsia" w:ascii="仿宋" w:hAnsi="仿宋" w:eastAsia="仿宋" w:cs="仿宋"/>
                <w:sz w:val="24"/>
                <w:szCs w:val="24"/>
              </w:rPr>
            </w:pPr>
          </w:p>
        </w:tc>
        <w:tc>
          <w:tcPr>
            <w:tcW w:w="576" w:type="dxa"/>
            <w:vMerge w:val="restart"/>
            <w:tcBorders>
              <w:tl2br w:val="nil"/>
              <w:tr2bl w:val="nil"/>
            </w:tcBorders>
            <w:noWrap w:val="0"/>
            <w:tcMar>
              <w:left w:w="57" w:type="dxa"/>
              <w:right w:w="57" w:type="dxa"/>
            </w:tcMar>
            <w:vAlign w:val="center"/>
          </w:tcPr>
          <w:p w14:paraId="5B99CB24">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自然人</w:t>
            </w:r>
          </w:p>
        </w:tc>
        <w:tc>
          <w:tcPr>
            <w:tcW w:w="3414" w:type="dxa"/>
            <w:gridSpan w:val="5"/>
            <w:tcBorders>
              <w:tl2br w:val="nil"/>
              <w:tr2bl w:val="nil"/>
            </w:tcBorders>
            <w:noWrap w:val="0"/>
            <w:tcMar>
              <w:left w:w="57" w:type="dxa"/>
              <w:right w:w="57" w:type="dxa"/>
            </w:tcMar>
            <w:vAlign w:val="center"/>
          </w:tcPr>
          <w:p w14:paraId="56C99E43">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法人或其他组织</w:t>
            </w:r>
          </w:p>
        </w:tc>
        <w:tc>
          <w:tcPr>
            <w:tcW w:w="497" w:type="dxa"/>
            <w:vMerge w:val="restart"/>
            <w:tcBorders>
              <w:tl2br w:val="nil"/>
              <w:tr2bl w:val="nil"/>
            </w:tcBorders>
            <w:noWrap w:val="0"/>
            <w:tcMar>
              <w:left w:w="57" w:type="dxa"/>
              <w:right w:w="57" w:type="dxa"/>
            </w:tcMar>
            <w:vAlign w:val="center"/>
          </w:tcPr>
          <w:p w14:paraId="7680F8EB">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r>
      <w:tr w14:paraId="60B8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522" w:type="dxa"/>
            <w:gridSpan w:val="3"/>
            <w:vMerge w:val="continue"/>
            <w:tcBorders>
              <w:tl2br w:val="nil"/>
              <w:tr2bl w:val="nil"/>
            </w:tcBorders>
            <w:noWrap w:val="0"/>
            <w:tcMar>
              <w:left w:w="108" w:type="dxa"/>
              <w:right w:w="108" w:type="dxa"/>
            </w:tcMar>
            <w:vAlign w:val="center"/>
          </w:tcPr>
          <w:p w14:paraId="6B0664D4">
            <w:pPr>
              <w:spacing w:beforeLines="0" w:afterLines="0"/>
              <w:rPr>
                <w:rFonts w:hint="eastAsia" w:ascii="仿宋" w:hAnsi="仿宋" w:eastAsia="仿宋" w:cs="仿宋"/>
                <w:sz w:val="24"/>
                <w:szCs w:val="24"/>
              </w:rPr>
            </w:pPr>
          </w:p>
        </w:tc>
        <w:tc>
          <w:tcPr>
            <w:tcW w:w="576" w:type="dxa"/>
            <w:vMerge w:val="continue"/>
            <w:tcBorders>
              <w:tl2br w:val="nil"/>
              <w:tr2bl w:val="nil"/>
            </w:tcBorders>
            <w:noWrap w:val="0"/>
            <w:tcMar>
              <w:left w:w="57" w:type="dxa"/>
              <w:right w:w="57" w:type="dxa"/>
            </w:tcMar>
            <w:vAlign w:val="center"/>
          </w:tcPr>
          <w:p w14:paraId="2581AF92">
            <w:pPr>
              <w:spacing w:beforeLines="0" w:afterLines="0"/>
              <w:jc w:val="center"/>
              <w:rPr>
                <w:rFonts w:hint="eastAsia" w:ascii="黑体" w:hAnsi="黑体" w:eastAsia="黑体" w:cs="黑体"/>
                <w:sz w:val="24"/>
                <w:szCs w:val="24"/>
              </w:rPr>
            </w:pPr>
          </w:p>
        </w:tc>
        <w:tc>
          <w:tcPr>
            <w:tcW w:w="621" w:type="dxa"/>
            <w:tcBorders>
              <w:tl2br w:val="nil"/>
              <w:tr2bl w:val="nil"/>
            </w:tcBorders>
            <w:noWrap w:val="0"/>
            <w:tcMar>
              <w:left w:w="57" w:type="dxa"/>
              <w:right w:w="57" w:type="dxa"/>
            </w:tcMar>
            <w:vAlign w:val="center"/>
          </w:tcPr>
          <w:p w14:paraId="76461C02">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商业</w:t>
            </w:r>
          </w:p>
          <w:p w14:paraId="05CA9E05">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企业</w:t>
            </w:r>
          </w:p>
        </w:tc>
        <w:tc>
          <w:tcPr>
            <w:tcW w:w="634" w:type="dxa"/>
            <w:tcBorders>
              <w:tl2br w:val="nil"/>
              <w:tr2bl w:val="nil"/>
            </w:tcBorders>
            <w:noWrap w:val="0"/>
            <w:tcMar>
              <w:left w:w="57" w:type="dxa"/>
              <w:right w:w="57" w:type="dxa"/>
            </w:tcMar>
            <w:vAlign w:val="center"/>
          </w:tcPr>
          <w:p w14:paraId="7698B7D5">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科研</w:t>
            </w:r>
          </w:p>
          <w:p w14:paraId="33C7DE16">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机构</w:t>
            </w:r>
          </w:p>
        </w:tc>
        <w:tc>
          <w:tcPr>
            <w:tcW w:w="634" w:type="dxa"/>
            <w:tcBorders>
              <w:tl2br w:val="nil"/>
              <w:tr2bl w:val="nil"/>
            </w:tcBorders>
            <w:noWrap w:val="0"/>
            <w:tcMar>
              <w:left w:w="57" w:type="dxa"/>
              <w:right w:w="57" w:type="dxa"/>
            </w:tcMar>
            <w:vAlign w:val="center"/>
          </w:tcPr>
          <w:p w14:paraId="504E2FF8">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社会公益组织</w:t>
            </w:r>
          </w:p>
        </w:tc>
        <w:tc>
          <w:tcPr>
            <w:tcW w:w="841" w:type="dxa"/>
            <w:tcBorders>
              <w:tl2br w:val="nil"/>
              <w:tr2bl w:val="nil"/>
            </w:tcBorders>
            <w:noWrap w:val="0"/>
            <w:tcMar>
              <w:left w:w="57" w:type="dxa"/>
              <w:right w:w="57" w:type="dxa"/>
            </w:tcMar>
            <w:vAlign w:val="center"/>
          </w:tcPr>
          <w:p w14:paraId="70E4A4BF">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法律服务机构</w:t>
            </w:r>
          </w:p>
        </w:tc>
        <w:tc>
          <w:tcPr>
            <w:tcW w:w="684" w:type="dxa"/>
            <w:tcBorders>
              <w:tl2br w:val="nil"/>
              <w:tr2bl w:val="nil"/>
            </w:tcBorders>
            <w:noWrap w:val="0"/>
            <w:tcMar>
              <w:left w:w="57" w:type="dxa"/>
              <w:right w:w="57" w:type="dxa"/>
            </w:tcMar>
            <w:vAlign w:val="center"/>
          </w:tcPr>
          <w:p w14:paraId="196E0B77">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其他</w:t>
            </w:r>
          </w:p>
        </w:tc>
        <w:tc>
          <w:tcPr>
            <w:tcW w:w="497" w:type="dxa"/>
            <w:vMerge w:val="continue"/>
            <w:tcBorders>
              <w:tl2br w:val="nil"/>
              <w:tr2bl w:val="nil"/>
            </w:tcBorders>
            <w:noWrap w:val="0"/>
            <w:tcMar>
              <w:left w:w="57" w:type="dxa"/>
              <w:right w:w="57" w:type="dxa"/>
            </w:tcMar>
            <w:vAlign w:val="center"/>
          </w:tcPr>
          <w:p w14:paraId="52C48262">
            <w:pPr>
              <w:spacing w:beforeLines="0" w:afterLines="0"/>
              <w:jc w:val="center"/>
              <w:rPr>
                <w:rFonts w:hint="eastAsia" w:ascii="黑体" w:hAnsi="黑体" w:eastAsia="黑体" w:cs="黑体"/>
                <w:sz w:val="24"/>
                <w:szCs w:val="24"/>
              </w:rPr>
            </w:pPr>
          </w:p>
        </w:tc>
      </w:tr>
      <w:tr w14:paraId="3A64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522" w:type="dxa"/>
            <w:gridSpan w:val="3"/>
            <w:tcBorders>
              <w:tl2br w:val="nil"/>
              <w:tr2bl w:val="nil"/>
            </w:tcBorders>
            <w:noWrap w:val="0"/>
            <w:tcMar>
              <w:left w:w="57" w:type="dxa"/>
              <w:right w:w="57" w:type="dxa"/>
            </w:tcMar>
            <w:vAlign w:val="center"/>
          </w:tcPr>
          <w:p w14:paraId="2F8CCC7D">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一、本年新收政府信息公开申请数量</w:t>
            </w:r>
          </w:p>
        </w:tc>
        <w:tc>
          <w:tcPr>
            <w:tcW w:w="576" w:type="dxa"/>
            <w:tcBorders>
              <w:tl2br w:val="nil"/>
              <w:tr2bl w:val="nil"/>
            </w:tcBorders>
            <w:noWrap w:val="0"/>
            <w:tcMar>
              <w:left w:w="57" w:type="dxa"/>
              <w:right w:w="57" w:type="dxa"/>
            </w:tcMar>
            <w:vAlign w:val="center"/>
          </w:tcPr>
          <w:p w14:paraId="61B8414F">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14:paraId="7A2189DD">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7FCE188B">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7FE8F3C3">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14:paraId="13946A47">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14:paraId="31EB8E0D">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505F5F66">
            <w:pPr>
              <w:spacing w:beforeLines="0" w:afterLine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71120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522" w:type="dxa"/>
            <w:gridSpan w:val="3"/>
            <w:tcBorders>
              <w:tl2br w:val="nil"/>
              <w:tr2bl w:val="nil"/>
            </w:tcBorders>
            <w:noWrap w:val="0"/>
            <w:tcMar>
              <w:left w:w="57" w:type="dxa"/>
              <w:right w:w="57" w:type="dxa"/>
            </w:tcMar>
            <w:vAlign w:val="center"/>
          </w:tcPr>
          <w:p w14:paraId="3DC0BFCB">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二、上年结转政府信息公开申请数量</w:t>
            </w:r>
          </w:p>
        </w:tc>
        <w:tc>
          <w:tcPr>
            <w:tcW w:w="576" w:type="dxa"/>
            <w:tcBorders>
              <w:tl2br w:val="nil"/>
              <w:tr2bl w:val="nil"/>
            </w:tcBorders>
            <w:noWrap w:val="0"/>
            <w:tcMar>
              <w:left w:w="57" w:type="dxa"/>
              <w:right w:w="57" w:type="dxa"/>
            </w:tcMar>
            <w:vAlign w:val="center"/>
          </w:tcPr>
          <w:p w14:paraId="719E615A">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14:paraId="1123EB25">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60F13A6A">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467DB29E">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14:paraId="01E5BE9D">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14:paraId="428722D3">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234FDADB">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4BEF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restart"/>
            <w:tcBorders>
              <w:tl2br w:val="nil"/>
              <w:tr2bl w:val="nil"/>
            </w:tcBorders>
            <w:noWrap w:val="0"/>
            <w:tcMar>
              <w:left w:w="57" w:type="dxa"/>
              <w:right w:w="57" w:type="dxa"/>
            </w:tcMar>
            <w:vAlign w:val="center"/>
          </w:tcPr>
          <w:p w14:paraId="6A6F753C">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三</w:t>
            </w:r>
          </w:p>
          <w:p w14:paraId="41DA3598">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w:t>
            </w:r>
          </w:p>
          <w:p w14:paraId="13B83587">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本年度办理结果</w:t>
            </w:r>
          </w:p>
        </w:tc>
        <w:tc>
          <w:tcPr>
            <w:tcW w:w="5057" w:type="dxa"/>
            <w:gridSpan w:val="2"/>
            <w:tcBorders>
              <w:tl2br w:val="nil"/>
              <w:tr2bl w:val="nil"/>
            </w:tcBorders>
            <w:noWrap w:val="0"/>
            <w:tcMar>
              <w:left w:w="57" w:type="dxa"/>
              <w:right w:w="57" w:type="dxa"/>
            </w:tcMar>
            <w:vAlign w:val="center"/>
          </w:tcPr>
          <w:p w14:paraId="33E2DBFE">
            <w:pPr>
              <w:spacing w:beforeLines="0" w:afterLines="0"/>
              <w:rPr>
                <w:rFonts w:hint="eastAsia" w:ascii="黑体" w:hAnsi="黑体" w:eastAsia="黑体" w:cs="黑体"/>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center"/>
          </w:tcPr>
          <w:p w14:paraId="2B97C704">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14:paraId="55B9E441">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0B658A6A">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75A0A1EA">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14:paraId="0045D411">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14:paraId="5B56BF03">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170CCD53">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5077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37D470B0">
            <w:pPr>
              <w:spacing w:beforeLines="0" w:afterLines="0"/>
              <w:rPr>
                <w:rFonts w:hint="eastAsia" w:ascii="仿宋" w:hAnsi="仿宋" w:eastAsia="仿宋" w:cs="仿宋"/>
                <w:sz w:val="24"/>
                <w:szCs w:val="24"/>
              </w:rPr>
            </w:pPr>
          </w:p>
        </w:tc>
        <w:tc>
          <w:tcPr>
            <w:tcW w:w="5057" w:type="dxa"/>
            <w:gridSpan w:val="2"/>
            <w:tcBorders>
              <w:tl2br w:val="nil"/>
              <w:tr2bl w:val="nil"/>
            </w:tcBorders>
            <w:noWrap w:val="0"/>
            <w:tcMar>
              <w:left w:w="57" w:type="dxa"/>
              <w:right w:w="57" w:type="dxa"/>
            </w:tcMar>
            <w:vAlign w:val="center"/>
          </w:tcPr>
          <w:p w14:paraId="4FCD103A">
            <w:pPr>
              <w:spacing w:beforeLines="0" w:afterLines="0"/>
              <w:rPr>
                <w:rFonts w:hint="eastAsia" w:ascii="黑体" w:hAnsi="黑体" w:eastAsia="黑体" w:cs="黑体"/>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center"/>
          </w:tcPr>
          <w:p w14:paraId="355A408F">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14:paraId="4628456E">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4D26B167">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3B8F6B35">
            <w:pPr>
              <w:spacing w:beforeLines="0" w:afterLine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14:paraId="398D91A5">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14:paraId="25E89921">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2876E2F2">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7D0B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11807A85">
            <w:pPr>
              <w:spacing w:beforeLines="0" w:afterLines="0"/>
              <w:rPr>
                <w:rFonts w:hint="eastAsia" w:ascii="仿宋" w:hAnsi="仿宋" w:eastAsia="仿宋" w:cs="仿宋"/>
                <w:sz w:val="24"/>
                <w:szCs w:val="24"/>
              </w:rPr>
            </w:pPr>
          </w:p>
        </w:tc>
        <w:tc>
          <w:tcPr>
            <w:tcW w:w="1694" w:type="dxa"/>
            <w:vMerge w:val="restart"/>
            <w:tcBorders>
              <w:tl2br w:val="nil"/>
              <w:tr2bl w:val="nil"/>
            </w:tcBorders>
            <w:noWrap w:val="0"/>
            <w:tcMar>
              <w:left w:w="57" w:type="dxa"/>
              <w:right w:w="57" w:type="dxa"/>
            </w:tcMar>
            <w:vAlign w:val="center"/>
          </w:tcPr>
          <w:p w14:paraId="7723EBD4">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p w14:paraId="6C132326">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p w14:paraId="73BBFEC4">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p w14:paraId="56305048">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p w14:paraId="0C13CA8C">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p w14:paraId="322E3C7A">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3363" w:type="dxa"/>
            <w:tcBorders>
              <w:tl2br w:val="nil"/>
              <w:tr2bl w:val="nil"/>
            </w:tcBorders>
            <w:noWrap w:val="0"/>
            <w:tcMar>
              <w:left w:w="57" w:type="dxa"/>
              <w:right w:w="57" w:type="dxa"/>
            </w:tcMar>
            <w:vAlign w:val="top"/>
          </w:tcPr>
          <w:p w14:paraId="1E53FBBC">
            <w:pPr>
              <w:spacing w:beforeLines="0" w:afterLines="0"/>
              <w:jc w:val="left"/>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top"/>
          </w:tcPr>
          <w:p w14:paraId="09754D1F">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14:paraId="0792360A">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59A8D4E4">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351C9CAE">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14:paraId="7DA67378">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14:paraId="7CC90669">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5C616B71">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61C7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5C28B8D0">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14:paraId="09DF30C8">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14:paraId="469780BA">
            <w:pPr>
              <w:spacing w:beforeLines="0" w:afterLines="0"/>
              <w:jc w:val="left"/>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top"/>
          </w:tcPr>
          <w:p w14:paraId="4417CCAB">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14:paraId="3B516422">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7CA747E1">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2F0D64CB">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14:paraId="2156BE12">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14:paraId="288B6EE0">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416EA5D8">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071F3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33B379A7">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14:paraId="37186A12">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14:paraId="5E3A5625">
            <w:pPr>
              <w:spacing w:beforeLines="0" w:afterLines="0"/>
              <w:jc w:val="left"/>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top"/>
          </w:tcPr>
          <w:p w14:paraId="51515B9E">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14:paraId="770187FA">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1C5059BD">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7CA5996B">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14:paraId="13F49335">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14:paraId="7FDAD8D1">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55C1C4C1">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6159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465" w:type="dxa"/>
            <w:vMerge w:val="continue"/>
            <w:tcBorders>
              <w:tl2br w:val="nil"/>
              <w:tr2bl w:val="nil"/>
            </w:tcBorders>
            <w:noWrap w:val="0"/>
            <w:tcMar>
              <w:left w:w="57" w:type="dxa"/>
              <w:right w:w="57" w:type="dxa"/>
            </w:tcMar>
            <w:vAlign w:val="center"/>
          </w:tcPr>
          <w:p w14:paraId="11E7858A">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14:paraId="38E9E898">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14:paraId="0DBAB665">
            <w:pPr>
              <w:spacing w:beforeLines="0" w:afterLines="0"/>
              <w:jc w:val="left"/>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top"/>
          </w:tcPr>
          <w:p w14:paraId="5C5F0827">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14:paraId="127CB2C5">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59F7B484">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7A83011F">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14:paraId="7A50833B">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14:paraId="3DDD7C10">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706F3393">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3A7A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6D5E6EDE">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14:paraId="41CCCCE7">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14:paraId="4FD53DD8">
            <w:pPr>
              <w:spacing w:beforeLines="0" w:afterLines="0"/>
              <w:jc w:val="left"/>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top"/>
          </w:tcPr>
          <w:p w14:paraId="18BC61F8">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14:paraId="2B09F1BF">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141CFE53">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3AACA4F7">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14:paraId="1F78ECF3">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14:paraId="5F523F10">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5397A820">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409B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2BCEC071">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14:paraId="012B96E6">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14:paraId="1D596879">
            <w:pPr>
              <w:spacing w:beforeLines="0" w:afterLines="0"/>
              <w:jc w:val="left"/>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576" w:type="dxa"/>
            <w:tcBorders>
              <w:tl2br w:val="nil"/>
              <w:tr2bl w:val="nil"/>
            </w:tcBorders>
            <w:noWrap w:val="0"/>
            <w:tcMar>
              <w:left w:w="57" w:type="dxa"/>
              <w:right w:w="57" w:type="dxa"/>
            </w:tcMar>
            <w:vAlign w:val="top"/>
          </w:tcPr>
          <w:p w14:paraId="4D9E2853">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14:paraId="12A06030">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573AA7D2">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3B680FB6">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14:paraId="09B31ED7">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14:paraId="6380A5E8">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4FBA580A">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256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36F99832">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14:paraId="29910B6B">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14:paraId="2F4EA05F">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7.属于行政执法案卷</w:t>
            </w:r>
          </w:p>
        </w:tc>
        <w:tc>
          <w:tcPr>
            <w:tcW w:w="576" w:type="dxa"/>
            <w:tcBorders>
              <w:tl2br w:val="nil"/>
              <w:tr2bl w:val="nil"/>
            </w:tcBorders>
            <w:noWrap w:val="0"/>
            <w:tcMar>
              <w:left w:w="57" w:type="dxa"/>
              <w:right w:w="57" w:type="dxa"/>
            </w:tcMar>
            <w:vAlign w:val="top"/>
          </w:tcPr>
          <w:p w14:paraId="6302FAC4">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14:paraId="252C26B7">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14D3838B">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155C7C74">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14:paraId="489C3E43">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14:paraId="7547BF9A">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1FCEC82B">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474C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104ADC79">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14:paraId="31D6680A">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14:paraId="30B225DD">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8.属于行政查询事项</w:t>
            </w:r>
          </w:p>
        </w:tc>
        <w:tc>
          <w:tcPr>
            <w:tcW w:w="576" w:type="dxa"/>
            <w:tcBorders>
              <w:tl2br w:val="nil"/>
              <w:tr2bl w:val="nil"/>
            </w:tcBorders>
            <w:noWrap w:val="0"/>
            <w:tcMar>
              <w:left w:w="57" w:type="dxa"/>
              <w:right w:w="57" w:type="dxa"/>
            </w:tcMar>
            <w:vAlign w:val="top"/>
          </w:tcPr>
          <w:p w14:paraId="786E7D9C">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14:paraId="1A56375D">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63956847">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6E0CC8AD">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14:paraId="0CC766BB">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14:paraId="41FC776A">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78334E23">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79BC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5C8E6E33">
            <w:pPr>
              <w:spacing w:beforeLines="0" w:afterLines="0"/>
              <w:rPr>
                <w:rFonts w:hint="eastAsia" w:ascii="仿宋" w:hAnsi="仿宋" w:eastAsia="仿宋" w:cs="仿宋"/>
                <w:sz w:val="24"/>
                <w:szCs w:val="24"/>
              </w:rPr>
            </w:pPr>
          </w:p>
        </w:tc>
        <w:tc>
          <w:tcPr>
            <w:tcW w:w="1694" w:type="dxa"/>
            <w:vMerge w:val="restart"/>
            <w:tcBorders>
              <w:tl2br w:val="nil"/>
              <w:tr2bl w:val="nil"/>
            </w:tcBorders>
            <w:noWrap w:val="0"/>
            <w:tcMar>
              <w:left w:w="57" w:type="dxa"/>
              <w:right w:w="57" w:type="dxa"/>
            </w:tcMar>
            <w:vAlign w:val="center"/>
          </w:tcPr>
          <w:p w14:paraId="261D3ABB">
            <w:pPr>
              <w:spacing w:beforeLines="0" w:afterLines="0"/>
              <w:rPr>
                <w:rFonts w:hint="eastAsia" w:ascii="仿宋" w:hAnsi="仿宋" w:eastAsia="仿宋" w:cs="仿宋"/>
                <w:sz w:val="24"/>
                <w:szCs w:val="24"/>
              </w:rPr>
            </w:pPr>
            <w:r>
              <w:rPr>
                <w:rFonts w:hint="eastAsia" w:ascii="黑体" w:hAnsi="黑体" w:eastAsia="黑体" w:cs="黑体"/>
                <w:sz w:val="24"/>
                <w:szCs w:val="24"/>
              </w:rPr>
              <w:t>（四）无法提供</w:t>
            </w:r>
          </w:p>
        </w:tc>
        <w:tc>
          <w:tcPr>
            <w:tcW w:w="3363" w:type="dxa"/>
            <w:tcBorders>
              <w:tl2br w:val="nil"/>
              <w:tr2bl w:val="nil"/>
            </w:tcBorders>
            <w:noWrap w:val="0"/>
            <w:tcMar>
              <w:left w:w="57" w:type="dxa"/>
              <w:right w:w="57" w:type="dxa"/>
            </w:tcMar>
            <w:vAlign w:val="top"/>
          </w:tcPr>
          <w:p w14:paraId="40161A2B">
            <w:pPr>
              <w:spacing w:beforeLines="0" w:afterLines="0"/>
              <w:rPr>
                <w:rFonts w:hint="eastAsia" w:ascii="仿宋" w:hAnsi="仿宋" w:eastAsia="仿宋" w:cs="仿宋"/>
                <w:sz w:val="24"/>
                <w:szCs w:val="24"/>
              </w:rPr>
            </w:pPr>
            <w:r>
              <w:rPr>
                <w:rFonts w:hint="eastAsia" w:ascii="仿宋" w:hAnsi="仿宋" w:eastAsia="仿宋" w:cs="仿宋"/>
                <w:sz w:val="24"/>
                <w:szCs w:val="24"/>
              </w:rPr>
              <w:t>1.本机关不掌握相关政府信息</w:t>
            </w:r>
          </w:p>
        </w:tc>
        <w:tc>
          <w:tcPr>
            <w:tcW w:w="576" w:type="dxa"/>
            <w:tcBorders>
              <w:tl2br w:val="nil"/>
              <w:tr2bl w:val="nil"/>
            </w:tcBorders>
            <w:noWrap w:val="0"/>
            <w:tcMar>
              <w:left w:w="57" w:type="dxa"/>
              <w:right w:w="57" w:type="dxa"/>
            </w:tcMar>
            <w:vAlign w:val="top"/>
          </w:tcPr>
          <w:p w14:paraId="6A702D1C">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14:paraId="1A87A8FE">
            <w:pPr>
              <w:spacing w:beforeLines="0" w:afterLines="0"/>
              <w:rPr>
                <w:rFonts w:hint="eastAsia" w:ascii="仿宋" w:hAnsi="仿宋" w:eastAsia="仿宋" w:cs="仿宋"/>
                <w:b/>
                <w:bCs/>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0226268E">
            <w:pPr>
              <w:spacing w:beforeLines="0" w:afterLines="0"/>
              <w:rPr>
                <w:rFonts w:hint="eastAsia" w:ascii="仿宋" w:hAnsi="仿宋" w:eastAsia="仿宋" w:cs="仿宋"/>
                <w:b/>
                <w:bCs/>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1012AF0C">
            <w:pPr>
              <w:spacing w:beforeLines="0" w:afterLines="0"/>
              <w:rPr>
                <w:rFonts w:hint="eastAsia" w:ascii="仿宋" w:hAnsi="仿宋" w:eastAsia="仿宋" w:cs="仿宋"/>
                <w:b/>
                <w:bCs/>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14:paraId="0A56F7AA">
            <w:pPr>
              <w:spacing w:beforeLines="0" w:afterLines="0"/>
              <w:rPr>
                <w:rFonts w:hint="eastAsia" w:ascii="仿宋" w:hAnsi="仿宋" w:eastAsia="仿宋" w:cs="仿宋"/>
                <w:b/>
                <w:bCs/>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14:paraId="5CB72085">
            <w:pPr>
              <w:spacing w:beforeLines="0" w:afterLines="0"/>
              <w:rPr>
                <w:rFonts w:hint="eastAsia" w:ascii="仿宋" w:hAnsi="仿宋" w:eastAsia="仿宋" w:cs="仿宋"/>
                <w:b/>
                <w:bCs/>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70ED932C">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429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5C021877">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14:paraId="5455ACD0">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14:paraId="66635887">
            <w:pPr>
              <w:spacing w:beforeLines="0" w:afterLines="0"/>
              <w:rPr>
                <w:rFonts w:hint="eastAsia" w:ascii="仿宋" w:hAnsi="仿宋" w:eastAsia="仿宋" w:cs="仿宋"/>
                <w:sz w:val="24"/>
                <w:szCs w:val="24"/>
              </w:rPr>
            </w:pPr>
            <w:r>
              <w:rPr>
                <w:rFonts w:hint="eastAsia" w:ascii="仿宋" w:hAnsi="仿宋" w:eastAsia="仿宋" w:cs="仿宋"/>
                <w:sz w:val="24"/>
                <w:szCs w:val="24"/>
              </w:rPr>
              <w:t>2.没有现成信息需要另行制作</w:t>
            </w:r>
          </w:p>
        </w:tc>
        <w:tc>
          <w:tcPr>
            <w:tcW w:w="576" w:type="dxa"/>
            <w:tcBorders>
              <w:tl2br w:val="nil"/>
              <w:tr2bl w:val="nil"/>
            </w:tcBorders>
            <w:noWrap w:val="0"/>
            <w:tcMar>
              <w:left w:w="57" w:type="dxa"/>
              <w:right w:w="57" w:type="dxa"/>
            </w:tcMar>
            <w:vAlign w:val="top"/>
          </w:tcPr>
          <w:p w14:paraId="584E959D">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14:paraId="7035620E">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0FD6FBAB">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335616FB">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14:paraId="17A0C74B">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14:paraId="1FEC08FC">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1B6BE978">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14:paraId="4F4A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7A9826AA">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14:paraId="75CC76DE">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top"/>
          </w:tcPr>
          <w:p w14:paraId="08FB1141">
            <w:pPr>
              <w:spacing w:beforeLines="0" w:afterLines="0"/>
              <w:rPr>
                <w:rFonts w:hint="eastAsia" w:ascii="仿宋" w:hAnsi="仿宋" w:eastAsia="仿宋" w:cs="仿宋"/>
                <w:sz w:val="24"/>
                <w:szCs w:val="24"/>
              </w:rPr>
            </w:pPr>
            <w:r>
              <w:rPr>
                <w:rFonts w:hint="eastAsia" w:ascii="仿宋" w:hAnsi="仿宋" w:eastAsia="仿宋" w:cs="仿宋"/>
                <w:sz w:val="24"/>
                <w:szCs w:val="24"/>
              </w:rPr>
              <w:t>3.补正后申请内容仍不明确</w:t>
            </w:r>
          </w:p>
        </w:tc>
        <w:tc>
          <w:tcPr>
            <w:tcW w:w="576" w:type="dxa"/>
            <w:tcBorders>
              <w:tl2br w:val="nil"/>
              <w:tr2bl w:val="nil"/>
            </w:tcBorders>
            <w:noWrap w:val="0"/>
            <w:tcMar>
              <w:left w:w="57" w:type="dxa"/>
              <w:right w:w="57" w:type="dxa"/>
            </w:tcMar>
            <w:vAlign w:val="top"/>
          </w:tcPr>
          <w:p w14:paraId="550F1B96">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14:paraId="3EEF6766">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07191384">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53821A89">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14:paraId="05CD0CC0">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14:paraId="631E3B40">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6F56D8E9">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14:paraId="78F2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387DF615">
            <w:pPr>
              <w:spacing w:beforeLines="0" w:afterLines="0"/>
              <w:rPr>
                <w:rFonts w:hint="eastAsia" w:ascii="仿宋" w:hAnsi="仿宋" w:eastAsia="仿宋" w:cs="仿宋"/>
                <w:sz w:val="24"/>
                <w:szCs w:val="24"/>
              </w:rPr>
            </w:pPr>
          </w:p>
        </w:tc>
        <w:tc>
          <w:tcPr>
            <w:tcW w:w="1694" w:type="dxa"/>
            <w:vMerge w:val="restart"/>
            <w:tcBorders>
              <w:tl2br w:val="nil"/>
              <w:tr2bl w:val="nil"/>
            </w:tcBorders>
            <w:noWrap w:val="0"/>
            <w:tcMar>
              <w:left w:w="57" w:type="dxa"/>
              <w:right w:w="57" w:type="dxa"/>
            </w:tcMar>
            <w:vAlign w:val="center"/>
          </w:tcPr>
          <w:p w14:paraId="678A9284">
            <w:pPr>
              <w:spacing w:beforeLines="0" w:afterLines="0"/>
              <w:rPr>
                <w:rFonts w:hint="eastAsia" w:ascii="黑体" w:hAnsi="黑体" w:eastAsia="黑体" w:cs="黑体"/>
                <w:sz w:val="24"/>
                <w:szCs w:val="24"/>
              </w:rPr>
            </w:pPr>
            <w:r>
              <w:rPr>
                <w:rFonts w:hint="eastAsia" w:ascii="黑体" w:hAnsi="黑体" w:eastAsia="黑体" w:cs="黑体"/>
                <w:sz w:val="24"/>
                <w:szCs w:val="24"/>
              </w:rPr>
              <w:t>（五）不予处理</w:t>
            </w:r>
          </w:p>
        </w:tc>
        <w:tc>
          <w:tcPr>
            <w:tcW w:w="3363" w:type="dxa"/>
            <w:tcBorders>
              <w:tl2br w:val="nil"/>
              <w:tr2bl w:val="nil"/>
            </w:tcBorders>
            <w:noWrap w:val="0"/>
            <w:tcMar>
              <w:left w:w="57" w:type="dxa"/>
              <w:right w:w="57" w:type="dxa"/>
            </w:tcMar>
            <w:vAlign w:val="top"/>
          </w:tcPr>
          <w:p w14:paraId="33FB99AD">
            <w:pPr>
              <w:spacing w:beforeLines="0" w:afterLines="0"/>
              <w:rPr>
                <w:rFonts w:hint="eastAsia" w:ascii="仿宋" w:hAnsi="仿宋" w:eastAsia="仿宋" w:cs="仿宋"/>
                <w:sz w:val="24"/>
                <w:szCs w:val="24"/>
              </w:rPr>
            </w:pPr>
            <w:r>
              <w:rPr>
                <w:rFonts w:hint="eastAsia" w:ascii="仿宋" w:hAnsi="仿宋" w:eastAsia="仿宋" w:cs="仿宋"/>
                <w:sz w:val="24"/>
                <w:szCs w:val="24"/>
              </w:rPr>
              <w:t>1.信访举报投诉类申请</w:t>
            </w:r>
          </w:p>
        </w:tc>
        <w:tc>
          <w:tcPr>
            <w:tcW w:w="576" w:type="dxa"/>
            <w:tcBorders>
              <w:tl2br w:val="nil"/>
              <w:tr2bl w:val="nil"/>
            </w:tcBorders>
            <w:noWrap w:val="0"/>
            <w:tcMar>
              <w:left w:w="57" w:type="dxa"/>
              <w:right w:w="57" w:type="dxa"/>
            </w:tcMar>
            <w:vAlign w:val="top"/>
          </w:tcPr>
          <w:p w14:paraId="61283CA8">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14:paraId="2285C376">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029E5387">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4B8E59E5">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14:paraId="6500731A">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14:paraId="545290FA">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2FF2E501">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14:paraId="4853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6F617F7F">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14:paraId="54E51726">
            <w:pPr>
              <w:spacing w:beforeLines="0" w:afterLines="0"/>
              <w:rPr>
                <w:rFonts w:hint="eastAsia" w:ascii="黑体" w:hAnsi="黑体" w:eastAsia="黑体" w:cs="黑体"/>
                <w:sz w:val="24"/>
                <w:szCs w:val="24"/>
              </w:rPr>
            </w:pPr>
          </w:p>
        </w:tc>
        <w:tc>
          <w:tcPr>
            <w:tcW w:w="3363" w:type="dxa"/>
            <w:tcBorders>
              <w:tl2br w:val="nil"/>
              <w:tr2bl w:val="nil"/>
            </w:tcBorders>
            <w:noWrap w:val="0"/>
            <w:tcMar>
              <w:left w:w="57" w:type="dxa"/>
              <w:right w:w="57" w:type="dxa"/>
            </w:tcMar>
            <w:vAlign w:val="top"/>
          </w:tcPr>
          <w:p w14:paraId="26E1DBAE">
            <w:pPr>
              <w:spacing w:beforeLines="0" w:afterLines="0"/>
              <w:rPr>
                <w:rFonts w:hint="eastAsia" w:ascii="仿宋" w:hAnsi="仿宋" w:eastAsia="仿宋" w:cs="仿宋"/>
                <w:sz w:val="24"/>
                <w:szCs w:val="24"/>
              </w:rPr>
            </w:pPr>
            <w:r>
              <w:rPr>
                <w:rFonts w:hint="eastAsia" w:ascii="仿宋" w:hAnsi="仿宋" w:eastAsia="仿宋" w:cs="仿宋"/>
                <w:sz w:val="24"/>
                <w:szCs w:val="24"/>
              </w:rPr>
              <w:t>2.重复申请</w:t>
            </w:r>
          </w:p>
        </w:tc>
        <w:tc>
          <w:tcPr>
            <w:tcW w:w="576" w:type="dxa"/>
            <w:tcBorders>
              <w:tl2br w:val="nil"/>
              <w:tr2bl w:val="nil"/>
            </w:tcBorders>
            <w:noWrap w:val="0"/>
            <w:tcMar>
              <w:left w:w="57" w:type="dxa"/>
              <w:right w:w="57" w:type="dxa"/>
            </w:tcMar>
            <w:vAlign w:val="top"/>
          </w:tcPr>
          <w:p w14:paraId="1CC03790">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14:paraId="6CEBBEA9">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164A7370">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2548959D">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14:paraId="2FA71329">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14:paraId="7922C32A">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419CB21E">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14:paraId="5B1C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00FE2A88">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14:paraId="3AA9724E">
            <w:pPr>
              <w:spacing w:beforeLines="0" w:afterLines="0"/>
              <w:rPr>
                <w:rFonts w:hint="eastAsia" w:ascii="黑体" w:hAnsi="黑体" w:eastAsia="黑体" w:cs="黑体"/>
                <w:sz w:val="24"/>
                <w:szCs w:val="24"/>
              </w:rPr>
            </w:pPr>
          </w:p>
        </w:tc>
        <w:tc>
          <w:tcPr>
            <w:tcW w:w="3363" w:type="dxa"/>
            <w:tcBorders>
              <w:tl2br w:val="nil"/>
              <w:tr2bl w:val="nil"/>
            </w:tcBorders>
            <w:noWrap w:val="0"/>
            <w:tcMar>
              <w:left w:w="57" w:type="dxa"/>
              <w:right w:w="57" w:type="dxa"/>
            </w:tcMar>
            <w:vAlign w:val="top"/>
          </w:tcPr>
          <w:p w14:paraId="6ED8EEF4">
            <w:pPr>
              <w:spacing w:beforeLines="0" w:afterLines="0"/>
              <w:rPr>
                <w:rFonts w:hint="eastAsia" w:ascii="仿宋" w:hAnsi="仿宋" w:eastAsia="仿宋" w:cs="仿宋"/>
                <w:sz w:val="24"/>
                <w:szCs w:val="24"/>
              </w:rPr>
            </w:pPr>
            <w:r>
              <w:rPr>
                <w:rFonts w:hint="eastAsia" w:ascii="仿宋" w:hAnsi="仿宋" w:eastAsia="仿宋" w:cs="仿宋"/>
                <w:sz w:val="24"/>
                <w:szCs w:val="24"/>
              </w:rPr>
              <w:t>3.要求提供公开出版物</w:t>
            </w:r>
          </w:p>
        </w:tc>
        <w:tc>
          <w:tcPr>
            <w:tcW w:w="576" w:type="dxa"/>
            <w:tcBorders>
              <w:tl2br w:val="nil"/>
              <w:tr2bl w:val="nil"/>
            </w:tcBorders>
            <w:noWrap w:val="0"/>
            <w:tcMar>
              <w:left w:w="57" w:type="dxa"/>
              <w:right w:w="57" w:type="dxa"/>
            </w:tcMar>
            <w:vAlign w:val="top"/>
          </w:tcPr>
          <w:p w14:paraId="625D8F2F">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top"/>
          </w:tcPr>
          <w:p w14:paraId="5C5FB4C2">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4D8DC771">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top"/>
          </w:tcPr>
          <w:p w14:paraId="505FE2CE">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top"/>
          </w:tcPr>
          <w:p w14:paraId="3E35AA52">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top"/>
          </w:tcPr>
          <w:p w14:paraId="0B161DDD">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37B37F74">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14:paraId="7B28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1048B289">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14:paraId="2EF05BF2">
            <w:pPr>
              <w:spacing w:beforeLines="0" w:afterLines="0"/>
              <w:rPr>
                <w:rFonts w:hint="eastAsia" w:ascii="黑体" w:hAnsi="黑体" w:eastAsia="黑体" w:cs="黑体"/>
                <w:sz w:val="24"/>
                <w:szCs w:val="24"/>
              </w:rPr>
            </w:pPr>
          </w:p>
        </w:tc>
        <w:tc>
          <w:tcPr>
            <w:tcW w:w="3363" w:type="dxa"/>
            <w:tcBorders>
              <w:tl2br w:val="nil"/>
              <w:tr2bl w:val="nil"/>
            </w:tcBorders>
            <w:noWrap w:val="0"/>
            <w:tcMar>
              <w:left w:w="57" w:type="dxa"/>
              <w:right w:w="57" w:type="dxa"/>
            </w:tcMar>
            <w:vAlign w:val="top"/>
          </w:tcPr>
          <w:p w14:paraId="7746E13D">
            <w:pPr>
              <w:spacing w:beforeLines="0" w:afterLines="0"/>
              <w:rPr>
                <w:rFonts w:hint="eastAsia" w:ascii="仿宋" w:hAnsi="仿宋" w:eastAsia="仿宋" w:cs="仿宋"/>
                <w:sz w:val="24"/>
                <w:szCs w:val="24"/>
              </w:rPr>
            </w:pPr>
            <w:r>
              <w:rPr>
                <w:rFonts w:hint="eastAsia" w:ascii="仿宋" w:hAnsi="仿宋" w:eastAsia="仿宋" w:cs="仿宋"/>
                <w:sz w:val="24"/>
                <w:szCs w:val="24"/>
              </w:rPr>
              <w:t>4.无正当理由大量反复申请</w:t>
            </w:r>
          </w:p>
        </w:tc>
        <w:tc>
          <w:tcPr>
            <w:tcW w:w="576" w:type="dxa"/>
            <w:tcBorders>
              <w:tl2br w:val="nil"/>
              <w:tr2bl w:val="nil"/>
            </w:tcBorders>
            <w:noWrap w:val="0"/>
            <w:tcMar>
              <w:left w:w="57" w:type="dxa"/>
              <w:right w:w="57" w:type="dxa"/>
            </w:tcMar>
            <w:vAlign w:val="center"/>
          </w:tcPr>
          <w:p w14:paraId="609F4E29">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14:paraId="4799EFBC">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56B0648A">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24ECB50F">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14:paraId="4462AEC5">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14:paraId="238095BE">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center"/>
          </w:tcPr>
          <w:p w14:paraId="732FB1A7">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r>
      <w:tr w14:paraId="225D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2E7D4D2C">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14:paraId="0DE044DA">
            <w:pPr>
              <w:spacing w:beforeLines="0" w:afterLines="0"/>
              <w:rPr>
                <w:rFonts w:hint="eastAsia" w:ascii="黑体" w:hAnsi="黑体" w:eastAsia="黑体" w:cs="黑体"/>
                <w:sz w:val="24"/>
                <w:szCs w:val="24"/>
              </w:rPr>
            </w:pPr>
          </w:p>
        </w:tc>
        <w:tc>
          <w:tcPr>
            <w:tcW w:w="3363" w:type="dxa"/>
            <w:tcBorders>
              <w:tl2br w:val="nil"/>
              <w:tr2bl w:val="nil"/>
            </w:tcBorders>
            <w:noWrap w:val="0"/>
            <w:tcMar>
              <w:left w:w="57" w:type="dxa"/>
              <w:right w:w="57" w:type="dxa"/>
            </w:tcMar>
            <w:vAlign w:val="center"/>
          </w:tcPr>
          <w:p w14:paraId="1B9424F5">
            <w:pPr>
              <w:spacing w:beforeLines="0" w:afterLines="0"/>
              <w:rPr>
                <w:rFonts w:hint="eastAsia" w:ascii="仿宋" w:hAnsi="仿宋" w:eastAsia="仿宋" w:cs="仿宋"/>
                <w:sz w:val="24"/>
                <w:szCs w:val="24"/>
              </w:rPr>
            </w:pPr>
            <w:r>
              <w:rPr>
                <w:rFonts w:hint="eastAsia" w:ascii="仿宋" w:hAnsi="仿宋" w:eastAsia="仿宋" w:cs="仿宋"/>
                <w:sz w:val="24"/>
                <w:szCs w:val="24"/>
              </w:rPr>
              <w:t>5.要求行政机关确认或重新出具已获取信息</w:t>
            </w:r>
          </w:p>
        </w:tc>
        <w:tc>
          <w:tcPr>
            <w:tcW w:w="576" w:type="dxa"/>
            <w:tcBorders>
              <w:tl2br w:val="nil"/>
              <w:tr2bl w:val="nil"/>
            </w:tcBorders>
            <w:noWrap w:val="0"/>
            <w:tcMar>
              <w:left w:w="57" w:type="dxa"/>
              <w:right w:w="57" w:type="dxa"/>
            </w:tcMar>
            <w:vAlign w:val="center"/>
          </w:tcPr>
          <w:p w14:paraId="324BFF37">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14:paraId="78BBCFD5">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11C9D4CE">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70C0D52A">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14:paraId="453B9880">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14:paraId="103B51AA">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center"/>
          </w:tcPr>
          <w:p w14:paraId="0DD6C243">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r>
      <w:tr w14:paraId="2792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501DEE92">
            <w:pPr>
              <w:spacing w:beforeLines="0" w:afterLines="0"/>
              <w:rPr>
                <w:rFonts w:hint="eastAsia" w:ascii="仿宋" w:hAnsi="仿宋" w:eastAsia="仿宋" w:cs="仿宋"/>
                <w:sz w:val="24"/>
                <w:szCs w:val="24"/>
              </w:rPr>
            </w:pPr>
          </w:p>
        </w:tc>
        <w:tc>
          <w:tcPr>
            <w:tcW w:w="1694" w:type="dxa"/>
            <w:vMerge w:val="restart"/>
            <w:tcBorders>
              <w:tl2br w:val="nil"/>
              <w:tr2bl w:val="nil"/>
            </w:tcBorders>
            <w:noWrap w:val="0"/>
            <w:tcMar>
              <w:left w:w="57" w:type="dxa"/>
              <w:right w:w="57" w:type="dxa"/>
            </w:tcMar>
            <w:vAlign w:val="center"/>
          </w:tcPr>
          <w:p w14:paraId="048F5186">
            <w:pPr>
              <w:spacing w:beforeLines="0" w:afterLines="0"/>
              <w:rPr>
                <w:rFonts w:hint="eastAsia" w:ascii="黑体" w:hAnsi="黑体" w:eastAsia="黑体" w:cs="黑体"/>
                <w:sz w:val="24"/>
                <w:szCs w:val="24"/>
              </w:rPr>
            </w:pPr>
            <w:r>
              <w:rPr>
                <w:rFonts w:hint="eastAsia" w:ascii="黑体" w:hAnsi="黑体" w:eastAsia="黑体" w:cs="黑体"/>
                <w:sz w:val="24"/>
                <w:szCs w:val="24"/>
              </w:rPr>
              <w:t>（六）其他处理</w:t>
            </w:r>
          </w:p>
        </w:tc>
        <w:tc>
          <w:tcPr>
            <w:tcW w:w="3363" w:type="dxa"/>
            <w:tcBorders>
              <w:tl2br w:val="nil"/>
              <w:tr2bl w:val="nil"/>
            </w:tcBorders>
            <w:noWrap w:val="0"/>
            <w:tcMar>
              <w:left w:w="57" w:type="dxa"/>
              <w:right w:w="57" w:type="dxa"/>
            </w:tcMar>
            <w:vAlign w:val="center"/>
          </w:tcPr>
          <w:p w14:paraId="5149FB33">
            <w:pPr>
              <w:spacing w:beforeLines="0" w:afterLines="0"/>
              <w:rPr>
                <w:rFonts w:hint="eastAsia" w:ascii="仿宋" w:hAnsi="仿宋" w:eastAsia="仿宋" w:cs="仿宋"/>
                <w:sz w:val="24"/>
                <w:szCs w:val="24"/>
              </w:rPr>
            </w:pPr>
            <w:r>
              <w:rPr>
                <w:rFonts w:hint="eastAsia" w:ascii="仿宋" w:hAnsi="仿宋" w:eastAsia="仿宋" w:cs="仿宋"/>
                <w:sz w:val="24"/>
                <w:szCs w:val="24"/>
              </w:rPr>
              <w:t>1.申请人无正当理由逾期不补正、行政机关不再处理其政府信息公开申请</w:t>
            </w:r>
          </w:p>
        </w:tc>
        <w:tc>
          <w:tcPr>
            <w:tcW w:w="576" w:type="dxa"/>
            <w:tcBorders>
              <w:tl2br w:val="nil"/>
              <w:tr2bl w:val="nil"/>
            </w:tcBorders>
            <w:noWrap w:val="0"/>
            <w:tcMar>
              <w:left w:w="57" w:type="dxa"/>
              <w:right w:w="57" w:type="dxa"/>
            </w:tcMar>
            <w:vAlign w:val="center"/>
          </w:tcPr>
          <w:p w14:paraId="01A39A10">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14:paraId="01F7177B">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00B09E1C">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20F67959">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14:paraId="4970B4E8">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14:paraId="48C05978">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center"/>
          </w:tcPr>
          <w:p w14:paraId="6F68EAF1">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r>
      <w:tr w14:paraId="0076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004469CC">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14:paraId="100A676E">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center"/>
          </w:tcPr>
          <w:p w14:paraId="0BF30368">
            <w:pPr>
              <w:spacing w:beforeLines="0" w:afterLines="0"/>
              <w:rPr>
                <w:rFonts w:hint="eastAsia" w:ascii="仿宋" w:hAnsi="仿宋" w:eastAsia="仿宋" w:cs="仿宋"/>
                <w:sz w:val="24"/>
                <w:szCs w:val="24"/>
              </w:rPr>
            </w:pPr>
            <w:r>
              <w:rPr>
                <w:rFonts w:hint="eastAsia" w:ascii="仿宋" w:hAnsi="仿宋" w:eastAsia="仿宋" w:cs="仿宋"/>
                <w:sz w:val="24"/>
                <w:szCs w:val="24"/>
              </w:rPr>
              <w:t>2.申请人逾期未按收费通知要求缴纳费用、行政机关不再处理其政府信息公开申请</w:t>
            </w:r>
          </w:p>
        </w:tc>
        <w:tc>
          <w:tcPr>
            <w:tcW w:w="576" w:type="dxa"/>
            <w:tcBorders>
              <w:tl2br w:val="nil"/>
              <w:tr2bl w:val="nil"/>
            </w:tcBorders>
            <w:noWrap w:val="0"/>
            <w:tcMar>
              <w:left w:w="57" w:type="dxa"/>
              <w:right w:w="57" w:type="dxa"/>
            </w:tcMar>
            <w:vAlign w:val="center"/>
          </w:tcPr>
          <w:p w14:paraId="3AABF22F">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14:paraId="58191FA5">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5A076C56">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7032E053">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14:paraId="4846D9FB">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14:paraId="5031BA30">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center"/>
          </w:tcPr>
          <w:p w14:paraId="0F60222B">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r>
      <w:tr w14:paraId="2086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1B4EE40F">
            <w:pPr>
              <w:spacing w:beforeLines="0" w:afterLines="0"/>
              <w:rPr>
                <w:rFonts w:hint="eastAsia" w:ascii="仿宋" w:hAnsi="仿宋" w:eastAsia="仿宋" w:cs="仿宋"/>
                <w:sz w:val="24"/>
                <w:szCs w:val="24"/>
              </w:rPr>
            </w:pPr>
          </w:p>
        </w:tc>
        <w:tc>
          <w:tcPr>
            <w:tcW w:w="1694" w:type="dxa"/>
            <w:vMerge w:val="continue"/>
            <w:tcBorders>
              <w:tl2br w:val="nil"/>
              <w:tr2bl w:val="nil"/>
            </w:tcBorders>
            <w:noWrap w:val="0"/>
            <w:tcMar>
              <w:left w:w="57" w:type="dxa"/>
              <w:right w:w="57" w:type="dxa"/>
            </w:tcMar>
            <w:vAlign w:val="center"/>
          </w:tcPr>
          <w:p w14:paraId="23AD4231">
            <w:pPr>
              <w:spacing w:beforeLines="0" w:afterLines="0"/>
              <w:rPr>
                <w:rFonts w:hint="eastAsia" w:ascii="仿宋" w:hAnsi="仿宋" w:eastAsia="仿宋" w:cs="仿宋"/>
                <w:sz w:val="24"/>
                <w:szCs w:val="24"/>
              </w:rPr>
            </w:pPr>
          </w:p>
        </w:tc>
        <w:tc>
          <w:tcPr>
            <w:tcW w:w="3363" w:type="dxa"/>
            <w:tcBorders>
              <w:tl2br w:val="nil"/>
              <w:tr2bl w:val="nil"/>
            </w:tcBorders>
            <w:noWrap w:val="0"/>
            <w:tcMar>
              <w:left w:w="57" w:type="dxa"/>
              <w:right w:w="57" w:type="dxa"/>
            </w:tcMar>
            <w:vAlign w:val="center"/>
          </w:tcPr>
          <w:p w14:paraId="3012F3C9">
            <w:pPr>
              <w:spacing w:beforeLines="0" w:afterLines="0"/>
              <w:rPr>
                <w:rFonts w:hint="eastAsia" w:ascii="仿宋" w:hAnsi="仿宋" w:eastAsia="仿宋" w:cs="仿宋"/>
                <w:sz w:val="24"/>
                <w:szCs w:val="24"/>
              </w:rPr>
            </w:pPr>
            <w:r>
              <w:rPr>
                <w:rFonts w:hint="eastAsia" w:ascii="仿宋" w:hAnsi="仿宋" w:eastAsia="仿宋" w:cs="仿宋"/>
                <w:sz w:val="24"/>
                <w:szCs w:val="24"/>
              </w:rPr>
              <w:t>3.其他</w:t>
            </w:r>
          </w:p>
        </w:tc>
        <w:tc>
          <w:tcPr>
            <w:tcW w:w="576" w:type="dxa"/>
            <w:tcBorders>
              <w:tl2br w:val="nil"/>
              <w:tr2bl w:val="nil"/>
            </w:tcBorders>
            <w:noWrap w:val="0"/>
            <w:tcMar>
              <w:left w:w="57" w:type="dxa"/>
              <w:right w:w="57" w:type="dxa"/>
            </w:tcMar>
            <w:vAlign w:val="center"/>
          </w:tcPr>
          <w:p w14:paraId="7BF4150D">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14:paraId="1EB12BE2">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51C36993">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005E6CA0">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14:paraId="233D3EF1">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14:paraId="0C3459DB">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center"/>
          </w:tcPr>
          <w:p w14:paraId="747711B9">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r>
      <w:tr w14:paraId="2E8E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5" w:type="dxa"/>
            <w:vMerge w:val="continue"/>
            <w:tcBorders>
              <w:tl2br w:val="nil"/>
              <w:tr2bl w:val="nil"/>
            </w:tcBorders>
            <w:noWrap w:val="0"/>
            <w:tcMar>
              <w:left w:w="57" w:type="dxa"/>
              <w:right w:w="57" w:type="dxa"/>
            </w:tcMar>
            <w:vAlign w:val="center"/>
          </w:tcPr>
          <w:p w14:paraId="511B5697">
            <w:pPr>
              <w:spacing w:beforeLines="0" w:afterLines="0"/>
              <w:rPr>
                <w:rFonts w:hint="eastAsia" w:ascii="黑体" w:hAnsi="黑体" w:eastAsia="黑体" w:cs="黑体"/>
                <w:sz w:val="24"/>
                <w:szCs w:val="24"/>
              </w:rPr>
            </w:pPr>
          </w:p>
        </w:tc>
        <w:tc>
          <w:tcPr>
            <w:tcW w:w="5057" w:type="dxa"/>
            <w:gridSpan w:val="2"/>
            <w:tcBorders>
              <w:tl2br w:val="nil"/>
              <w:tr2bl w:val="nil"/>
            </w:tcBorders>
            <w:noWrap w:val="0"/>
            <w:tcMar>
              <w:left w:w="57" w:type="dxa"/>
              <w:right w:w="57" w:type="dxa"/>
            </w:tcMar>
            <w:vAlign w:val="center"/>
          </w:tcPr>
          <w:p w14:paraId="60DFB994">
            <w:pPr>
              <w:spacing w:beforeLines="0" w:afterLines="0"/>
              <w:rPr>
                <w:rFonts w:hint="eastAsia" w:ascii="黑体" w:hAnsi="黑体" w:eastAsia="黑体" w:cs="黑体"/>
                <w:sz w:val="24"/>
                <w:szCs w:val="24"/>
              </w:rPr>
            </w:pPr>
            <w:r>
              <w:rPr>
                <w:rFonts w:hint="eastAsia" w:ascii="黑体" w:hAnsi="黑体" w:eastAsia="黑体" w:cs="黑体"/>
                <w:sz w:val="24"/>
                <w:szCs w:val="24"/>
              </w:rPr>
              <w:t>（七）总计</w:t>
            </w:r>
          </w:p>
        </w:tc>
        <w:tc>
          <w:tcPr>
            <w:tcW w:w="576" w:type="dxa"/>
            <w:tcBorders>
              <w:tl2br w:val="nil"/>
              <w:tr2bl w:val="nil"/>
            </w:tcBorders>
            <w:noWrap w:val="0"/>
            <w:tcMar>
              <w:left w:w="57" w:type="dxa"/>
              <w:right w:w="57" w:type="dxa"/>
            </w:tcMar>
            <w:vAlign w:val="center"/>
          </w:tcPr>
          <w:p w14:paraId="6239DB8E">
            <w:pPr>
              <w:spacing w:beforeLines="0" w:afterLine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14:paraId="474F1B52">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5BE9444F">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36DC8C9F">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14:paraId="32D8EE74">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14:paraId="51768F0C">
            <w:pPr>
              <w:spacing w:beforeLines="0" w:afterLines="0"/>
              <w:jc w:val="both"/>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center"/>
          </w:tcPr>
          <w:p w14:paraId="0EA05CB8">
            <w:pPr>
              <w:spacing w:beforeLines="0" w:afterLine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6468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522" w:type="dxa"/>
            <w:gridSpan w:val="3"/>
            <w:tcBorders>
              <w:tl2br w:val="nil"/>
              <w:tr2bl w:val="nil"/>
            </w:tcBorders>
            <w:noWrap w:val="0"/>
            <w:tcMar>
              <w:left w:w="57" w:type="dxa"/>
              <w:right w:w="57" w:type="dxa"/>
            </w:tcMar>
            <w:vAlign w:val="center"/>
          </w:tcPr>
          <w:p w14:paraId="185EEE9F">
            <w:pPr>
              <w:spacing w:beforeLines="0" w:afterLines="0"/>
              <w:rPr>
                <w:rFonts w:hint="eastAsia" w:ascii="黑体" w:hAnsi="黑体" w:eastAsia="黑体" w:cs="黑体"/>
                <w:sz w:val="24"/>
                <w:szCs w:val="24"/>
              </w:rPr>
            </w:pPr>
            <w:r>
              <w:rPr>
                <w:rFonts w:hint="eastAsia" w:ascii="黑体" w:hAnsi="黑体" w:eastAsia="黑体" w:cs="黑体"/>
                <w:sz w:val="24"/>
                <w:szCs w:val="24"/>
              </w:rPr>
              <w:t>四、结转下年度继续办理</w:t>
            </w:r>
          </w:p>
        </w:tc>
        <w:tc>
          <w:tcPr>
            <w:tcW w:w="576" w:type="dxa"/>
            <w:tcBorders>
              <w:tl2br w:val="nil"/>
              <w:tr2bl w:val="nil"/>
            </w:tcBorders>
            <w:noWrap w:val="0"/>
            <w:tcMar>
              <w:left w:w="57" w:type="dxa"/>
              <w:right w:w="57" w:type="dxa"/>
            </w:tcMar>
            <w:vAlign w:val="center"/>
          </w:tcPr>
          <w:p w14:paraId="4198F4EA">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l2br w:val="nil"/>
              <w:tr2bl w:val="nil"/>
            </w:tcBorders>
            <w:noWrap w:val="0"/>
            <w:tcMar>
              <w:left w:w="57" w:type="dxa"/>
              <w:right w:w="57" w:type="dxa"/>
            </w:tcMar>
            <w:vAlign w:val="center"/>
          </w:tcPr>
          <w:p w14:paraId="77392172">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7B9D0A13">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l2br w:val="nil"/>
              <w:tr2bl w:val="nil"/>
            </w:tcBorders>
            <w:noWrap w:val="0"/>
            <w:tcMar>
              <w:left w:w="57" w:type="dxa"/>
              <w:right w:w="57" w:type="dxa"/>
            </w:tcMar>
            <w:vAlign w:val="center"/>
          </w:tcPr>
          <w:p w14:paraId="2265ED84">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l2br w:val="nil"/>
              <w:tr2bl w:val="nil"/>
            </w:tcBorders>
            <w:noWrap w:val="0"/>
            <w:tcMar>
              <w:left w:w="57" w:type="dxa"/>
              <w:right w:w="57" w:type="dxa"/>
            </w:tcMar>
            <w:vAlign w:val="center"/>
          </w:tcPr>
          <w:p w14:paraId="246C38C3">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l2br w:val="nil"/>
              <w:tr2bl w:val="nil"/>
            </w:tcBorders>
            <w:noWrap w:val="0"/>
            <w:tcMar>
              <w:left w:w="57" w:type="dxa"/>
              <w:right w:w="57" w:type="dxa"/>
            </w:tcMar>
            <w:vAlign w:val="center"/>
          </w:tcPr>
          <w:p w14:paraId="464CBA28">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l2br w:val="nil"/>
              <w:tr2bl w:val="nil"/>
            </w:tcBorders>
            <w:noWrap w:val="0"/>
            <w:tcMar>
              <w:left w:w="57" w:type="dxa"/>
              <w:right w:w="57" w:type="dxa"/>
            </w:tcMar>
            <w:vAlign w:val="top"/>
          </w:tcPr>
          <w:p w14:paraId="531722A9">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bl>
    <w:p w14:paraId="751CE1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四、政府信息公开行政复议、行政诉讼情况</w:t>
      </w:r>
    </w:p>
    <w:tbl>
      <w:tblPr>
        <w:tblStyle w:val="3"/>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33C405E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2AAAF87D">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行政复议</w:t>
            </w:r>
          </w:p>
        </w:tc>
        <w:tc>
          <w:tcPr>
            <w:tcW w:w="6503" w:type="dxa"/>
            <w:gridSpan w:val="10"/>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7AB24699">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行政诉讼</w:t>
            </w:r>
          </w:p>
        </w:tc>
      </w:tr>
      <w:tr w14:paraId="4499CD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1241C015">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结果维持</w:t>
            </w:r>
          </w:p>
        </w:tc>
        <w:tc>
          <w:tcPr>
            <w:tcW w:w="649" w:type="dxa"/>
            <w:vMerge w:val="restart"/>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7F06B810">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结果</w:t>
            </w:r>
          </w:p>
          <w:p w14:paraId="2ECC1064">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纠正</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64D6810B">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其他</w:t>
            </w:r>
          </w:p>
          <w:p w14:paraId="57919847">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7FD331F2">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尚未</w:t>
            </w:r>
          </w:p>
          <w:p w14:paraId="38152B15">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审结</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3128C18A">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c>
          <w:tcPr>
            <w:tcW w:w="3248"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3B52FE7C">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未经复议直接起诉</w:t>
            </w:r>
          </w:p>
        </w:tc>
        <w:tc>
          <w:tcPr>
            <w:tcW w:w="3255"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361C1031">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复议后起诉</w:t>
            </w:r>
          </w:p>
        </w:tc>
      </w:tr>
      <w:tr w14:paraId="6CBD0DB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5F5EB0F0">
            <w:pPr>
              <w:spacing w:beforeLines="0" w:afterLines="0"/>
              <w:jc w:val="center"/>
              <w:rPr>
                <w:rFonts w:hint="eastAsia" w:ascii="黑体" w:hAnsi="黑体" w:eastAsia="黑体" w:cs="黑体"/>
                <w:sz w:val="24"/>
                <w:szCs w:val="24"/>
              </w:rPr>
            </w:pPr>
          </w:p>
        </w:tc>
        <w:tc>
          <w:tcPr>
            <w:tcW w:w="649" w:type="dxa"/>
            <w:vMerge w:val="continue"/>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26998238">
            <w:pPr>
              <w:spacing w:beforeLines="0" w:afterLines="0"/>
              <w:jc w:val="center"/>
              <w:rPr>
                <w:rFonts w:hint="eastAsia" w:ascii="黑体" w:hAnsi="黑体"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55BFF0BD">
            <w:pPr>
              <w:spacing w:beforeLines="0" w:afterLines="0"/>
              <w:jc w:val="center"/>
              <w:rPr>
                <w:rFonts w:hint="eastAsia" w:ascii="黑体" w:hAnsi="黑体"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68073EF4">
            <w:pPr>
              <w:spacing w:beforeLines="0" w:afterLines="0"/>
              <w:jc w:val="center"/>
              <w:rPr>
                <w:rFonts w:hint="eastAsia" w:ascii="黑体" w:hAnsi="黑体"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01AD48AF">
            <w:pPr>
              <w:spacing w:beforeLines="0" w:afterLines="0"/>
              <w:jc w:val="center"/>
              <w:rPr>
                <w:rFonts w:hint="eastAsia" w:ascii="黑体" w:hAnsi="黑体" w:eastAsia="黑体" w:cs="黑体"/>
                <w:sz w:val="24"/>
                <w:szCs w:val="24"/>
              </w:rPr>
            </w:pP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4DB57BDE">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结果</w:t>
            </w:r>
          </w:p>
          <w:p w14:paraId="6CCDB770">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维持</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11C2D10D">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结果</w:t>
            </w:r>
          </w:p>
          <w:p w14:paraId="3446EDAD">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纠正</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57346559">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其他</w:t>
            </w:r>
          </w:p>
          <w:p w14:paraId="7DEAB64F">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33DACD67">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尚未</w:t>
            </w:r>
          </w:p>
          <w:p w14:paraId="21674D0E">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审结</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6DAB4408">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4CEC2241">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结果</w:t>
            </w:r>
          </w:p>
          <w:p w14:paraId="7ED80B92">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维持</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687AD7DB">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结果</w:t>
            </w:r>
          </w:p>
          <w:p w14:paraId="52F257A3">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纠正</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2C5DAA7C">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其他</w:t>
            </w:r>
          </w:p>
          <w:p w14:paraId="04C8F75E">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268BA60C">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尚未</w:t>
            </w:r>
          </w:p>
          <w:p w14:paraId="69A2C943">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审结</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14:paraId="39274BB5">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r>
      <w:tr w14:paraId="1A2EF6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42646FAF">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4933BF8F">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2D15EF34">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223255A4">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0141554E">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7DA284B3">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0295FFFE">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090ABB07">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684655DA">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3729198C">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12114628">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156CB3D0">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573F45FC">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71B2C165">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14:paraId="73ADF636">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14:paraId="775B9E0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五、存在的主要问题及改进情况</w:t>
      </w:r>
    </w:p>
    <w:p w14:paraId="7078DAA3">
      <w:pPr>
        <w:keepNext w:val="0"/>
        <w:keepLines w:val="0"/>
        <w:pageBreakBefore w:val="0"/>
        <w:widowControl w:val="0"/>
        <w:kinsoku/>
        <w:wordWrap/>
        <w:overflowPunct/>
        <w:topLinePunct w:val="0"/>
        <w:autoSpaceDE/>
        <w:autoSpaceDN/>
        <w:bidi w:val="0"/>
        <w:adjustRightInd/>
        <w:snapToGrid/>
        <w:spacing w:line="240" w:lineRule="auto"/>
        <w:ind w:firstLine="960" w:firstLineChars="3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桓台县民政局政府信息公开工作总体情况良好，但在主动公开机制完善方面略有不足，桓台县民政局从以下几点逐步完善主动公开机制，全面保障群众知情权。</w:t>
      </w:r>
    </w:p>
    <w:p w14:paraId="382123C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一是拓宽主动公开信息的事项范围，并特别关注民生相关领域，通过个别公开、专项公开等手段强化信息公开力度。</w:t>
      </w:r>
    </w:p>
    <w:p w14:paraId="7B4BCD9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是提升信息公开主体主动公开信息的意识和水平，一方面全面树立“公开为原则，不公开为例外”的指导思想，扭转“动员型”主动公开的局面，另一方面通过制定政府信息公开长效机制，确保主动公开的持续、平稳推进。</w:t>
      </w:r>
    </w:p>
    <w:p w14:paraId="373E5D9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三是依托数据开放技术的发展，全面打造政府数据开放平台，以信息化提升主动公开的实效，从而充分发挥政府信息及数据的作用和价值。</w:t>
      </w:r>
    </w:p>
    <w:p w14:paraId="51D38F4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下一步加大宣传力度，提高公众的知晓率和参与度。以信息公开带动办事公开、带动便民服务；形成良好的报送机制，做到及时、有效；加强业务学习培训，提升技术支持，提升整体工作水平。</w:t>
      </w:r>
    </w:p>
    <w:p w14:paraId="6E89232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default" w:ascii="黑体" w:hAnsi="黑体" w:eastAsia="黑体" w:cs="黑体"/>
          <w:b w:val="0"/>
          <w:bCs w:val="0"/>
          <w:color w:val="000000" w:themeColor="text1"/>
          <w:sz w:val="32"/>
          <w:szCs w:val="32"/>
          <w:lang w:val="en-US" w:eastAsia="zh-CN"/>
          <w14:textFill>
            <w14:solidFill>
              <w14:schemeClr w14:val="tx1"/>
            </w14:solidFill>
          </w14:textFill>
        </w:rPr>
        <w:t>六、其他需要报告的事项</w:t>
      </w:r>
    </w:p>
    <w:p w14:paraId="3F7629F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1.依申请公开信息处理费收费情况</w:t>
      </w:r>
    </w:p>
    <w:p w14:paraId="3BAD76E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960" w:firstLineChars="3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（1）收费情况。2024年度，我局无收取政府信息公开信息处理费的情况。</w:t>
      </w:r>
    </w:p>
    <w:p w14:paraId="0476A20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2.本年度建议提案办理情况</w:t>
      </w:r>
    </w:p>
    <w:p w14:paraId="1800B67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2024年我局共收到县级人大代表建议4件、办理县级政协提案9件，现已全部按规定时间办复完毕，且做到了“三个一百”，即与代表沟通率达到100%、及时办理答复率达到100%、代表满意率达到100%。</w:t>
      </w:r>
    </w:p>
    <w:p w14:paraId="287327D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3.政务公开内容创新实践情况</w:t>
      </w:r>
    </w:p>
    <w:p w14:paraId="2E2D093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规范政务公开，围绕与群众关系密切的行政行为和服务事项，按照“应公开、尽公开”要求全面梳理公开事项，细化公开内容，督促指导各科室和下属事业单位及时按照相关法律法规要求做好主动公开工作，准确把握公开内容、范围、形式、程序、时限等，推动了政务信息公开制度化规范化等发展，进一步提高基层政务公开的针对性、实效性。</w:t>
      </w:r>
    </w:p>
    <w:p w14:paraId="1081B2E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4.落实上级方案情况</w:t>
      </w:r>
    </w:p>
    <w:p w14:paraId="40684EB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民政局严格落实《2024年桓台县政务公开工作方案》《桓台县政府信息主动公开基本目录（2024版）》按时上交任务清单，并严格按照上级要求予以落实，本年度落实情况良好。</w:t>
      </w:r>
    </w:p>
    <w:p w14:paraId="492246E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5.简化优化办事程序</w:t>
      </w:r>
    </w:p>
    <w:p w14:paraId="3A60E26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及时编制修订和发布办事指南。通</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过桓台县政府官网、微信公众号、微信视频号，积极宣传报道民政领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域政务公开工作，并组织机关干部在微信等平台积极转发提升群众满意度工作等各类政务公开信息，提高群众知晓度。</w:t>
      </w:r>
    </w:p>
    <w:p w14:paraId="1087450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t>6.民政局无需要报告的其他事项。</w:t>
      </w:r>
    </w:p>
    <w:p w14:paraId="2CDC81E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7226C20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6C85297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03E6F4D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3C882D75">
      <w:pPr>
        <w:keepNext w:val="0"/>
        <w:keepLines w:val="0"/>
        <w:pageBreakBefore w:val="0"/>
        <w:widowControl w:val="0"/>
        <w:kinsoku/>
        <w:wordWrap/>
        <w:overflowPunct/>
        <w:topLinePunct w:val="0"/>
        <w:autoSpaceDE/>
        <w:autoSpaceDN/>
        <w:bidi w:val="0"/>
        <w:adjustRightInd/>
        <w:snapToGrid/>
        <w:spacing w:line="240" w:lineRule="auto"/>
        <w:ind w:firstLine="6400" w:firstLineChars="20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桓台县民政局</w:t>
      </w:r>
    </w:p>
    <w:p w14:paraId="0FD1E365">
      <w:pPr>
        <w:keepNext w:val="0"/>
        <w:keepLines w:val="0"/>
        <w:pageBreakBefore w:val="0"/>
        <w:widowControl w:val="0"/>
        <w:kinsoku/>
        <w:wordWrap/>
        <w:overflowPunct/>
        <w:topLinePunct w:val="0"/>
        <w:autoSpaceDE/>
        <w:autoSpaceDN/>
        <w:bidi w:val="0"/>
        <w:adjustRightInd/>
        <w:snapToGrid/>
        <w:spacing w:line="240" w:lineRule="auto"/>
        <w:ind w:firstLine="6080" w:firstLineChars="19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2024年1月3日</w:t>
      </w:r>
      <w:bookmarkStart w:id="0" w:name="_GoBack"/>
      <w:bookmarkEnd w:id="0"/>
    </w:p>
    <w:sectPr>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0A9367-8A2C-46AD-81AF-ABDF5A93BA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panose1 w:val="02000000000000000000"/>
    <w:charset w:val="86"/>
    <w:family w:val="auto"/>
    <w:pitch w:val="default"/>
    <w:sig w:usb0="A00002BF" w:usb1="184F6CFA" w:usb2="00000012" w:usb3="00000000" w:csb0="00040001" w:csb1="00000000"/>
    <w:embedRegular r:id="rId2" w:fontKey="{38683AE2-96AA-4697-9780-79764C9CD5D6}"/>
  </w:font>
  <w:font w:name="方正小标宋简体">
    <w:panose1 w:val="02000000000000000000"/>
    <w:charset w:val="86"/>
    <w:family w:val="auto"/>
    <w:pitch w:val="default"/>
    <w:sig w:usb0="00000001" w:usb1="08000000" w:usb2="00000000" w:usb3="00000000" w:csb0="00040000" w:csb1="00000000"/>
    <w:embedRegular r:id="rId3" w:fontKey="{2A0A76B1-3E2D-40ED-9AC2-6EB747DE079A}"/>
  </w:font>
  <w:font w:name="仿宋_GB2312">
    <w:panose1 w:val="02010609030101010101"/>
    <w:charset w:val="86"/>
    <w:family w:val="auto"/>
    <w:pitch w:val="default"/>
    <w:sig w:usb0="00000001" w:usb1="080E0000" w:usb2="00000000" w:usb3="00000000" w:csb0="00040000" w:csb1="00000000"/>
    <w:embedRegular r:id="rId4" w:fontKey="{7B4830A9-91D5-47BC-AEAD-ABB9875C7944}"/>
  </w:font>
  <w:font w:name="方正楷体_GB2312">
    <w:panose1 w:val="02000000000000000000"/>
    <w:charset w:val="86"/>
    <w:family w:val="auto"/>
    <w:pitch w:val="default"/>
    <w:sig w:usb0="A00002BF" w:usb1="184F6CFA" w:usb2="00000012" w:usb3="00000000" w:csb0="00040001" w:csb1="00000000"/>
    <w:embedRegular r:id="rId5" w:fontKey="{BA817DD1-D60E-4A74-BCB9-6826AD456B55}"/>
  </w:font>
  <w:font w:name="仿宋">
    <w:panose1 w:val="02010609060101010101"/>
    <w:charset w:val="86"/>
    <w:family w:val="auto"/>
    <w:pitch w:val="default"/>
    <w:sig w:usb0="800002BF" w:usb1="38CF7CFA" w:usb2="00000016" w:usb3="00000000" w:csb0="00040001" w:csb1="00000000"/>
    <w:embedRegular r:id="rId6" w:fontKey="{37735FAE-516D-42A3-B72E-BB0DF269F283}"/>
  </w:font>
  <w:font w:name="楷体">
    <w:panose1 w:val="02010609060101010101"/>
    <w:charset w:val="86"/>
    <w:family w:val="auto"/>
    <w:pitch w:val="default"/>
    <w:sig w:usb0="800002BF" w:usb1="38CF7CFA" w:usb2="00000016" w:usb3="00000000" w:csb0="00040001" w:csb1="00000000"/>
    <w:embedRegular r:id="rId7" w:fontKey="{633F24A7-6591-4DAC-A50A-725617533C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TljZjMxZWIyZjliNWVjYmJjMGM5OTMzOTAxY2UifQ=="/>
  </w:docVars>
  <w:rsids>
    <w:rsidRoot w:val="7E1948E1"/>
    <w:rsid w:val="00ED07F7"/>
    <w:rsid w:val="010114F3"/>
    <w:rsid w:val="02602BA9"/>
    <w:rsid w:val="04D236A8"/>
    <w:rsid w:val="05096B07"/>
    <w:rsid w:val="0B621946"/>
    <w:rsid w:val="0B697FC5"/>
    <w:rsid w:val="0D4A0FF9"/>
    <w:rsid w:val="101B5744"/>
    <w:rsid w:val="120E6890"/>
    <w:rsid w:val="13EF5673"/>
    <w:rsid w:val="14470A13"/>
    <w:rsid w:val="1DB4365C"/>
    <w:rsid w:val="21233141"/>
    <w:rsid w:val="214B2451"/>
    <w:rsid w:val="217C6B87"/>
    <w:rsid w:val="25C117FB"/>
    <w:rsid w:val="28C52E71"/>
    <w:rsid w:val="2D07133A"/>
    <w:rsid w:val="2E18015B"/>
    <w:rsid w:val="2E725599"/>
    <w:rsid w:val="2FDF014D"/>
    <w:rsid w:val="33E660E2"/>
    <w:rsid w:val="349124F1"/>
    <w:rsid w:val="35466694"/>
    <w:rsid w:val="38BE3683"/>
    <w:rsid w:val="3BC62A80"/>
    <w:rsid w:val="3CEC29BB"/>
    <w:rsid w:val="3CF1467B"/>
    <w:rsid w:val="3F7C4554"/>
    <w:rsid w:val="3FA904E0"/>
    <w:rsid w:val="40530B55"/>
    <w:rsid w:val="45DC75DD"/>
    <w:rsid w:val="460D5750"/>
    <w:rsid w:val="495956B2"/>
    <w:rsid w:val="4AA82E5E"/>
    <w:rsid w:val="4CEA6FE4"/>
    <w:rsid w:val="4F92542B"/>
    <w:rsid w:val="515F7956"/>
    <w:rsid w:val="549379FE"/>
    <w:rsid w:val="576E0F68"/>
    <w:rsid w:val="57DE6F4C"/>
    <w:rsid w:val="626709DA"/>
    <w:rsid w:val="62DC7C81"/>
    <w:rsid w:val="64344B1C"/>
    <w:rsid w:val="67AC20C6"/>
    <w:rsid w:val="68A827BD"/>
    <w:rsid w:val="69D73DFB"/>
    <w:rsid w:val="6C044E3C"/>
    <w:rsid w:val="6C591CDA"/>
    <w:rsid w:val="70774896"/>
    <w:rsid w:val="71E31F48"/>
    <w:rsid w:val="720938FB"/>
    <w:rsid w:val="72D06CB3"/>
    <w:rsid w:val="788B490F"/>
    <w:rsid w:val="79622648"/>
    <w:rsid w:val="7AA250E0"/>
    <w:rsid w:val="7B7E53AB"/>
    <w:rsid w:val="7BBF73E6"/>
    <w:rsid w:val="7C7260A4"/>
    <w:rsid w:val="7E1948E1"/>
    <w:rsid w:val="7ED5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 w:type="paragraph" w:customStyle="1" w:styleId="6">
    <w:name w:val="Table Paragraph"/>
    <w:basedOn w:val="1"/>
    <w:autoRedefine/>
    <w:qFormat/>
    <w:uiPriority w:val="0"/>
    <w:rPr>
      <w:rFonts w:ascii="宋体" w:hAnsi="宋体" w:eastAsia="宋体" w:cs="宋体"/>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2528</Words>
  <Characters>2647</Characters>
  <Lines>0</Lines>
  <Paragraphs>0</Paragraphs>
  <TotalTime>35</TotalTime>
  <ScaleCrop>false</ScaleCrop>
  <LinksUpToDate>false</LinksUpToDate>
  <CharactersWithSpaces>2647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2021-01-28T03:12:00Z</dcterms:created>
  <dc:creator>若水</dc:creator>
  <cp:lastModifiedBy>昕然怡洁</cp:lastModifiedBy>
  <cp:lastPrinted>2022-01-13T07:15:00Z</cp:lastPrinted>
  <dcterms:modified xsi:type="dcterms:W3CDTF">2025-01-03T08:08:59Z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47E7F40CFF3C4DBF9148BE87EE7A0508_13</vt:lpwstr>
  </property>
  <property fmtid="{D5CDD505-2E9C-101B-9397-08002B2CF9AE}" pid="4" name="KSOTemplateDocerSaveRecord">
    <vt:lpwstr>eyJoZGlkIjoiMGEwN2JmN2Y5ZDcxZDBjYWYyYTFkYjhlN2QxZjI2NGEiLCJ1c2VySWQiOiIzNzk4NjI1OTUifQ==</vt:lpwstr>
  </property>
</Properties>
</file>