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D33F4">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outlineLvl w:val="9"/>
        <w:rPr>
          <w:rFonts w:hint="eastAsia" w:ascii="Times New Roman" w:hAnsi="Times New Roman" w:eastAsia="方正小标宋简体" w:cs="方正小标宋简体"/>
          <w:spacing w:val="11"/>
          <w:kern w:val="0"/>
          <w:sz w:val="44"/>
          <w:szCs w:val="44"/>
        </w:rPr>
      </w:pPr>
    </w:p>
    <w:p w14:paraId="0FA5E44B">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outlineLvl w:val="9"/>
        <w:rPr>
          <w:rFonts w:hint="eastAsia" w:ascii="Times New Roman" w:hAnsi="Times New Roman" w:eastAsia="方正小标宋简体" w:cs="方正小标宋简体"/>
          <w:spacing w:val="11"/>
          <w:kern w:val="0"/>
          <w:sz w:val="44"/>
          <w:szCs w:val="44"/>
        </w:rPr>
      </w:pPr>
    </w:p>
    <w:p w14:paraId="1FB150D0">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outlineLvl w:val="9"/>
        <w:rPr>
          <w:rFonts w:hint="eastAsia" w:ascii="Times New Roman" w:hAnsi="Times New Roman" w:eastAsia="方正小标宋简体" w:cs="方正小标宋简体"/>
          <w:spacing w:val="11"/>
          <w:kern w:val="0"/>
          <w:sz w:val="44"/>
          <w:szCs w:val="44"/>
        </w:rPr>
      </w:pPr>
    </w:p>
    <w:p w14:paraId="1FC2269B">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outlineLvl w:val="9"/>
        <w:rPr>
          <w:rFonts w:hint="eastAsia" w:ascii="Times New Roman" w:hAnsi="Times New Roman" w:eastAsia="方正小标宋简体" w:cs="方正小标宋简体"/>
          <w:spacing w:val="11"/>
          <w:kern w:val="0"/>
          <w:sz w:val="44"/>
          <w:szCs w:val="44"/>
        </w:rPr>
      </w:pPr>
    </w:p>
    <w:p w14:paraId="48A64A79">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outlineLvl w:val="9"/>
        <w:rPr>
          <w:rFonts w:hint="eastAsia" w:ascii="Times New Roman" w:hAnsi="Times New Roman" w:eastAsia="方正小标宋简体" w:cs="方正小标宋简体"/>
          <w:spacing w:val="11"/>
          <w:kern w:val="0"/>
          <w:sz w:val="44"/>
          <w:szCs w:val="44"/>
        </w:rPr>
      </w:pPr>
    </w:p>
    <w:p w14:paraId="0F98EF7E">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outlineLvl w:val="9"/>
        <w:rPr>
          <w:rFonts w:hint="eastAsia" w:ascii="Times New Roman" w:hAnsi="Times New Roman" w:eastAsia="方正小标宋简体" w:cs="方正小标宋简体"/>
          <w:spacing w:val="11"/>
          <w:kern w:val="0"/>
          <w:sz w:val="44"/>
          <w:szCs w:val="44"/>
        </w:rPr>
      </w:pPr>
    </w:p>
    <w:p w14:paraId="0E146ECC">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outlineLvl w:val="9"/>
        <w:rPr>
          <w:rFonts w:hint="eastAsia" w:ascii="Times New Roman" w:hAnsi="Times New Roman" w:eastAsia="方正小标宋简体" w:cs="方正小标宋简体"/>
          <w:spacing w:val="11"/>
          <w:kern w:val="0"/>
          <w:sz w:val="44"/>
          <w:szCs w:val="44"/>
        </w:rPr>
      </w:pPr>
    </w:p>
    <w:p w14:paraId="6FE488C1">
      <w:pPr>
        <w:keepNext w:val="0"/>
        <w:keepLines w:val="0"/>
        <w:pageBreakBefore w:val="0"/>
        <w:widowControl w:val="0"/>
        <w:kinsoku/>
        <w:wordWrap/>
        <w:overflowPunct w:val="0"/>
        <w:topLinePunct w:val="0"/>
        <w:autoSpaceDE/>
        <w:autoSpaceDN/>
        <w:bidi w:val="0"/>
        <w:adjustRightInd w:val="0"/>
        <w:snapToGrid w:val="0"/>
        <w:spacing w:line="560" w:lineRule="exact"/>
        <w:ind w:firstLine="342" w:firstLineChars="100"/>
        <w:jc w:val="both"/>
        <w:textAlignment w:val="auto"/>
        <w:outlineLvl w:val="9"/>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t>起委〔</w:t>
      </w:r>
      <w:r>
        <w:rPr>
          <w:rFonts w:hint="default" w:ascii="Times New Roman" w:hAnsi="Times New Roman" w:eastAsia="仿宋_GB2312" w:cs="Times New Roman"/>
          <w:spacing w:val="11"/>
          <w:kern w:val="0"/>
          <w:sz w:val="32"/>
          <w:szCs w:val="32"/>
          <w:lang w:val="en-US" w:eastAsia="zh-CN"/>
        </w:rPr>
        <w:t>202</w:t>
      </w:r>
      <w:r>
        <w:rPr>
          <w:rFonts w:hint="eastAsia" w:ascii="Times New Roman" w:hAnsi="Times New Roman" w:eastAsia="仿宋_GB2312" w:cs="Times New Roman"/>
          <w:spacing w:val="11"/>
          <w:kern w:val="0"/>
          <w:sz w:val="32"/>
          <w:szCs w:val="32"/>
          <w:lang w:val="en-US" w:eastAsia="zh-CN"/>
        </w:rPr>
        <w:t>5</w:t>
      </w:r>
      <w:bookmarkStart w:id="0" w:name="_GoBack"/>
      <w:bookmarkEnd w:id="0"/>
      <w:r>
        <w:rPr>
          <w:rFonts w:hint="eastAsia" w:ascii="仿宋_GB2312" w:hAnsi="仿宋_GB2312" w:eastAsia="仿宋_GB2312" w:cs="仿宋_GB2312"/>
          <w:spacing w:val="11"/>
          <w:kern w:val="0"/>
          <w:sz w:val="32"/>
          <w:szCs w:val="32"/>
          <w:lang w:val="en-US" w:eastAsia="zh-CN"/>
        </w:rPr>
        <w:t>〕</w:t>
      </w:r>
      <w:r>
        <w:rPr>
          <w:rFonts w:hint="eastAsia" w:ascii="Times New Roman" w:hAnsi="Times New Roman" w:eastAsia="仿宋_GB2312" w:cs="Times New Roman"/>
          <w:spacing w:val="11"/>
          <w:kern w:val="0"/>
          <w:sz w:val="32"/>
          <w:szCs w:val="32"/>
          <w:lang w:val="en-US" w:eastAsia="zh-CN"/>
        </w:rPr>
        <w:t>2</w:t>
      </w:r>
      <w:r>
        <w:rPr>
          <w:rFonts w:hint="eastAsia" w:ascii="仿宋_GB2312" w:hAnsi="仿宋_GB2312" w:eastAsia="仿宋_GB2312" w:cs="仿宋_GB2312"/>
          <w:spacing w:val="11"/>
          <w:kern w:val="0"/>
          <w:sz w:val="32"/>
          <w:szCs w:val="32"/>
          <w:lang w:val="en-US" w:eastAsia="zh-CN"/>
        </w:rPr>
        <w:t>号                  签发人：</w:t>
      </w:r>
      <w:r>
        <w:rPr>
          <w:rFonts w:hint="eastAsia" w:ascii="楷体_GB2312" w:hAnsi="楷体_GB2312" w:eastAsia="楷体_GB2312" w:cs="楷体_GB2312"/>
          <w:spacing w:val="11"/>
          <w:kern w:val="0"/>
          <w:sz w:val="32"/>
          <w:szCs w:val="32"/>
          <w:lang w:val="en-US" w:eastAsia="zh-CN"/>
        </w:rPr>
        <w:t>于应心</w:t>
      </w:r>
    </w:p>
    <w:p w14:paraId="7AAEDC75">
      <w:pPr>
        <w:keepNext w:val="0"/>
        <w:keepLines w:val="0"/>
        <w:pageBreakBefore w:val="0"/>
        <w:widowControl w:val="0"/>
        <w:kinsoku/>
        <w:wordWrap/>
        <w:overflowPunct w:val="0"/>
        <w:topLinePunct w:val="0"/>
        <w:autoSpaceDE/>
        <w:autoSpaceDN/>
        <w:bidi w:val="0"/>
        <w:adjustRightInd w:val="0"/>
        <w:snapToGrid w:val="0"/>
        <w:spacing w:line="560" w:lineRule="exact"/>
        <w:jc w:val="both"/>
        <w:textAlignment w:val="auto"/>
        <w:outlineLvl w:val="9"/>
        <w:rPr>
          <w:rFonts w:hint="eastAsia" w:ascii="Times New Roman" w:hAnsi="Times New Roman" w:eastAsia="方正小标宋简体" w:cs="方正小标宋简体"/>
          <w:spacing w:val="11"/>
          <w:kern w:val="0"/>
          <w:sz w:val="44"/>
          <w:szCs w:val="44"/>
        </w:rPr>
      </w:pPr>
    </w:p>
    <w:p w14:paraId="78A05D1C">
      <w:pPr>
        <w:keepNext w:val="0"/>
        <w:keepLines w:val="0"/>
        <w:pageBreakBefore w:val="0"/>
        <w:widowControl w:val="0"/>
        <w:kinsoku/>
        <w:wordWrap/>
        <w:overflowPunct w:val="0"/>
        <w:topLinePunct w:val="0"/>
        <w:autoSpaceDE/>
        <w:autoSpaceDN/>
        <w:bidi w:val="0"/>
        <w:adjustRightInd w:val="0"/>
        <w:snapToGrid w:val="0"/>
        <w:spacing w:line="560" w:lineRule="exact"/>
        <w:jc w:val="both"/>
        <w:textAlignment w:val="auto"/>
        <w:outlineLvl w:val="9"/>
        <w:rPr>
          <w:rFonts w:hint="eastAsia" w:ascii="Times New Roman" w:hAnsi="Times New Roman" w:eastAsia="方正小标宋简体" w:cs="方正小标宋简体"/>
          <w:spacing w:val="11"/>
          <w:kern w:val="0"/>
          <w:sz w:val="44"/>
          <w:szCs w:val="44"/>
        </w:rPr>
      </w:pPr>
    </w:p>
    <w:p w14:paraId="767AFD36">
      <w:pPr>
        <w:keepNext w:val="0"/>
        <w:keepLines w:val="0"/>
        <w:pageBreakBefore w:val="0"/>
        <w:widowControl w:val="0"/>
        <w:kinsoku/>
        <w:wordWrap/>
        <w:overflowPunct w:val="0"/>
        <w:topLinePunct w:val="0"/>
        <w:autoSpaceDE/>
        <w:autoSpaceDN/>
        <w:bidi w:val="0"/>
        <w:adjustRightInd/>
        <w:spacing w:line="560" w:lineRule="exact"/>
        <w:ind w:left="0" w:leftChars="0"/>
        <w:jc w:val="center"/>
        <w:textAlignment w:val="auto"/>
        <w:rPr>
          <w:rFonts w:hint="eastAsia" w:ascii="Times New Roman" w:hAnsi="Times New Roman" w:eastAsia="方正小标宋简体" w:cs="Times New Roman"/>
          <w:spacing w:val="0"/>
          <w:kern w:val="0"/>
          <w:sz w:val="44"/>
          <w:szCs w:val="44"/>
          <w:lang w:eastAsia="zh-CN"/>
        </w:rPr>
      </w:pPr>
      <w:r>
        <w:rPr>
          <w:rFonts w:hint="eastAsia" w:ascii="Times New Roman" w:hAnsi="Times New Roman" w:eastAsia="方正小标宋简体" w:cs="Times New Roman"/>
          <w:spacing w:val="0"/>
          <w:kern w:val="0"/>
          <w:sz w:val="44"/>
          <w:szCs w:val="44"/>
          <w:lang w:eastAsia="zh-CN"/>
        </w:rPr>
        <w:t>中共起凤镇委</w:t>
      </w:r>
    </w:p>
    <w:p w14:paraId="4005EE49">
      <w:pPr>
        <w:keepNext w:val="0"/>
        <w:keepLines w:val="0"/>
        <w:pageBreakBefore w:val="0"/>
        <w:widowControl w:val="0"/>
        <w:kinsoku/>
        <w:wordWrap/>
        <w:overflowPunct w:val="0"/>
        <w:topLinePunct w:val="0"/>
        <w:autoSpaceDE/>
        <w:autoSpaceDN/>
        <w:bidi w:val="0"/>
        <w:adjustRightInd/>
        <w:spacing w:line="560" w:lineRule="exact"/>
        <w:ind w:left="0" w:leftChars="0"/>
        <w:jc w:val="center"/>
        <w:textAlignment w:val="auto"/>
        <w:rPr>
          <w:rFonts w:hint="default" w:ascii="Times New Roman" w:hAnsi="Times New Roman" w:eastAsia="方正小标宋简体" w:cs="Times New Roman"/>
          <w:spacing w:val="0"/>
          <w:kern w:val="0"/>
          <w:sz w:val="44"/>
          <w:szCs w:val="44"/>
        </w:rPr>
      </w:pPr>
      <w:r>
        <w:rPr>
          <w:rFonts w:hint="default" w:ascii="Times New Roman" w:hAnsi="Times New Roman" w:eastAsia="方正小标宋简体" w:cs="Times New Roman"/>
          <w:spacing w:val="0"/>
          <w:kern w:val="0"/>
          <w:sz w:val="44"/>
          <w:szCs w:val="44"/>
          <w:lang w:eastAsia="zh-CN"/>
        </w:rPr>
        <w:t>关于</w:t>
      </w:r>
      <w:r>
        <w:rPr>
          <w:rFonts w:hint="default" w:ascii="Times New Roman" w:hAnsi="Times New Roman" w:eastAsia="方正小标宋简体" w:cs="Times New Roman"/>
          <w:spacing w:val="0"/>
          <w:kern w:val="0"/>
          <w:sz w:val="44"/>
          <w:szCs w:val="44"/>
        </w:rPr>
        <w:t>20</w:t>
      </w:r>
      <w:r>
        <w:rPr>
          <w:rFonts w:hint="default" w:ascii="Times New Roman" w:hAnsi="Times New Roman" w:eastAsia="方正小标宋简体" w:cs="Times New Roman"/>
          <w:spacing w:val="0"/>
          <w:kern w:val="0"/>
          <w:sz w:val="44"/>
          <w:szCs w:val="44"/>
          <w:lang w:val="en-US" w:eastAsia="zh-CN"/>
        </w:rPr>
        <w:t>2</w:t>
      </w:r>
      <w:r>
        <w:rPr>
          <w:rFonts w:hint="eastAsia" w:ascii="Times New Roman" w:hAnsi="Times New Roman" w:eastAsia="方正小标宋简体" w:cs="Times New Roman"/>
          <w:spacing w:val="0"/>
          <w:kern w:val="0"/>
          <w:sz w:val="44"/>
          <w:szCs w:val="44"/>
          <w:lang w:val="en-US" w:eastAsia="zh-CN"/>
        </w:rPr>
        <w:t>4</w:t>
      </w:r>
      <w:r>
        <w:rPr>
          <w:rFonts w:hint="default" w:ascii="Times New Roman" w:hAnsi="Times New Roman" w:eastAsia="方正小标宋简体" w:cs="Times New Roman"/>
          <w:spacing w:val="0"/>
          <w:kern w:val="0"/>
          <w:sz w:val="44"/>
          <w:szCs w:val="44"/>
        </w:rPr>
        <w:t>年度法治政府建设</w:t>
      </w:r>
      <w:r>
        <w:rPr>
          <w:rFonts w:hint="default" w:ascii="Times New Roman" w:hAnsi="Times New Roman" w:eastAsia="方正小标宋简体" w:cs="Times New Roman"/>
          <w:spacing w:val="0"/>
          <w:kern w:val="0"/>
          <w:sz w:val="44"/>
          <w:szCs w:val="44"/>
          <w:lang w:eastAsia="zh-CN"/>
        </w:rPr>
        <w:t>工作的</w:t>
      </w:r>
      <w:r>
        <w:rPr>
          <w:rFonts w:hint="default" w:ascii="Times New Roman" w:hAnsi="Times New Roman" w:eastAsia="方正小标宋简体" w:cs="Times New Roman"/>
          <w:spacing w:val="0"/>
          <w:kern w:val="0"/>
          <w:sz w:val="44"/>
          <w:szCs w:val="44"/>
        </w:rPr>
        <w:t>报告</w:t>
      </w:r>
    </w:p>
    <w:p w14:paraId="28BE7CFA">
      <w:pPr>
        <w:keepNext w:val="0"/>
        <w:keepLines w:val="0"/>
        <w:pageBreakBefore w:val="0"/>
        <w:widowControl w:val="0"/>
        <w:kinsoku/>
        <w:wordWrap/>
        <w:overflowPunct w:val="0"/>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spacing w:val="0"/>
          <w:sz w:val="32"/>
          <w:szCs w:val="32"/>
        </w:rPr>
      </w:pPr>
    </w:p>
    <w:p w14:paraId="7A844F15">
      <w:pPr>
        <w:keepNext w:val="0"/>
        <w:keepLines w:val="0"/>
        <w:pageBreakBefore w:val="0"/>
        <w:widowControl w:val="0"/>
        <w:kinsoku/>
        <w:wordWrap/>
        <w:overflowPunct w:val="0"/>
        <w:topLinePunct w:val="0"/>
        <w:autoSpaceDE/>
        <w:autoSpaceDN/>
        <w:bidi w:val="0"/>
        <w:adjustRightInd/>
        <w:spacing w:line="560" w:lineRule="exact"/>
        <w:ind w:left="0" w:leftChars="0"/>
        <w:jc w:val="left"/>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县</w:t>
      </w:r>
      <w:r>
        <w:rPr>
          <w:rFonts w:hint="default" w:ascii="Times New Roman" w:hAnsi="Times New Roman" w:eastAsia="仿宋_GB2312" w:cs="Times New Roman"/>
          <w:spacing w:val="0"/>
          <w:sz w:val="32"/>
          <w:szCs w:val="32"/>
          <w:lang w:eastAsia="zh-CN"/>
        </w:rPr>
        <w:t>委、</w:t>
      </w:r>
      <w:r>
        <w:rPr>
          <w:rFonts w:hint="default" w:ascii="Times New Roman" w:hAnsi="Times New Roman" w:eastAsia="仿宋_GB2312" w:cs="Times New Roman"/>
          <w:spacing w:val="0"/>
          <w:sz w:val="32"/>
          <w:szCs w:val="32"/>
          <w:lang w:val="en-US" w:eastAsia="zh-CN"/>
        </w:rPr>
        <w:t>县</w:t>
      </w:r>
      <w:r>
        <w:rPr>
          <w:rFonts w:hint="default" w:ascii="Times New Roman" w:hAnsi="Times New Roman" w:eastAsia="仿宋_GB2312" w:cs="Times New Roman"/>
          <w:spacing w:val="0"/>
          <w:sz w:val="32"/>
          <w:szCs w:val="32"/>
          <w:lang w:eastAsia="zh-CN"/>
        </w:rPr>
        <w:t>政府</w:t>
      </w:r>
      <w:r>
        <w:rPr>
          <w:rFonts w:hint="default" w:ascii="Times New Roman" w:hAnsi="Times New Roman" w:eastAsia="仿宋_GB2312" w:cs="Times New Roman"/>
          <w:spacing w:val="0"/>
          <w:sz w:val="32"/>
          <w:szCs w:val="32"/>
        </w:rPr>
        <w:t>：</w:t>
      </w:r>
    </w:p>
    <w:p w14:paraId="1FBC0C8B">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仿宋_GB2312" w:cs="Times New Roman"/>
          <w:spacing w:val="0"/>
          <w:kern w:val="2"/>
          <w:sz w:val="32"/>
          <w:szCs w:val="32"/>
          <w:lang w:val="en-US" w:eastAsia="zh-CN" w:bidi="ar-SA"/>
        </w:rPr>
        <w:t>现将202</w:t>
      </w:r>
      <w:r>
        <w:rPr>
          <w:rFonts w:hint="eastAsia" w:ascii="Times New Roman" w:hAnsi="Times New Roman" w:eastAsia="仿宋_GB2312" w:cs="Times New Roman"/>
          <w:spacing w:val="0"/>
          <w:kern w:val="2"/>
          <w:sz w:val="32"/>
          <w:szCs w:val="32"/>
          <w:lang w:val="en-US" w:eastAsia="zh-CN" w:bidi="ar-SA"/>
        </w:rPr>
        <w:t>4</w:t>
      </w:r>
      <w:r>
        <w:rPr>
          <w:rFonts w:hint="default" w:ascii="Times New Roman" w:hAnsi="Times New Roman" w:eastAsia="仿宋_GB2312" w:cs="Times New Roman"/>
          <w:spacing w:val="0"/>
          <w:kern w:val="2"/>
          <w:sz w:val="32"/>
          <w:szCs w:val="32"/>
          <w:lang w:val="en-US" w:eastAsia="zh-CN" w:bidi="ar-SA"/>
        </w:rPr>
        <w:t>年度法治政府建设情况报告如下：</w:t>
      </w:r>
    </w:p>
    <w:p w14:paraId="0C74CD69">
      <w:pPr>
        <w:keepNext w:val="0"/>
        <w:keepLines w:val="0"/>
        <w:pageBreakBefore w:val="0"/>
        <w:numPr>
          <w:ilvl w:val="0"/>
          <w:numId w:val="1"/>
        </w:numPr>
        <w:kinsoku/>
        <w:wordWrap/>
        <w:topLinePunct w:val="0"/>
        <w:autoSpaceDE/>
        <w:autoSpaceDN/>
        <w:bidi w:val="0"/>
        <w:spacing w:line="560" w:lineRule="exact"/>
        <w:ind w:firstLine="640" w:firstLineChars="200"/>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lang w:eastAsia="zh-CN"/>
        </w:rPr>
        <w:t>推进</w:t>
      </w:r>
      <w:r>
        <w:rPr>
          <w:rFonts w:hint="default" w:ascii="Times New Roman" w:hAnsi="Times New Roman" w:eastAsia="黑体" w:cs="Times New Roman"/>
          <w:spacing w:val="0"/>
          <w:sz w:val="32"/>
          <w:szCs w:val="32"/>
        </w:rPr>
        <w:t>法治政府建设的主要举措和成效</w:t>
      </w:r>
    </w:p>
    <w:p w14:paraId="4D8AED21">
      <w:pPr>
        <w:pStyle w:val="9"/>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60" w:lineRule="exact"/>
        <w:ind w:left="0" w:leftChars="0" w:firstLine="640" w:firstLineChars="200"/>
        <w:jc w:val="both"/>
        <w:textAlignment w:val="auto"/>
        <w:rPr>
          <w:rFonts w:hint="default" w:ascii="Times New Roman" w:hAnsi="Times New Roman" w:eastAsia="楷体_GB2312" w:cs="Times New Roman"/>
          <w:b w:val="0"/>
          <w:bCs w:val="0"/>
          <w:spacing w:val="0"/>
          <w:kern w:val="2"/>
          <w:sz w:val="32"/>
          <w:szCs w:val="36"/>
          <w:shd w:val="clear" w:color="auto" w:fill="auto"/>
          <w:lang w:val="en-US" w:eastAsia="zh-CN" w:bidi="ar-SA"/>
        </w:rPr>
      </w:pPr>
      <w:r>
        <w:rPr>
          <w:rFonts w:hint="default" w:ascii="Times New Roman" w:hAnsi="Times New Roman" w:eastAsia="楷体_GB2312" w:cs="Times New Roman"/>
          <w:b w:val="0"/>
          <w:bCs w:val="0"/>
          <w:spacing w:val="0"/>
          <w:kern w:val="2"/>
          <w:sz w:val="32"/>
          <w:szCs w:val="36"/>
          <w:shd w:val="clear" w:color="auto" w:fill="auto"/>
          <w:lang w:val="en-US" w:eastAsia="zh-CN" w:bidi="ar-SA"/>
        </w:rPr>
        <w:t>（一）强化组织领导</w:t>
      </w:r>
      <w:r>
        <w:rPr>
          <w:rFonts w:hint="eastAsia" w:ascii="Times New Roman" w:hAnsi="Times New Roman" w:eastAsia="楷体_GB2312" w:cs="Times New Roman"/>
          <w:b w:val="0"/>
          <w:bCs w:val="0"/>
          <w:spacing w:val="0"/>
          <w:kern w:val="2"/>
          <w:sz w:val="32"/>
          <w:szCs w:val="36"/>
          <w:shd w:val="clear" w:color="auto" w:fill="auto"/>
          <w:lang w:val="en-US" w:eastAsia="zh-CN" w:bidi="ar-SA"/>
        </w:rPr>
        <w:t>，夯实法治建设基础</w:t>
      </w:r>
    </w:p>
    <w:p w14:paraId="5DF81AF6">
      <w:pPr>
        <w:pStyle w:val="9"/>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60" w:lineRule="exact"/>
        <w:ind w:firstLine="640" w:firstLineChars="200"/>
        <w:jc w:val="both"/>
        <w:textAlignment w:val="auto"/>
        <w:rPr>
          <w:rFonts w:hint="default"/>
          <w:spacing w:val="0"/>
          <w:shd w:val="clear" w:color="auto" w:fill="auto"/>
        </w:rPr>
      </w:pPr>
      <w:r>
        <w:rPr>
          <w:rFonts w:hint="eastAsia" w:ascii="Times New Roman" w:hAnsi="Times New Roman" w:eastAsia="仿宋_GB2312" w:cs="Times New Roman"/>
          <w:b w:val="0"/>
          <w:bCs w:val="0"/>
          <w:spacing w:val="0"/>
          <w:sz w:val="32"/>
          <w:szCs w:val="32"/>
          <w:shd w:val="clear" w:color="auto" w:fill="auto"/>
          <w:lang w:val="en-US" w:eastAsia="zh-CN"/>
        </w:rPr>
        <w:t>坚持高标准和严格要求，将法治理念贯穿工作始终，同步规划法治建设与经济社会发展，及时解决重大问题。实时调整“一站式”矛盾纠纷多元化解工作联席会议和调解委员会成员，强化责任和策略。建立主要领导牵头抓总、分管领导落实执行、委办部门联动协作的工作体系，确保任务有效实施。在重大事项的决策、执行方面，完善依法决策机制，严格执行民主集中制和“三重一大”事项集体决策制度，落实“一把手”末位表态制度，经过充分调研、论证，广泛征求意见，由领导班子集体研究决定。</w:t>
      </w:r>
    </w:p>
    <w:p w14:paraId="636ADF4A">
      <w:pPr>
        <w:pStyle w:val="9"/>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60" w:lineRule="exact"/>
        <w:ind w:left="0" w:leftChars="0" w:firstLine="640" w:firstLineChars="200"/>
        <w:jc w:val="both"/>
        <w:textAlignment w:val="auto"/>
        <w:rPr>
          <w:rFonts w:hint="default" w:ascii="Times New Roman" w:hAnsi="Times New Roman" w:eastAsia="楷体_GB2312" w:cs="Times New Roman"/>
          <w:b w:val="0"/>
          <w:bCs w:val="0"/>
          <w:spacing w:val="0"/>
          <w:kern w:val="2"/>
          <w:sz w:val="32"/>
          <w:szCs w:val="36"/>
          <w:shd w:val="clear" w:color="auto" w:fill="auto"/>
          <w:lang w:val="en-US" w:eastAsia="zh-CN" w:bidi="ar-SA"/>
        </w:rPr>
      </w:pPr>
      <w:r>
        <w:rPr>
          <w:rFonts w:hint="eastAsia" w:ascii="楷体_GB2312" w:hAnsi="楷体_GB2312" w:eastAsia="楷体_GB2312" w:cs="楷体_GB2312"/>
          <w:b w:val="0"/>
          <w:bCs w:val="0"/>
          <w:spacing w:val="0"/>
          <w:sz w:val="32"/>
          <w:szCs w:val="32"/>
          <w:shd w:val="clear" w:color="auto" w:fill="auto"/>
          <w:lang w:val="en-US" w:eastAsia="zh-CN"/>
        </w:rPr>
        <w:t>（二）</w:t>
      </w:r>
      <w:r>
        <w:rPr>
          <w:rFonts w:hint="default" w:ascii="Times New Roman" w:hAnsi="Times New Roman" w:eastAsia="楷体_GB2312" w:cs="Times New Roman"/>
          <w:b w:val="0"/>
          <w:bCs w:val="0"/>
          <w:spacing w:val="0"/>
          <w:kern w:val="2"/>
          <w:sz w:val="32"/>
          <w:szCs w:val="36"/>
          <w:shd w:val="clear" w:color="auto" w:fill="auto"/>
          <w:lang w:val="en-US" w:eastAsia="zh-CN" w:bidi="ar-SA"/>
        </w:rPr>
        <w:t>加强法治学习</w:t>
      </w:r>
      <w:r>
        <w:rPr>
          <w:rFonts w:hint="eastAsia" w:ascii="Times New Roman" w:hAnsi="Times New Roman" w:eastAsia="楷体_GB2312" w:cs="Times New Roman"/>
          <w:b w:val="0"/>
          <w:bCs w:val="0"/>
          <w:spacing w:val="0"/>
          <w:kern w:val="2"/>
          <w:sz w:val="32"/>
          <w:szCs w:val="36"/>
          <w:shd w:val="clear" w:color="auto" w:fill="auto"/>
          <w:lang w:val="en-US" w:eastAsia="zh-CN" w:bidi="ar-SA"/>
        </w:rPr>
        <w:t>，打造过硬法治队伍</w:t>
      </w:r>
    </w:p>
    <w:p w14:paraId="6A36B417">
      <w:pPr>
        <w:pStyle w:val="2"/>
        <w:keepNext w:val="0"/>
        <w:keepLines w:val="0"/>
        <w:pageBreakBefore w:val="0"/>
        <w:numPr>
          <w:ilvl w:val="0"/>
          <w:numId w:val="0"/>
        </w:numPr>
        <w:kinsoku/>
        <w:wordWrap/>
        <w:overflowPunct w:val="0"/>
        <w:topLinePunct w:val="0"/>
        <w:autoSpaceDE/>
        <w:autoSpaceDN/>
        <w:bidi w:val="0"/>
        <w:spacing w:line="560" w:lineRule="exact"/>
        <w:ind w:firstLine="640" w:firstLineChars="200"/>
        <w:textAlignment w:val="auto"/>
        <w:rPr>
          <w:rFonts w:hint="default" w:ascii="Times New Roman" w:hAnsi="Times New Roman" w:eastAsia="仿宋" w:cs="Times New Roman"/>
          <w:b w:val="0"/>
          <w:bCs w:val="0"/>
          <w:spacing w:val="0"/>
          <w:sz w:val="32"/>
          <w:szCs w:val="32"/>
          <w:shd w:val="clear" w:color="auto" w:fill="auto"/>
          <w:lang w:val="en-US" w:eastAsia="zh-CN"/>
        </w:rPr>
      </w:pPr>
      <w:r>
        <w:rPr>
          <w:rFonts w:hint="eastAsia" w:ascii="Times New Roman" w:hAnsi="Times New Roman" w:eastAsia="仿宋_GB2312" w:cs="Times New Roman"/>
          <w:b w:val="0"/>
          <w:bCs w:val="0"/>
          <w:spacing w:val="0"/>
          <w:kern w:val="2"/>
          <w:sz w:val="32"/>
          <w:szCs w:val="36"/>
          <w:shd w:val="clear" w:color="auto" w:fill="auto"/>
          <w:lang w:val="en-US" w:eastAsia="zh-CN" w:bidi="ar-SA"/>
        </w:rPr>
        <w:t>深入学习习近平法治思想，确保党委理论学习中心组集体学习不少于两次，使法治成为领导干部的思维和行为准则。带头学习全面依法治国的新理念、新思想、新战略，通过多种形式集中学习党的二十届三中全会精神、《中华人民共和国民法典》等，提高法治学习宣传的实效性，增强党员干部的责任感、使命感和担当精神。定期对机关干部进行法治教育培训，强化依法行政意识和理念，加强法律知识培训，确保机关干部参与学法用法考试，并实现注册率、参考率、通过率均达到100%。通过日常的督查检查，引导形成依法办事的良好习惯。</w:t>
      </w:r>
    </w:p>
    <w:p w14:paraId="1293CCA5">
      <w:pPr>
        <w:pStyle w:val="2"/>
        <w:keepNext w:val="0"/>
        <w:keepLines w:val="0"/>
        <w:pageBreakBefore w:val="0"/>
        <w:numPr>
          <w:ilvl w:val="0"/>
          <w:numId w:val="0"/>
        </w:numPr>
        <w:kinsoku/>
        <w:wordWrap/>
        <w:overflowPunct w:val="0"/>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spacing w:val="0"/>
          <w:kern w:val="2"/>
          <w:sz w:val="32"/>
          <w:szCs w:val="36"/>
          <w:shd w:val="clear" w:color="auto" w:fill="auto"/>
          <w:lang w:val="en-US" w:eastAsia="zh-CN" w:bidi="ar-SA"/>
        </w:rPr>
      </w:pPr>
      <w:r>
        <w:rPr>
          <w:rFonts w:hint="eastAsia" w:ascii="楷体_GB2312" w:hAnsi="楷体_GB2312" w:eastAsia="楷体_GB2312" w:cs="楷体_GB2312"/>
          <w:b w:val="0"/>
          <w:bCs w:val="0"/>
          <w:spacing w:val="0"/>
          <w:kern w:val="2"/>
          <w:sz w:val="32"/>
          <w:szCs w:val="36"/>
          <w:shd w:val="clear" w:color="auto" w:fill="auto"/>
          <w:lang w:val="en-US" w:eastAsia="zh-CN" w:bidi="ar-SA"/>
        </w:rPr>
        <w:t>（三）紧抓普法教育，筑牢法治基石</w:t>
      </w:r>
    </w:p>
    <w:p w14:paraId="5EF42B86">
      <w:pPr>
        <w:pStyle w:val="9"/>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0" w:beforeAutospacing="0" w:afterAutospacing="0" w:line="560" w:lineRule="exact"/>
        <w:ind w:right="0" w:rightChars="0" w:firstLine="640" w:firstLineChars="200"/>
        <w:jc w:val="left"/>
        <w:textAlignment w:val="auto"/>
        <w:rPr>
          <w:rFonts w:hint="default" w:ascii="Times New Roman" w:hAnsi="Times New Roman" w:eastAsia="仿宋_GB2312" w:cs="Times New Roman"/>
          <w:b w:val="0"/>
          <w:bCs w:val="0"/>
          <w:spacing w:val="0"/>
          <w:sz w:val="32"/>
          <w:szCs w:val="32"/>
          <w:shd w:val="clear" w:color="auto" w:fill="auto"/>
          <w:lang w:val="en-US" w:eastAsia="zh-CN"/>
        </w:rPr>
      </w:pPr>
      <w:r>
        <w:rPr>
          <w:rFonts w:hint="eastAsia" w:ascii="Times New Roman" w:hAnsi="Times New Roman" w:eastAsia="仿宋_GB2312" w:cs="Times New Roman"/>
          <w:b w:val="0"/>
          <w:bCs w:val="0"/>
          <w:spacing w:val="0"/>
          <w:sz w:val="32"/>
          <w:szCs w:val="32"/>
          <w:shd w:val="clear" w:color="auto" w:fill="auto"/>
          <w:lang w:val="en-US" w:eastAsia="zh-CN"/>
        </w:rPr>
        <w:t>积极推动法治阵地建设，高标准建成镇“一站式”矛盾纠纷调解中心，为群众学法、懂法、用法提供优质学习宣传平台。将镇机关干部学法用法纳入日常学习计划。鼓励辖区内各单位将普法活动融入到实际工作中去，尤其是涉及群众生产生活的安全生产、社会救助、环境保护、征地拆迁等问题时，做到了普法宣传与矛盾纠纷化解有机结合，依法依规办事，引导群众遇事找法、理性维权，维护基层稳定。</w:t>
      </w:r>
      <w:r>
        <w:rPr>
          <w:rFonts w:hint="default" w:ascii="Times New Roman" w:hAnsi="Times New Roman" w:eastAsia="仿宋_GB2312" w:cs="Times New Roman"/>
          <w:b w:val="0"/>
          <w:bCs w:val="0"/>
          <w:spacing w:val="0"/>
          <w:sz w:val="32"/>
          <w:szCs w:val="32"/>
          <w:shd w:val="clear" w:color="auto" w:fill="auto"/>
          <w:lang w:val="en-US" w:eastAsia="zh-CN"/>
        </w:rPr>
        <w:t>组织开展《反有组织犯罪法》、反诈骗、反邪教、打击家族黑恶势力各类法治宣传活动</w:t>
      </w:r>
      <w:r>
        <w:rPr>
          <w:rFonts w:hint="eastAsia" w:ascii="Times New Roman" w:hAnsi="Times New Roman" w:eastAsia="仿宋_GB2312" w:cs="Times New Roman"/>
          <w:b w:val="0"/>
          <w:bCs w:val="0"/>
          <w:spacing w:val="0"/>
          <w:sz w:val="32"/>
          <w:szCs w:val="32"/>
          <w:shd w:val="clear" w:color="auto" w:fill="auto"/>
          <w:lang w:val="en-US" w:eastAsia="zh-CN"/>
        </w:rPr>
        <w:t>11</w:t>
      </w:r>
      <w:r>
        <w:rPr>
          <w:rFonts w:hint="default" w:ascii="Times New Roman" w:hAnsi="Times New Roman" w:eastAsia="仿宋_GB2312" w:cs="Times New Roman"/>
          <w:b w:val="0"/>
          <w:bCs w:val="0"/>
          <w:spacing w:val="0"/>
          <w:sz w:val="32"/>
          <w:szCs w:val="32"/>
          <w:shd w:val="clear" w:color="auto" w:fill="auto"/>
          <w:lang w:val="en-US" w:eastAsia="zh-CN"/>
        </w:rPr>
        <w:t>场次，印发各类宣传资料</w:t>
      </w:r>
      <w:r>
        <w:rPr>
          <w:rFonts w:hint="eastAsia" w:ascii="Times New Roman" w:hAnsi="Times New Roman" w:eastAsia="仿宋_GB2312" w:cs="Times New Roman"/>
          <w:b w:val="0"/>
          <w:bCs w:val="0"/>
          <w:spacing w:val="0"/>
          <w:sz w:val="32"/>
          <w:szCs w:val="32"/>
          <w:shd w:val="clear" w:color="auto" w:fill="auto"/>
          <w:lang w:val="en-US" w:eastAsia="zh-CN"/>
        </w:rPr>
        <w:t>1500</w:t>
      </w:r>
      <w:r>
        <w:rPr>
          <w:rFonts w:hint="default" w:ascii="Times New Roman" w:hAnsi="Times New Roman" w:eastAsia="仿宋_GB2312" w:cs="Times New Roman"/>
          <w:b w:val="0"/>
          <w:bCs w:val="0"/>
          <w:spacing w:val="0"/>
          <w:sz w:val="32"/>
          <w:szCs w:val="32"/>
          <w:shd w:val="clear" w:color="auto" w:fill="auto"/>
          <w:lang w:val="en-US" w:eastAsia="zh-CN"/>
        </w:rPr>
        <w:t>多份，有效地提高人民群众的法律意识，营造全民学法守法用法浓厚氛围。</w:t>
      </w:r>
    </w:p>
    <w:p w14:paraId="6DA75D3B">
      <w:pPr>
        <w:pStyle w:val="9"/>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Autospacing="0" w:line="560" w:lineRule="exact"/>
        <w:ind w:right="0" w:rightChars="0" w:firstLine="640" w:firstLineChars="200"/>
        <w:jc w:val="left"/>
        <w:textAlignment w:val="auto"/>
        <w:rPr>
          <w:rFonts w:hint="eastAsia" w:ascii="楷体_GB2312" w:hAnsi="楷体_GB2312" w:eastAsia="楷体_GB2312" w:cs="楷体_GB2312"/>
          <w:b w:val="0"/>
          <w:bCs w:val="0"/>
          <w:spacing w:val="0"/>
          <w:sz w:val="32"/>
          <w:szCs w:val="32"/>
          <w:shd w:val="clear" w:color="auto" w:fill="auto"/>
          <w:lang w:val="en-US" w:eastAsia="zh-CN"/>
        </w:rPr>
      </w:pPr>
      <w:r>
        <w:rPr>
          <w:rFonts w:hint="eastAsia" w:ascii="楷体_GB2312" w:hAnsi="楷体_GB2312" w:eastAsia="楷体_GB2312" w:cs="楷体_GB2312"/>
          <w:b w:val="0"/>
          <w:bCs w:val="0"/>
          <w:spacing w:val="0"/>
          <w:sz w:val="32"/>
          <w:szCs w:val="32"/>
          <w:shd w:val="clear" w:color="auto" w:fill="auto"/>
          <w:lang w:val="en-US" w:eastAsia="zh-CN"/>
        </w:rPr>
        <w:t>（四）严把决策关口，全面推进依法行政</w:t>
      </w:r>
    </w:p>
    <w:p w14:paraId="63DA25CF">
      <w:pPr>
        <w:pStyle w:val="5"/>
        <w:keepNext w:val="0"/>
        <w:keepLines w:val="0"/>
        <w:pageBreakBefore w:val="0"/>
        <w:numPr>
          <w:ilvl w:val="0"/>
          <w:numId w:val="0"/>
        </w:numPr>
        <w:kinsoku/>
        <w:wordWrap/>
        <w:overflowPunct w:val="0"/>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shd w:val="clear" w:color="auto" w:fill="auto"/>
          <w:lang w:val="en-US" w:eastAsia="zh-CN"/>
        </w:rPr>
      </w:pPr>
      <w:r>
        <w:rPr>
          <w:rFonts w:hint="default" w:ascii="Times New Roman" w:hAnsi="Times New Roman" w:eastAsia="仿宋_GB2312" w:cs="Times New Roman"/>
          <w:b w:val="0"/>
          <w:bCs w:val="0"/>
          <w:spacing w:val="0"/>
          <w:kern w:val="2"/>
          <w:sz w:val="32"/>
          <w:szCs w:val="36"/>
          <w:shd w:val="clear" w:color="auto" w:fill="auto"/>
          <w:lang w:val="en-US" w:eastAsia="zh-CN" w:bidi="ar-SA"/>
        </w:rPr>
        <w:t>严格履行公众参与征集意见、专家咨询论证、决策风险等级评估、法律顾问合法性审查、党委会集体研究、决策公开执行等既定程序，避免决策失误，提高决策水平。在重大决策中，充分征求意见，完成程序闭环，各项目建设有序推进，确保高质量完成项目建设。</w:t>
      </w:r>
      <w:r>
        <w:rPr>
          <w:rFonts w:hint="eastAsia" w:ascii="仿宋_GB2312" w:hAnsi="仿宋_GB2312" w:eastAsia="仿宋_GB2312" w:cs="仿宋_GB2312"/>
          <w:b w:val="0"/>
          <w:bCs w:val="0"/>
          <w:spacing w:val="0"/>
          <w:sz w:val="32"/>
          <w:szCs w:val="32"/>
          <w:shd w:val="clear" w:color="auto" w:fill="auto"/>
          <w:lang w:val="en-US" w:eastAsia="zh-CN"/>
        </w:rPr>
        <w:t>强化行政监督职责，规范服务窗口运行，做好政务公开工作。严格按照规定和制度开展政府信息公开工作，主动接受上级部门、人大机关、司法机关、社会群众等监督，积极畅通民主监督渠道，依法正确行使机关职权。</w:t>
      </w:r>
      <w:r>
        <w:rPr>
          <w:rFonts w:hint="default" w:ascii="Times New Roman" w:hAnsi="Times New Roman" w:eastAsia="仿宋_GB2312" w:cs="Times New Roman"/>
          <w:b w:val="0"/>
          <w:bCs w:val="0"/>
          <w:spacing w:val="0"/>
          <w:kern w:val="2"/>
          <w:sz w:val="32"/>
          <w:szCs w:val="36"/>
          <w:shd w:val="clear" w:color="auto" w:fill="auto"/>
          <w:lang w:val="en-US" w:eastAsia="zh-CN" w:bidi="ar-SA"/>
        </w:rPr>
        <w:t>充分发挥法律顾问专业职能，为各村在重大事项决策、合同审查等领域提供专业咨询。</w:t>
      </w:r>
    </w:p>
    <w:p w14:paraId="02FB23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pacing w:val="0"/>
          <w:sz w:val="32"/>
          <w:szCs w:val="32"/>
          <w:shd w:val="clear" w:color="auto" w:fill="auto"/>
          <w:lang w:val="en-US" w:eastAsia="zh-CN"/>
        </w:rPr>
      </w:pPr>
      <w:r>
        <w:rPr>
          <w:rFonts w:hint="eastAsia" w:ascii="楷体_GB2312" w:hAnsi="楷体_GB2312" w:eastAsia="楷体_GB2312" w:cs="楷体_GB2312"/>
          <w:spacing w:val="0"/>
          <w:kern w:val="2"/>
          <w:sz w:val="32"/>
          <w:szCs w:val="32"/>
          <w:shd w:val="clear" w:fill="auto"/>
          <w:lang w:val="en-US" w:eastAsia="zh-CN" w:bidi="ar-SA"/>
        </w:rPr>
        <w:t>（五）</w:t>
      </w:r>
      <w:r>
        <w:rPr>
          <w:rFonts w:hint="eastAsia" w:ascii="楷体_GB2312" w:hAnsi="楷体_GB2312" w:eastAsia="楷体_GB2312" w:cs="楷体_GB2312"/>
          <w:spacing w:val="0"/>
          <w:sz w:val="32"/>
          <w:szCs w:val="32"/>
          <w:shd w:val="clear" w:color="auto" w:fill="auto"/>
          <w:lang w:val="en-US" w:eastAsia="zh-CN"/>
        </w:rPr>
        <w:t>强化公正文明执法，提升镇域法治环境</w:t>
      </w:r>
    </w:p>
    <w:p w14:paraId="5BECBEA0">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i w:val="0"/>
          <w:iCs w:val="0"/>
          <w:caps w:val="0"/>
          <w:color w:val="000000"/>
          <w:spacing w:val="0"/>
          <w:sz w:val="32"/>
          <w:szCs w:val="32"/>
          <w:shd w:val="clear" w:color="auto" w:fill="auto"/>
          <w:lang w:val="en-US" w:eastAsia="zh-CN"/>
        </w:rPr>
      </w:pPr>
      <w:r>
        <w:rPr>
          <w:rFonts w:hint="eastAsia" w:ascii="Times New Roman" w:hAnsi="Times New Roman" w:eastAsia="仿宋_GB2312" w:cs="Times New Roman"/>
          <w:b w:val="0"/>
          <w:bCs w:val="0"/>
          <w:i w:val="0"/>
          <w:iCs w:val="0"/>
          <w:caps w:val="0"/>
          <w:color w:val="000000"/>
          <w:spacing w:val="0"/>
          <w:sz w:val="32"/>
          <w:szCs w:val="32"/>
          <w:shd w:val="clear" w:color="auto" w:fill="auto"/>
          <w:lang w:val="en-US" w:eastAsia="zh-CN"/>
        </w:rPr>
        <w:t>紧抓安全、环保不放松，加大安全执法力度，检查企业126家次，查出违法行为和安全隐患541条，有效保障镇域企业安全生产形势。聘请第三方专家开展安全隐患排查，共聘请专家10人次，检查生产经营单位42家，排查整改隐患276条。开展闲置院落场所拉网式排查工作，今年以来，累计出动388人次，排查镇域内闲置房屋、院落、罐体384处，长期停产企业12处，厂中厂、租赁厂房37处。</w:t>
      </w:r>
    </w:p>
    <w:p w14:paraId="4284F13C">
      <w:pPr>
        <w:pStyle w:val="9"/>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60" w:lineRule="exact"/>
        <w:ind w:left="0" w:leftChars="0" w:firstLine="640" w:firstLineChars="200"/>
        <w:jc w:val="both"/>
        <w:textAlignment w:val="auto"/>
        <w:rPr>
          <w:rFonts w:hint="default" w:ascii="Times New Roman" w:hAnsi="Times New Roman" w:eastAsia="楷体_GB2312" w:cs="Times New Roman"/>
          <w:b w:val="0"/>
          <w:bCs w:val="0"/>
          <w:spacing w:val="0"/>
          <w:kern w:val="2"/>
          <w:sz w:val="32"/>
          <w:szCs w:val="36"/>
          <w:shd w:val="clear" w:color="auto" w:fill="auto"/>
          <w:lang w:val="en-US" w:eastAsia="zh-CN" w:bidi="ar-SA"/>
        </w:rPr>
      </w:pPr>
      <w:r>
        <w:rPr>
          <w:rFonts w:hint="eastAsia" w:ascii="楷体_GB2312" w:hAnsi="楷体_GB2312" w:eastAsia="楷体_GB2312" w:cs="楷体_GB2312"/>
          <w:b w:val="0"/>
          <w:bCs w:val="0"/>
          <w:spacing w:val="0"/>
          <w:kern w:val="2"/>
          <w:sz w:val="32"/>
          <w:szCs w:val="32"/>
          <w:shd w:val="clear" w:color="auto" w:fill="auto"/>
          <w:lang w:val="en-US" w:eastAsia="zh-CN" w:bidi="ar-SA"/>
        </w:rPr>
        <w:t>（六）</w:t>
      </w:r>
      <w:r>
        <w:rPr>
          <w:rFonts w:hint="default" w:ascii="Times New Roman" w:hAnsi="Times New Roman" w:eastAsia="楷体_GB2312" w:cs="Times New Roman"/>
          <w:b w:val="0"/>
          <w:bCs w:val="0"/>
          <w:spacing w:val="0"/>
          <w:kern w:val="2"/>
          <w:sz w:val="32"/>
          <w:szCs w:val="36"/>
          <w:shd w:val="clear" w:color="auto" w:fill="auto"/>
          <w:lang w:val="en-US" w:eastAsia="zh-CN" w:bidi="ar-SA"/>
        </w:rPr>
        <w:t>完善矛调机制</w:t>
      </w:r>
      <w:r>
        <w:rPr>
          <w:rFonts w:hint="eastAsia" w:ascii="Times New Roman" w:hAnsi="Times New Roman" w:eastAsia="楷体_GB2312" w:cs="Times New Roman"/>
          <w:b w:val="0"/>
          <w:bCs w:val="0"/>
          <w:spacing w:val="0"/>
          <w:kern w:val="2"/>
          <w:sz w:val="32"/>
          <w:szCs w:val="36"/>
          <w:shd w:val="clear" w:color="auto" w:fill="auto"/>
          <w:lang w:val="en-US" w:eastAsia="zh-CN" w:bidi="ar-SA"/>
        </w:rPr>
        <w:t>，打响矛调特色品牌</w:t>
      </w:r>
    </w:p>
    <w:p w14:paraId="3AD88B8B">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val="0"/>
          <w:i w:val="0"/>
          <w:iCs w:val="0"/>
          <w:caps w:val="0"/>
          <w:color w:val="000000"/>
          <w:spacing w:val="0"/>
          <w:sz w:val="32"/>
          <w:szCs w:val="32"/>
          <w:shd w:val="clear" w:color="auto" w:fill="auto"/>
          <w:lang w:val="en-US" w:eastAsia="zh-CN"/>
        </w:rPr>
      </w:pPr>
      <w:r>
        <w:rPr>
          <w:rFonts w:hint="eastAsia" w:ascii="Times New Roman" w:hAnsi="Times New Roman" w:eastAsia="仿宋_GB2312" w:cs="Times New Roman"/>
          <w:b w:val="0"/>
          <w:bCs w:val="0"/>
          <w:spacing w:val="0"/>
          <w:sz w:val="32"/>
          <w:szCs w:val="32"/>
          <w:shd w:val="clear" w:color="auto" w:fill="auto"/>
          <w:lang w:val="en-US" w:eastAsia="zh-CN"/>
        </w:rPr>
        <w:t>发挥</w:t>
      </w:r>
      <w:r>
        <w:rPr>
          <w:rFonts w:hint="default" w:ascii="Times New Roman" w:hAnsi="Times New Roman" w:eastAsia="仿宋_GB2312" w:cs="Times New Roman"/>
          <w:b w:val="0"/>
          <w:bCs w:val="0"/>
          <w:spacing w:val="0"/>
          <w:sz w:val="32"/>
          <w:szCs w:val="32"/>
          <w:shd w:val="clear" w:color="auto" w:fill="auto"/>
          <w:lang w:val="en-US" w:eastAsia="zh-CN"/>
        </w:rPr>
        <w:t>平安法治办</w:t>
      </w:r>
      <w:r>
        <w:rPr>
          <w:rFonts w:hint="eastAsia" w:ascii="Times New Roman" w:hAnsi="Times New Roman" w:eastAsia="仿宋_GB2312" w:cs="Times New Roman"/>
          <w:b w:val="0"/>
          <w:bCs w:val="0"/>
          <w:spacing w:val="0"/>
          <w:sz w:val="32"/>
          <w:szCs w:val="32"/>
          <w:shd w:val="clear" w:color="auto" w:fill="auto"/>
          <w:lang w:val="en-US" w:eastAsia="zh-CN"/>
        </w:rPr>
        <w:t>作用</w:t>
      </w:r>
      <w:r>
        <w:rPr>
          <w:rFonts w:hint="default" w:ascii="Times New Roman" w:hAnsi="Times New Roman" w:eastAsia="仿宋_GB2312" w:cs="Times New Roman"/>
          <w:b w:val="0"/>
          <w:bCs w:val="0"/>
          <w:spacing w:val="0"/>
          <w:sz w:val="32"/>
          <w:szCs w:val="32"/>
          <w:shd w:val="clear" w:color="auto" w:fill="auto"/>
          <w:lang w:val="en-US" w:eastAsia="zh-CN"/>
        </w:rPr>
        <w:t>，持续优化“一站式”矛盾调解中心功能室配置，充</w:t>
      </w:r>
      <w:r>
        <w:rPr>
          <w:rFonts w:hint="default" w:ascii="Times New Roman" w:hAnsi="Times New Roman" w:eastAsia="仿宋_GB2312" w:cs="Times New Roman"/>
          <w:b w:val="0"/>
          <w:bCs w:val="0"/>
          <w:color w:val="auto"/>
          <w:spacing w:val="0"/>
          <w:sz w:val="32"/>
          <w:szCs w:val="32"/>
          <w:shd w:val="clear" w:color="auto" w:fill="auto"/>
          <w:lang w:val="en-US" w:eastAsia="zh-CN"/>
        </w:rPr>
        <w:t>分发挥“齐心解”调解</w:t>
      </w:r>
      <w:r>
        <w:rPr>
          <w:rFonts w:hint="eastAsia" w:ascii="Times New Roman" w:hAnsi="Times New Roman" w:eastAsia="仿宋_GB2312" w:cs="Times New Roman"/>
          <w:b w:val="0"/>
          <w:bCs w:val="0"/>
          <w:color w:val="auto"/>
          <w:spacing w:val="0"/>
          <w:sz w:val="32"/>
          <w:szCs w:val="32"/>
          <w:shd w:val="clear" w:color="auto" w:fill="auto"/>
          <w:lang w:val="en-US" w:eastAsia="zh-CN"/>
        </w:rPr>
        <w:t>功能室</w:t>
      </w:r>
      <w:r>
        <w:rPr>
          <w:rFonts w:hint="default" w:ascii="Times New Roman" w:hAnsi="Times New Roman" w:eastAsia="仿宋_GB2312" w:cs="Times New Roman"/>
          <w:b w:val="0"/>
          <w:bCs w:val="0"/>
          <w:color w:val="auto"/>
          <w:spacing w:val="0"/>
          <w:sz w:val="32"/>
          <w:szCs w:val="32"/>
          <w:shd w:val="clear" w:color="auto" w:fill="auto"/>
          <w:lang w:val="en-US" w:eastAsia="zh-CN"/>
        </w:rPr>
        <w:t>作用，</w:t>
      </w:r>
      <w:r>
        <w:rPr>
          <w:rFonts w:hint="default" w:ascii="Times New Roman" w:hAnsi="Times New Roman" w:eastAsia="仿宋_GB2312" w:cs="Times New Roman"/>
          <w:b w:val="0"/>
          <w:bCs w:val="0"/>
          <w:spacing w:val="0"/>
          <w:sz w:val="32"/>
          <w:szCs w:val="32"/>
          <w:shd w:val="clear" w:color="auto" w:fill="auto"/>
          <w:lang w:val="en-US" w:eastAsia="zh-CN"/>
        </w:rPr>
        <w:t>确保中心开展矛盾纠纷化解工作的可实操性，持续</w:t>
      </w:r>
      <w:r>
        <w:rPr>
          <w:rFonts w:hint="eastAsia" w:ascii="Times New Roman" w:hAnsi="Times New Roman" w:eastAsia="仿宋_GB2312" w:cs="Times New Roman"/>
          <w:b w:val="0"/>
          <w:bCs w:val="0"/>
          <w:spacing w:val="0"/>
          <w:sz w:val="32"/>
          <w:szCs w:val="32"/>
          <w:shd w:val="clear" w:color="auto" w:fill="auto"/>
          <w:lang w:val="en-US" w:eastAsia="zh-CN"/>
        </w:rPr>
        <w:t>扩大</w:t>
      </w:r>
      <w:r>
        <w:rPr>
          <w:rFonts w:hint="default" w:ascii="Times New Roman" w:hAnsi="Times New Roman" w:eastAsia="仿宋_GB2312" w:cs="Times New Roman"/>
          <w:b w:val="0"/>
          <w:bCs w:val="0"/>
          <w:spacing w:val="0"/>
          <w:sz w:val="32"/>
          <w:szCs w:val="32"/>
          <w:shd w:val="clear" w:color="auto" w:fill="auto"/>
          <w:lang w:val="en-US" w:eastAsia="zh-CN"/>
        </w:rPr>
        <w:t>发挥“齐心解”调解品牌</w:t>
      </w:r>
      <w:r>
        <w:rPr>
          <w:rFonts w:hint="eastAsia" w:ascii="Times New Roman" w:hAnsi="Times New Roman" w:eastAsia="仿宋_GB2312" w:cs="Times New Roman"/>
          <w:b w:val="0"/>
          <w:bCs w:val="0"/>
          <w:spacing w:val="0"/>
          <w:sz w:val="32"/>
          <w:szCs w:val="32"/>
          <w:shd w:val="clear" w:color="auto" w:fill="auto"/>
          <w:lang w:val="en-US" w:eastAsia="zh-CN"/>
        </w:rPr>
        <w:t>影响</w:t>
      </w:r>
      <w:r>
        <w:rPr>
          <w:rFonts w:hint="default" w:ascii="Times New Roman" w:hAnsi="Times New Roman" w:eastAsia="仿宋_GB2312" w:cs="Times New Roman"/>
          <w:b w:val="0"/>
          <w:bCs w:val="0"/>
          <w:spacing w:val="0"/>
          <w:sz w:val="32"/>
          <w:szCs w:val="32"/>
          <w:shd w:val="clear" w:color="auto" w:fill="auto"/>
          <w:lang w:val="en-US" w:eastAsia="zh-CN"/>
        </w:rPr>
        <w:t>。</w:t>
      </w:r>
      <w:r>
        <w:rPr>
          <w:rFonts w:hint="default" w:ascii="Times New Roman" w:hAnsi="Times New Roman" w:eastAsia="仿宋_GB2312" w:cs="Times New Roman"/>
          <w:b w:val="0"/>
          <w:bCs w:val="0"/>
          <w:color w:val="auto"/>
          <w:spacing w:val="0"/>
          <w:sz w:val="32"/>
          <w:szCs w:val="32"/>
          <w:shd w:val="clear" w:color="auto" w:fill="auto"/>
          <w:lang w:val="en-US" w:eastAsia="zh-CN"/>
        </w:rPr>
        <w:t>按照</w:t>
      </w:r>
      <w:r>
        <w:rPr>
          <w:rFonts w:hint="default" w:ascii="Times New Roman" w:hAnsi="Times New Roman" w:eastAsia="仿宋_GB2312" w:cs="Times New Roman"/>
          <w:b w:val="0"/>
          <w:bCs w:val="0"/>
          <w:spacing w:val="0"/>
          <w:sz w:val="32"/>
          <w:szCs w:val="32"/>
          <w:shd w:val="clear" w:color="auto" w:fill="auto"/>
          <w:lang w:val="en-US" w:eastAsia="zh-CN"/>
        </w:rPr>
        <w:t>“您扫码·我来办 齐心解·筑平安”宣传活动要求，发动网格员、调解员开展“山东解纷码”宣传，通过宣传单页、送码入户、线上推广等形式，扩大起凤镇“一站式矛调中心”和“山东解纷码”知晓度，并做好流程普及工作</w:t>
      </w:r>
      <w:r>
        <w:rPr>
          <w:rFonts w:hint="default" w:ascii="Times New Roman" w:hAnsi="Times New Roman" w:eastAsia="仿宋_GB2312" w:cs="Times New Roman"/>
          <w:b w:val="0"/>
          <w:bCs w:val="0"/>
          <w:color w:val="auto"/>
          <w:spacing w:val="0"/>
          <w:sz w:val="32"/>
          <w:szCs w:val="32"/>
          <w:shd w:val="clear" w:color="auto" w:fill="auto"/>
          <w:lang w:val="en-US" w:eastAsia="zh-CN"/>
        </w:rPr>
        <w:t>。</w:t>
      </w:r>
      <w:r>
        <w:rPr>
          <w:rFonts w:hint="default" w:ascii="Times New Roman" w:hAnsi="Times New Roman" w:eastAsia="仿宋_GB2312" w:cs="Times New Roman"/>
          <w:b w:val="0"/>
          <w:bCs w:val="0"/>
          <w:i w:val="0"/>
          <w:iCs w:val="0"/>
          <w:caps w:val="0"/>
          <w:color w:val="000000"/>
          <w:spacing w:val="0"/>
          <w:sz w:val="32"/>
          <w:szCs w:val="32"/>
          <w:shd w:val="clear" w:color="auto" w:fill="auto"/>
          <w:lang w:val="en-US" w:eastAsia="zh-CN"/>
        </w:rPr>
        <w:t>用好新时代“枫桥经验”，配备专职人民调解员</w:t>
      </w:r>
      <w:r>
        <w:rPr>
          <w:rFonts w:hint="default" w:ascii="Times New Roman" w:hAnsi="Times New Roman" w:eastAsia="仿宋_GB2312" w:cs="Times New Roman"/>
          <w:b w:val="0"/>
          <w:bCs w:val="0"/>
          <w:i w:val="0"/>
          <w:iCs w:val="0"/>
          <w:caps w:val="0"/>
          <w:color w:val="auto"/>
          <w:spacing w:val="0"/>
          <w:sz w:val="32"/>
          <w:szCs w:val="32"/>
          <w:shd w:val="clear" w:color="auto" w:fill="auto"/>
          <w:lang w:val="en-US" w:eastAsia="zh-CN"/>
        </w:rPr>
        <w:t>3</w:t>
      </w:r>
      <w:r>
        <w:rPr>
          <w:rFonts w:hint="default" w:ascii="Times New Roman" w:hAnsi="Times New Roman" w:eastAsia="仿宋_GB2312" w:cs="Times New Roman"/>
          <w:b w:val="0"/>
          <w:bCs w:val="0"/>
          <w:i w:val="0"/>
          <w:iCs w:val="0"/>
          <w:caps w:val="0"/>
          <w:color w:val="000000"/>
          <w:spacing w:val="0"/>
          <w:sz w:val="32"/>
          <w:szCs w:val="32"/>
          <w:shd w:val="clear" w:color="auto" w:fill="auto"/>
          <w:lang w:val="en-US" w:eastAsia="zh-CN"/>
        </w:rPr>
        <w:t>名，镇内24个村全覆盖成立人民调解委员会，配</w:t>
      </w:r>
      <w:r>
        <w:rPr>
          <w:rFonts w:hint="default" w:ascii="Times New Roman" w:hAnsi="Times New Roman" w:eastAsia="仿宋_GB2312" w:cs="Times New Roman"/>
          <w:b w:val="0"/>
          <w:bCs w:val="0"/>
          <w:i w:val="0"/>
          <w:iCs w:val="0"/>
          <w:caps w:val="0"/>
          <w:color w:val="auto"/>
          <w:spacing w:val="0"/>
          <w:sz w:val="32"/>
          <w:szCs w:val="32"/>
          <w:shd w:val="clear" w:color="auto" w:fill="auto"/>
          <w:lang w:val="en-US" w:eastAsia="zh-CN"/>
        </w:rPr>
        <w:t>备139</w:t>
      </w:r>
      <w:r>
        <w:rPr>
          <w:rFonts w:hint="default" w:ascii="Times New Roman" w:hAnsi="Times New Roman" w:eastAsia="仿宋_GB2312" w:cs="Times New Roman"/>
          <w:b w:val="0"/>
          <w:bCs w:val="0"/>
          <w:i w:val="0"/>
          <w:iCs w:val="0"/>
          <w:caps w:val="0"/>
          <w:color w:val="000000"/>
          <w:spacing w:val="0"/>
          <w:sz w:val="32"/>
          <w:szCs w:val="32"/>
          <w:shd w:val="clear" w:color="auto" w:fill="auto"/>
          <w:lang w:val="en-US" w:eastAsia="zh-CN"/>
        </w:rPr>
        <w:t>名村级人民调解员，坚持以法治理念推动矛盾纠纷多元化解。</w:t>
      </w:r>
      <w:r>
        <w:rPr>
          <w:rFonts w:hint="eastAsia" w:ascii="Times New Roman" w:hAnsi="Times New Roman" w:eastAsia="仿宋_GB2312" w:cs="Times New Roman"/>
          <w:b w:val="0"/>
          <w:bCs w:val="0"/>
          <w:i w:val="0"/>
          <w:iCs w:val="0"/>
          <w:caps w:val="0"/>
          <w:color w:val="000000"/>
          <w:spacing w:val="0"/>
          <w:sz w:val="32"/>
          <w:szCs w:val="32"/>
          <w:shd w:val="clear" w:color="auto" w:fill="auto"/>
          <w:lang w:val="en-US" w:eastAsia="zh-CN"/>
        </w:rPr>
        <w:t>今年以来，我镇共计受理矛盾纠纷378件，调解成功356件，成功率94.18%。其中合同纠纷10件；金融借贷纠纷6件；消费纠纷10件；征地拆迁纠纷5件；道路交通事故纠纷6件；劳动社会保险纠纷3件；医疗卫生纠纷1件；房屋宅基地纠纷14件；损害赔偿纠纷9件；教育纠纷1件；教育纠纷1件；村务管理纠纷15件；公证服务2件；法律援助2件；信访事件1件；社会救助4件；环境污染纠纷9件；法律咨询4件；山林土地纠纷13件；婚恋家庭纠纷24件；房产物业纠纷9件；邻里纠纷225件；其他纠纷4件。</w:t>
      </w:r>
    </w:p>
    <w:p w14:paraId="1C7EBECF">
      <w:pPr>
        <w:keepNext w:val="0"/>
        <w:keepLines w:val="0"/>
        <w:pageBreakBefore w:val="0"/>
        <w:numPr>
          <w:ilvl w:val="0"/>
          <w:numId w:val="0"/>
        </w:numPr>
        <w:kinsoku/>
        <w:wordWrap/>
        <w:topLinePunct w:val="0"/>
        <w:autoSpaceDE/>
        <w:autoSpaceDN/>
        <w:bidi w:val="0"/>
        <w:spacing w:line="560" w:lineRule="exact"/>
        <w:ind w:left="0" w:leftChars="0" w:firstLine="640" w:firstLineChars="200"/>
        <w:textAlignment w:val="auto"/>
        <w:rPr>
          <w:rFonts w:hint="default" w:ascii="楷体_GB2312" w:hAnsi="楷体_GB2312" w:eastAsia="楷体_GB2312" w:cs="楷体_GB2312"/>
          <w:b w:val="0"/>
          <w:bCs w:val="0"/>
          <w:spacing w:val="0"/>
          <w:kern w:val="2"/>
          <w:sz w:val="32"/>
          <w:szCs w:val="32"/>
          <w:shd w:val="clear" w:color="auto" w:fill="auto"/>
          <w:lang w:val="en-US" w:eastAsia="zh-CN" w:bidi="ar-SA"/>
        </w:rPr>
      </w:pPr>
      <w:r>
        <w:rPr>
          <w:rFonts w:hint="eastAsia" w:ascii="楷体_GB2312" w:hAnsi="楷体_GB2312" w:eastAsia="楷体_GB2312" w:cs="楷体_GB2312"/>
          <w:b w:val="0"/>
          <w:bCs w:val="0"/>
          <w:spacing w:val="0"/>
          <w:kern w:val="2"/>
          <w:sz w:val="32"/>
          <w:szCs w:val="32"/>
          <w:shd w:val="clear" w:fill="auto"/>
          <w:lang w:val="en-US" w:eastAsia="zh-CN" w:bidi="ar-SA"/>
        </w:rPr>
        <w:t>（七）</w:t>
      </w:r>
      <w:r>
        <w:rPr>
          <w:rFonts w:hint="default" w:ascii="楷体_GB2312" w:hAnsi="楷体_GB2312" w:eastAsia="楷体_GB2312" w:cs="楷体_GB2312"/>
          <w:b w:val="0"/>
          <w:bCs w:val="0"/>
          <w:spacing w:val="0"/>
          <w:kern w:val="2"/>
          <w:sz w:val="32"/>
          <w:szCs w:val="32"/>
          <w:shd w:val="clear" w:color="auto" w:fill="auto"/>
          <w:lang w:val="en-US" w:eastAsia="zh-CN" w:bidi="ar-SA"/>
        </w:rPr>
        <w:t>健全法律顾问制度建设</w:t>
      </w:r>
    </w:p>
    <w:p w14:paraId="5CE0B664">
      <w:pPr>
        <w:keepNext w:val="0"/>
        <w:keepLines w:val="0"/>
        <w:pageBreakBefore w:val="0"/>
        <w:numPr>
          <w:numId w:val="0"/>
        </w:numPr>
        <w:kinsoku/>
        <w:wordWrap/>
        <w:topLinePunct w:val="0"/>
        <w:autoSpaceDE/>
        <w:autoSpaceDN/>
        <w:bidi w:val="0"/>
        <w:spacing w:line="560" w:lineRule="exact"/>
        <w:ind w:firstLine="640" w:firstLineChars="200"/>
        <w:textAlignment w:val="auto"/>
        <w:rPr>
          <w:rFonts w:hint="default"/>
          <w:spacing w:val="0"/>
          <w:shd w:val="clear" w:color="auto" w:fill="auto"/>
          <w:lang w:val="en-US" w:eastAsia="zh-CN"/>
        </w:rPr>
      </w:pPr>
      <w:r>
        <w:rPr>
          <w:rFonts w:hint="default" w:ascii="Times New Roman" w:hAnsi="Times New Roman" w:eastAsia="仿宋_GB2312" w:cs="Times New Roman"/>
          <w:b w:val="0"/>
          <w:bCs w:val="0"/>
          <w:i w:val="0"/>
          <w:iCs w:val="0"/>
          <w:caps w:val="0"/>
          <w:color w:val="000000"/>
          <w:spacing w:val="0"/>
          <w:sz w:val="32"/>
          <w:szCs w:val="32"/>
          <w:shd w:val="clear" w:color="auto" w:fill="auto"/>
          <w:lang w:val="en-US" w:eastAsia="zh-CN"/>
        </w:rPr>
        <w:t>聘请了山东大地人律师事务所律师为法律顾问。通过利用法律顾问的专业法律知识在信访稳定、房屋拆迁、矛盾纠纷等问题上提出解决思路，并进行合法性审查，促进问题解决。在涉及合同签订、工程招投标等重大行政决策事项中全程参与、列席党委会议，规避相关法律风险。健全完善了“一村一法律顾问”制度，充分发挥法律顾问工作在新农村建设中的独特作用，通过利用法律顾问的专业法律知识，努力提高在村务工作管理、重大事项决策、矛盾纠纷调处等方面的法治思维和法治能力。</w:t>
      </w:r>
      <w:r>
        <w:rPr>
          <w:rFonts w:hint="default" w:ascii="Times New Roman" w:hAnsi="Times New Roman" w:eastAsia="仿宋_GB2312" w:cs="Times New Roman"/>
          <w:b w:val="0"/>
          <w:bCs w:val="0"/>
          <w:spacing w:val="0"/>
          <w:kern w:val="2"/>
          <w:sz w:val="32"/>
          <w:szCs w:val="36"/>
          <w:shd w:val="clear" w:color="auto" w:fill="auto"/>
          <w:lang w:val="en-US" w:eastAsia="zh-CN" w:bidi="ar-SA"/>
        </w:rPr>
        <w:t>本年度，我镇法律顾问已累计提供法律服务逾290次，解答法律咨询248次，参与解决矛盾纠纷27次。</w:t>
      </w:r>
    </w:p>
    <w:p w14:paraId="0E5A06D6">
      <w:pPr>
        <w:keepNext w:val="0"/>
        <w:keepLines w:val="0"/>
        <w:pageBreakBefore w:val="0"/>
        <w:kinsoku/>
        <w:wordWrap/>
        <w:topLinePunct w:val="0"/>
        <w:autoSpaceDE/>
        <w:autoSpaceDN/>
        <w:bidi w:val="0"/>
        <w:spacing w:line="560" w:lineRule="exact"/>
        <w:ind w:firstLine="640" w:firstLineChars="200"/>
        <w:jc w:val="left"/>
        <w:textAlignment w:val="auto"/>
        <w:rPr>
          <w:rFonts w:hint="default" w:ascii="Times New Roman" w:hAnsi="Times New Roman" w:eastAsia="黑体" w:cs="Times New Roman"/>
          <w:spacing w:val="0"/>
          <w:sz w:val="32"/>
          <w:szCs w:val="32"/>
          <w:shd w:val="clear" w:color="auto" w:fill="auto"/>
        </w:rPr>
      </w:pPr>
      <w:r>
        <w:rPr>
          <w:rFonts w:hint="default" w:ascii="Times New Roman" w:hAnsi="Times New Roman" w:eastAsia="黑体" w:cs="Times New Roman"/>
          <w:spacing w:val="0"/>
          <w:sz w:val="32"/>
          <w:szCs w:val="32"/>
          <w:shd w:val="clear" w:color="auto" w:fill="auto"/>
        </w:rPr>
        <w:t>二、党政主要负责人履行推进法治建设第一责任人职责情况</w:t>
      </w:r>
    </w:p>
    <w:p w14:paraId="3F8A88BC">
      <w:pPr>
        <w:keepNext w:val="0"/>
        <w:keepLines w:val="0"/>
        <w:pageBreakBefore w:val="0"/>
        <w:numPr>
          <w:ilvl w:val="0"/>
          <w:numId w:val="0"/>
        </w:numPr>
        <w:kinsoku/>
        <w:wordWrap/>
        <w:topLinePunct w:val="0"/>
        <w:autoSpaceDE/>
        <w:autoSpaceDN/>
        <w:bidi w:val="0"/>
        <w:spacing w:line="560" w:lineRule="exact"/>
        <w:ind w:left="0" w:firstLine="640" w:firstLineChars="200"/>
        <w:textAlignment w:val="auto"/>
        <w:rPr>
          <w:rFonts w:hint="eastAsia" w:ascii="Times New Roman" w:hAnsi="Times New Roman" w:eastAsia="仿宋_GB2312" w:cs="Times New Roman"/>
          <w:b w:val="0"/>
          <w:bCs w:val="0"/>
          <w:i w:val="0"/>
          <w:iCs w:val="0"/>
          <w:caps w:val="0"/>
          <w:color w:val="000000"/>
          <w:spacing w:val="0"/>
          <w:sz w:val="32"/>
          <w:szCs w:val="32"/>
          <w:shd w:val="clear" w:color="auto" w:fill="auto"/>
          <w:lang w:val="en-US" w:eastAsia="zh-CN"/>
        </w:rPr>
      </w:pPr>
      <w:r>
        <w:rPr>
          <w:rFonts w:hint="default" w:ascii="Times New Roman" w:hAnsi="Times New Roman" w:eastAsia="仿宋_GB2312" w:cs="Times New Roman"/>
          <w:b w:val="0"/>
          <w:bCs w:val="0"/>
          <w:i w:val="0"/>
          <w:iCs w:val="0"/>
          <w:caps w:val="0"/>
          <w:color w:val="000000"/>
          <w:spacing w:val="0"/>
          <w:sz w:val="32"/>
          <w:szCs w:val="32"/>
          <w:shd w:val="clear" w:color="auto" w:fill="auto"/>
          <w:lang w:val="en-US" w:eastAsia="zh-CN"/>
        </w:rPr>
        <w:t>党政主要负责人全面贯彻落实党中央和省市县关于法治建设的重大决策部署</w:t>
      </w:r>
      <w:r>
        <w:rPr>
          <w:rFonts w:hint="eastAsia" w:ascii="Times New Roman" w:hAnsi="Times New Roman" w:eastAsia="仿宋_GB2312" w:cs="Times New Roman"/>
          <w:b w:val="0"/>
          <w:bCs w:val="0"/>
          <w:i w:val="0"/>
          <w:iCs w:val="0"/>
          <w:caps w:val="0"/>
          <w:color w:val="000000"/>
          <w:spacing w:val="0"/>
          <w:sz w:val="32"/>
          <w:szCs w:val="32"/>
          <w:shd w:val="clear" w:color="auto" w:fill="auto"/>
          <w:lang w:val="en-US" w:eastAsia="zh-CN"/>
        </w:rPr>
        <w:t>，</w:t>
      </w:r>
      <w:r>
        <w:rPr>
          <w:rFonts w:hint="default" w:ascii="Times New Roman" w:hAnsi="Times New Roman" w:eastAsia="仿宋_GB2312" w:cs="Times New Roman"/>
          <w:b w:val="0"/>
          <w:bCs w:val="0"/>
          <w:i w:val="0"/>
          <w:iCs w:val="0"/>
          <w:caps w:val="0"/>
          <w:color w:val="000000"/>
          <w:spacing w:val="0"/>
          <w:sz w:val="32"/>
          <w:szCs w:val="32"/>
          <w:shd w:val="clear" w:color="auto" w:fill="auto"/>
          <w:lang w:val="en-US" w:eastAsia="zh-CN"/>
        </w:rPr>
        <w:t>统筹推进科学立法、严格执法、公正司法、全民守法</w:t>
      </w:r>
      <w:r>
        <w:rPr>
          <w:rFonts w:hint="eastAsia" w:ascii="Times New Roman" w:hAnsi="Times New Roman" w:eastAsia="仿宋_GB2312" w:cs="Times New Roman"/>
          <w:b w:val="0"/>
          <w:bCs w:val="0"/>
          <w:i w:val="0"/>
          <w:iCs w:val="0"/>
          <w:caps w:val="0"/>
          <w:color w:val="000000"/>
          <w:spacing w:val="0"/>
          <w:sz w:val="32"/>
          <w:szCs w:val="32"/>
          <w:shd w:val="clear" w:color="auto" w:fill="auto"/>
          <w:lang w:val="en-US" w:eastAsia="zh-CN"/>
        </w:rPr>
        <w:t>，</w:t>
      </w:r>
      <w:r>
        <w:rPr>
          <w:rFonts w:hint="default" w:ascii="Times New Roman" w:hAnsi="Times New Roman" w:eastAsia="仿宋_GB2312" w:cs="Times New Roman"/>
          <w:b w:val="0"/>
          <w:bCs w:val="0"/>
          <w:i w:val="0"/>
          <w:iCs w:val="0"/>
          <w:caps w:val="0"/>
          <w:color w:val="000000"/>
          <w:spacing w:val="0"/>
          <w:sz w:val="32"/>
          <w:szCs w:val="32"/>
          <w:shd w:val="clear" w:color="auto" w:fill="auto"/>
          <w:lang w:val="en-US" w:eastAsia="zh-CN"/>
        </w:rPr>
        <w:t>自觉运用法治思维和法治方式深化改革、推动发展、化解矛盾、维护稳定,对法治建设重要工作亲自部署、重大问题亲自过问、重点环节亲自协调、重要任务亲自督办</w:t>
      </w:r>
      <w:r>
        <w:rPr>
          <w:rFonts w:hint="eastAsia" w:ascii="Times New Roman" w:hAnsi="Times New Roman" w:eastAsia="仿宋_GB2312" w:cs="Times New Roman"/>
          <w:b w:val="0"/>
          <w:bCs w:val="0"/>
          <w:i w:val="0"/>
          <w:iCs w:val="0"/>
          <w:caps w:val="0"/>
          <w:color w:val="000000"/>
          <w:spacing w:val="0"/>
          <w:sz w:val="32"/>
          <w:szCs w:val="32"/>
          <w:shd w:val="clear" w:color="auto" w:fill="auto"/>
          <w:lang w:val="en-US" w:eastAsia="zh-CN"/>
        </w:rPr>
        <w:t>。</w:t>
      </w:r>
      <w:r>
        <w:rPr>
          <w:rFonts w:hint="default" w:ascii="Times New Roman" w:hAnsi="Times New Roman" w:eastAsia="仿宋_GB2312" w:cs="Times New Roman"/>
          <w:b w:val="0"/>
          <w:bCs w:val="0"/>
          <w:i w:val="0"/>
          <w:iCs w:val="0"/>
          <w:caps w:val="0"/>
          <w:color w:val="000000"/>
          <w:spacing w:val="0"/>
          <w:sz w:val="32"/>
          <w:szCs w:val="32"/>
          <w:shd w:val="clear" w:color="auto" w:fill="auto"/>
          <w:lang w:val="en-US" w:eastAsia="zh-CN"/>
        </w:rPr>
        <w:t>定期听取法治建设工作情况汇报</w:t>
      </w:r>
      <w:r>
        <w:rPr>
          <w:rFonts w:hint="eastAsia" w:ascii="Times New Roman" w:hAnsi="Times New Roman" w:eastAsia="仿宋_GB2312" w:cs="Times New Roman"/>
          <w:b w:val="0"/>
          <w:bCs w:val="0"/>
          <w:i w:val="0"/>
          <w:iCs w:val="0"/>
          <w:caps w:val="0"/>
          <w:color w:val="000000"/>
          <w:spacing w:val="0"/>
          <w:sz w:val="32"/>
          <w:szCs w:val="32"/>
          <w:shd w:val="clear" w:color="auto" w:fill="auto"/>
          <w:lang w:val="en-US" w:eastAsia="zh-CN"/>
        </w:rPr>
        <w:t>，</w:t>
      </w:r>
      <w:r>
        <w:rPr>
          <w:rFonts w:hint="default" w:ascii="Times New Roman" w:hAnsi="Times New Roman" w:eastAsia="仿宋_GB2312" w:cs="Times New Roman"/>
          <w:b w:val="0"/>
          <w:bCs w:val="0"/>
          <w:i w:val="0"/>
          <w:iCs w:val="0"/>
          <w:caps w:val="0"/>
          <w:color w:val="000000"/>
          <w:spacing w:val="0"/>
          <w:sz w:val="32"/>
          <w:szCs w:val="32"/>
          <w:shd w:val="clear" w:color="auto" w:fill="auto"/>
          <w:lang w:val="en-US" w:eastAsia="zh-CN"/>
        </w:rPr>
        <w:t>及时研究解决有关重大问题。</w:t>
      </w:r>
    </w:p>
    <w:p w14:paraId="524D6E92">
      <w:pPr>
        <w:keepNext w:val="0"/>
        <w:keepLines w:val="0"/>
        <w:pageBreakBefore w:val="0"/>
        <w:widowControl w:val="0"/>
        <w:numPr>
          <w:ilvl w:val="0"/>
          <w:numId w:val="0"/>
        </w:numPr>
        <w:suppressLineNumbers w:val="0"/>
        <w:kinsoku/>
        <w:wordWrap/>
        <w:overflowPunct w:val="0"/>
        <w:topLinePunct w:val="0"/>
        <w:autoSpaceDE/>
        <w:autoSpaceDN/>
        <w:bidi w:val="0"/>
        <w:spacing w:beforeAutospacing="0" w:afterAutospacing="0" w:line="560" w:lineRule="exact"/>
        <w:ind w:left="0" w:leftChars="0" w:firstLine="640" w:firstLineChars="200"/>
        <w:jc w:val="both"/>
        <w:textAlignment w:val="auto"/>
        <w:rPr>
          <w:rFonts w:hint="eastAsia" w:ascii="黑体" w:hAnsi="黑体" w:eastAsia="黑体" w:cs="黑体"/>
          <w:snapToGrid w:val="0"/>
          <w:spacing w:val="0"/>
          <w:kern w:val="0"/>
          <w:sz w:val="32"/>
          <w:szCs w:val="24"/>
          <w:lang w:val="en-US" w:eastAsia="zh-CN"/>
        </w:rPr>
      </w:pPr>
      <w:r>
        <w:rPr>
          <w:rFonts w:hint="eastAsia" w:ascii="黑体" w:hAnsi="黑体" w:eastAsia="黑体" w:cs="黑体"/>
          <w:snapToGrid w:val="0"/>
          <w:spacing w:val="0"/>
          <w:kern w:val="0"/>
          <w:sz w:val="32"/>
          <w:szCs w:val="24"/>
          <w:lang w:val="en-US" w:eastAsia="zh-CN"/>
        </w:rPr>
        <w:t>三、</w:t>
      </w:r>
      <w:r>
        <w:rPr>
          <w:rFonts w:hint="default" w:ascii="Times New Roman" w:hAnsi="Times New Roman" w:eastAsia="黑体" w:cs="Times New Roman"/>
          <w:spacing w:val="0"/>
          <w:sz w:val="32"/>
          <w:szCs w:val="32"/>
          <w:lang w:val="en" w:eastAsia="zh-CN"/>
        </w:rPr>
        <w:t>推进法治政府建设存在的不足和原因</w:t>
      </w:r>
    </w:p>
    <w:p w14:paraId="51E56F1A">
      <w:pPr>
        <w:keepNext w:val="0"/>
        <w:keepLines w:val="0"/>
        <w:pageBreakBefore w:val="0"/>
        <w:widowControl/>
        <w:suppressLineNumbers w:val="0"/>
        <w:kinsoku/>
        <w:wordWrap/>
        <w:overflowPunct w:val="0"/>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pacing w:val="0"/>
          <w:kern w:val="0"/>
          <w:sz w:val="32"/>
          <w:szCs w:val="32"/>
          <w:lang w:val="en-US" w:eastAsia="zh-CN" w:bidi="ar-SA"/>
        </w:rPr>
      </w:pPr>
      <w:r>
        <w:rPr>
          <w:rFonts w:hint="default" w:ascii="Times New Roman" w:hAnsi="Times New Roman" w:eastAsia="仿宋_GB2312" w:cs="Times New Roman"/>
          <w:color w:val="auto"/>
          <w:spacing w:val="0"/>
          <w:kern w:val="2"/>
          <w:sz w:val="32"/>
          <w:szCs w:val="32"/>
          <w:lang w:val="en-US" w:eastAsia="zh-CN" w:bidi="ar-SA"/>
        </w:rPr>
        <w:t>今年以来，我镇</w:t>
      </w:r>
      <w:r>
        <w:rPr>
          <w:rFonts w:hint="eastAsia" w:ascii="Times New Roman" w:hAnsi="Times New Roman" w:eastAsia="仿宋_GB2312" w:cs="Times New Roman"/>
          <w:color w:val="auto"/>
          <w:spacing w:val="0"/>
          <w:kern w:val="2"/>
          <w:sz w:val="32"/>
          <w:szCs w:val="32"/>
          <w:lang w:val="en-US" w:eastAsia="zh-CN" w:bidi="ar-SA"/>
        </w:rPr>
        <w:t>虽然</w:t>
      </w:r>
      <w:r>
        <w:rPr>
          <w:rFonts w:hint="default" w:ascii="Times New Roman" w:hAnsi="Times New Roman" w:eastAsia="仿宋_GB2312" w:cs="Times New Roman"/>
          <w:color w:val="auto"/>
          <w:spacing w:val="0"/>
          <w:kern w:val="2"/>
          <w:sz w:val="32"/>
          <w:szCs w:val="32"/>
          <w:lang w:val="en-US" w:eastAsia="zh-CN" w:bidi="ar-SA"/>
        </w:rPr>
        <w:t>在推进依法行政、加快法治政府建设方面取得了一</w:t>
      </w:r>
      <w:r>
        <w:rPr>
          <w:rFonts w:hint="eastAsia" w:ascii="Times New Roman" w:hAnsi="Times New Roman" w:eastAsia="仿宋_GB2312" w:cs="Times New Roman"/>
          <w:color w:val="auto"/>
          <w:spacing w:val="0"/>
          <w:kern w:val="2"/>
          <w:sz w:val="32"/>
          <w:szCs w:val="32"/>
          <w:lang w:val="en-US" w:eastAsia="zh-CN" w:bidi="ar-SA"/>
        </w:rPr>
        <w:t>定的成效</w:t>
      </w:r>
      <w:r>
        <w:rPr>
          <w:rFonts w:hint="default" w:ascii="Times New Roman" w:hAnsi="Times New Roman" w:eastAsia="仿宋_GB2312" w:cs="Times New Roman"/>
          <w:color w:val="auto"/>
          <w:spacing w:val="0"/>
          <w:kern w:val="2"/>
          <w:sz w:val="32"/>
          <w:szCs w:val="32"/>
          <w:lang w:val="en-US" w:eastAsia="zh-CN" w:bidi="ar-SA"/>
        </w:rPr>
        <w:t>，</w:t>
      </w:r>
      <w:r>
        <w:rPr>
          <w:rFonts w:hint="eastAsia" w:ascii="仿宋_GB2312" w:hAnsi="仿宋_GB2312" w:eastAsia="仿宋_GB2312" w:cs="仿宋_GB2312"/>
          <w:spacing w:val="0"/>
          <w:sz w:val="32"/>
          <w:szCs w:val="32"/>
          <w:lang w:val="en-US" w:eastAsia="zh-CN"/>
        </w:rPr>
        <w:t>但对照上级的要求和群众的期盼，</w:t>
      </w:r>
      <w:r>
        <w:rPr>
          <w:rFonts w:hint="default" w:ascii="Times New Roman" w:hAnsi="Times New Roman" w:eastAsia="仿宋_GB2312" w:cs="Times New Roman"/>
          <w:color w:val="auto"/>
          <w:spacing w:val="0"/>
          <w:kern w:val="2"/>
          <w:sz w:val="32"/>
          <w:szCs w:val="32"/>
          <w:lang w:val="en-US" w:eastAsia="zh-CN" w:bidi="ar-SA"/>
        </w:rPr>
        <w:t>与上级的要求和群众的期盼相比，我们还</w:t>
      </w:r>
      <w:r>
        <w:rPr>
          <w:rFonts w:hint="eastAsia" w:ascii="Times New Roman" w:hAnsi="Times New Roman" w:eastAsia="仿宋_GB2312" w:cs="Times New Roman"/>
          <w:color w:val="auto"/>
          <w:spacing w:val="0"/>
          <w:kern w:val="2"/>
          <w:sz w:val="32"/>
          <w:szCs w:val="32"/>
          <w:lang w:val="en-US" w:eastAsia="zh-CN" w:bidi="ar-SA"/>
        </w:rPr>
        <w:t>存在一定的差距</w:t>
      </w:r>
      <w:r>
        <w:rPr>
          <w:rFonts w:hint="default" w:ascii="Times New Roman" w:hAnsi="Times New Roman" w:eastAsia="仿宋_GB2312" w:cs="Times New Roman"/>
          <w:color w:val="auto"/>
          <w:spacing w:val="0"/>
          <w:kern w:val="2"/>
          <w:sz w:val="32"/>
          <w:szCs w:val="32"/>
          <w:lang w:val="en-US" w:eastAsia="zh-CN" w:bidi="ar-SA"/>
        </w:rPr>
        <w:t>。</w:t>
      </w:r>
      <w:r>
        <w:rPr>
          <w:rFonts w:hint="eastAsia" w:ascii="仿宋_GB2312" w:hAnsi="仿宋_GB2312" w:eastAsia="仿宋_GB2312" w:cs="仿宋_GB2312"/>
          <w:b/>
          <w:bCs/>
          <w:spacing w:val="0"/>
          <w:kern w:val="2"/>
          <w:sz w:val="32"/>
          <w:szCs w:val="36"/>
          <w:lang w:val="en-US" w:eastAsia="zh-CN" w:bidi="ar-SA"/>
        </w:rPr>
        <w:t>一是</w:t>
      </w:r>
      <w:r>
        <w:rPr>
          <w:rFonts w:hint="eastAsia" w:ascii="仿宋_GB2312" w:hAnsi="仿宋_GB2312" w:eastAsia="仿宋_GB2312" w:cs="仿宋_GB2312"/>
          <w:b w:val="0"/>
          <w:bCs w:val="0"/>
          <w:spacing w:val="0"/>
          <w:kern w:val="2"/>
          <w:sz w:val="32"/>
          <w:szCs w:val="36"/>
          <w:lang w:val="en-US" w:eastAsia="zh-CN" w:bidi="ar-SA"/>
        </w:rPr>
        <w:t>队伍专业化、专职化方面有待提升。</w:t>
      </w:r>
      <w:r>
        <w:rPr>
          <w:rFonts w:hint="default" w:ascii="Times New Roman" w:hAnsi="Times New Roman" w:eastAsia="仿宋_GB2312" w:cs="Times New Roman"/>
          <w:b w:val="0"/>
          <w:bCs w:val="0"/>
          <w:spacing w:val="0"/>
          <w:kern w:val="0"/>
          <w:sz w:val="32"/>
          <w:szCs w:val="32"/>
          <w:lang w:val="en-US" w:eastAsia="zh-CN"/>
        </w:rPr>
        <w:t>基层法治建设工作人员往往身兼数职，日常工作中缺乏系统化、专门化的理论素养提升和专项法治学习，法律业务能力和行政执法能力有待进一步提高。</w:t>
      </w:r>
      <w:r>
        <w:rPr>
          <w:rFonts w:hint="eastAsia" w:ascii="仿宋_GB2312" w:hAnsi="仿宋_GB2312" w:eastAsia="仿宋_GB2312" w:cs="仿宋_GB2312"/>
          <w:b/>
          <w:bCs/>
          <w:spacing w:val="0"/>
          <w:kern w:val="2"/>
          <w:sz w:val="32"/>
          <w:szCs w:val="36"/>
          <w:lang w:val="en-US" w:eastAsia="zh-CN" w:bidi="ar-SA"/>
        </w:rPr>
        <w:t>二是</w:t>
      </w:r>
      <w:r>
        <w:rPr>
          <w:rFonts w:hint="eastAsia" w:ascii="仿宋_GB2312" w:hAnsi="仿宋_GB2312" w:eastAsia="仿宋_GB2312" w:cs="仿宋_GB2312"/>
          <w:b w:val="0"/>
          <w:bCs w:val="0"/>
          <w:spacing w:val="0"/>
          <w:kern w:val="2"/>
          <w:sz w:val="32"/>
          <w:szCs w:val="36"/>
          <w:lang w:val="en-US" w:eastAsia="zh-CN" w:bidi="ar-SA"/>
        </w:rPr>
        <w:t>普法活动的形式较为单一。</w:t>
      </w:r>
      <w:r>
        <w:rPr>
          <w:rFonts w:hint="default" w:ascii="Times New Roman" w:hAnsi="Times New Roman" w:eastAsia="仿宋_GB2312" w:cs="Times New Roman"/>
          <w:b w:val="0"/>
          <w:bCs w:val="0"/>
          <w:spacing w:val="0"/>
          <w:kern w:val="0"/>
          <w:sz w:val="32"/>
          <w:szCs w:val="32"/>
          <w:lang w:val="en-US" w:eastAsia="zh-CN" w:bidi="ar-SA"/>
        </w:rPr>
        <w:t>在推进法治宣传教育的过程中，除了普法宣讲和学习培训之外，其他形式的普法活动开展得较少。活动策划的思路不够宽广，导致公众对普法活动的参与度并不高。</w:t>
      </w:r>
      <w:r>
        <w:rPr>
          <w:rFonts w:hint="eastAsia" w:ascii="Times New Roman" w:hAnsi="Times New Roman" w:eastAsia="仿宋_GB2312" w:cs="Times New Roman"/>
          <w:b/>
          <w:bCs/>
          <w:spacing w:val="0"/>
          <w:kern w:val="0"/>
          <w:sz w:val="32"/>
          <w:szCs w:val="32"/>
          <w:lang w:val="en-US" w:eastAsia="zh-CN" w:bidi="ar-SA"/>
        </w:rPr>
        <w:t>三是</w:t>
      </w:r>
      <w:r>
        <w:rPr>
          <w:rFonts w:hint="eastAsia" w:ascii="Times New Roman" w:hAnsi="Times New Roman" w:eastAsia="仿宋_GB2312" w:cs="Times New Roman"/>
          <w:b w:val="0"/>
          <w:bCs w:val="0"/>
          <w:spacing w:val="0"/>
          <w:kern w:val="0"/>
          <w:sz w:val="32"/>
          <w:szCs w:val="32"/>
          <w:lang w:val="en-US" w:eastAsia="zh-CN" w:bidi="ar-SA"/>
        </w:rPr>
        <w:t>部分镇村干部法治意识有待加强，对法治的理解不够全面，认为自己没有执法权、处罚权等，导致在依法办事力度不强。</w:t>
      </w:r>
    </w:p>
    <w:p w14:paraId="284A770A">
      <w:pPr>
        <w:keepNext w:val="0"/>
        <w:keepLines w:val="0"/>
        <w:pageBreakBefore w:val="0"/>
        <w:kinsoku/>
        <w:wordWrap/>
        <w:topLinePunct w:val="0"/>
        <w:autoSpaceDE/>
        <w:autoSpaceDN/>
        <w:bidi w:val="0"/>
        <w:spacing w:line="560" w:lineRule="exact"/>
        <w:ind w:left="0" w:firstLine="640" w:firstLineChars="200"/>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四、</w:t>
      </w:r>
      <w:r>
        <w:rPr>
          <w:rFonts w:hint="default" w:ascii="Times New Roman" w:hAnsi="Times New Roman" w:eastAsia="黑体" w:cs="Times New Roman"/>
          <w:spacing w:val="0"/>
          <w:sz w:val="32"/>
          <w:szCs w:val="32"/>
          <w:lang w:val="en" w:eastAsia="zh-CN"/>
        </w:rPr>
        <w:t>20</w:t>
      </w:r>
      <w:r>
        <w:rPr>
          <w:rFonts w:hint="default" w:ascii="Times New Roman" w:hAnsi="Times New Roman" w:eastAsia="黑体" w:cs="Times New Roman"/>
          <w:spacing w:val="0"/>
          <w:sz w:val="32"/>
          <w:szCs w:val="32"/>
          <w:lang w:val="en-US" w:eastAsia="zh-CN"/>
        </w:rPr>
        <w:t>2</w:t>
      </w:r>
      <w:r>
        <w:rPr>
          <w:rFonts w:hint="eastAsia" w:ascii="Times New Roman" w:hAnsi="Times New Roman" w:eastAsia="黑体" w:cs="Times New Roman"/>
          <w:spacing w:val="0"/>
          <w:sz w:val="32"/>
          <w:szCs w:val="32"/>
          <w:lang w:val="en-US" w:eastAsia="zh-CN"/>
        </w:rPr>
        <w:t>5</w:t>
      </w:r>
      <w:r>
        <w:rPr>
          <w:rFonts w:hint="default" w:ascii="Times New Roman" w:hAnsi="Times New Roman" w:eastAsia="黑体" w:cs="Times New Roman"/>
          <w:spacing w:val="0"/>
          <w:sz w:val="32"/>
          <w:szCs w:val="32"/>
          <w:lang w:val="en" w:eastAsia="zh-CN"/>
        </w:rPr>
        <w:t>年推进法治政府建设的主要计划安排</w:t>
      </w:r>
    </w:p>
    <w:p w14:paraId="090F9BA6">
      <w:pPr>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b w:val="0"/>
          <w:bCs w:val="0"/>
          <w:i w:val="0"/>
          <w:iCs w:val="0"/>
          <w:caps w:val="0"/>
          <w:spacing w:val="0"/>
          <w:sz w:val="32"/>
          <w:szCs w:val="32"/>
          <w:shd w:val="clear" w:color="auto" w:fill="FFFFFF"/>
        </w:rPr>
      </w:pPr>
      <w:r>
        <w:rPr>
          <w:rFonts w:hint="default" w:ascii="Times New Roman" w:hAnsi="Times New Roman" w:eastAsia="仿宋_GB2312" w:cs="Times New Roman"/>
          <w:spacing w:val="0"/>
          <w:sz w:val="32"/>
          <w:szCs w:val="32"/>
          <w:lang w:val="en-US" w:eastAsia="zh-CN"/>
        </w:rPr>
        <w:t>202</w:t>
      </w:r>
      <w:r>
        <w:rPr>
          <w:rFonts w:hint="eastAsia"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spacing w:val="0"/>
          <w:sz w:val="32"/>
          <w:szCs w:val="32"/>
          <w:lang w:val="en-US" w:eastAsia="zh-CN"/>
        </w:rPr>
        <w:t>年，起凤镇将认真学习贯彻</w:t>
      </w:r>
      <w:r>
        <w:rPr>
          <w:rFonts w:hint="eastAsia" w:ascii="Times New Roman" w:hAnsi="Times New Roman" w:eastAsia="仿宋_GB2312" w:cs="Times New Roman"/>
          <w:spacing w:val="0"/>
          <w:sz w:val="32"/>
          <w:szCs w:val="32"/>
          <w:lang w:val="en-US" w:eastAsia="zh-CN"/>
        </w:rPr>
        <w:t>习近平法治思想和党的二十大、二十届三中全会精神，</w:t>
      </w:r>
      <w:r>
        <w:rPr>
          <w:rFonts w:hint="default" w:ascii="Times New Roman" w:hAnsi="Times New Roman" w:eastAsia="仿宋_GB2312" w:cs="Times New Roman"/>
          <w:spacing w:val="0"/>
          <w:sz w:val="32"/>
          <w:szCs w:val="32"/>
          <w:lang w:val="en-US" w:eastAsia="zh-CN"/>
        </w:rPr>
        <w:t>按照县委、县政府重大决策部署，深入开展法治政府建设，着力提升依法行政能力和市域社会治理现代化水平，促进我镇经济社会事业更好更快发展，</w:t>
      </w:r>
      <w:r>
        <w:rPr>
          <w:rFonts w:hint="default" w:ascii="Times New Roman" w:hAnsi="Times New Roman" w:eastAsia="仿宋_GB2312" w:cs="Times New Roman"/>
          <w:b w:val="0"/>
          <w:bCs w:val="0"/>
          <w:i w:val="0"/>
          <w:iCs w:val="0"/>
          <w:caps w:val="0"/>
          <w:spacing w:val="0"/>
          <w:sz w:val="32"/>
          <w:szCs w:val="32"/>
          <w:shd w:val="clear" w:color="auto" w:fill="FFFFFF"/>
        </w:rPr>
        <w:t>力争在法治政府建设重点领域和关键环节取得新进展、新突破。</w:t>
      </w:r>
    </w:p>
    <w:p w14:paraId="6CBD9E63">
      <w:pPr>
        <w:keepNext w:val="0"/>
        <w:keepLines w:val="0"/>
        <w:pageBreakBefore w:val="0"/>
        <w:numPr>
          <w:ilvl w:val="0"/>
          <w:numId w:val="0"/>
        </w:numPr>
        <w:kinsoku/>
        <w:wordWrap/>
        <w:overflowPunct/>
        <w:topLinePunct w:val="0"/>
        <w:autoSpaceDE/>
        <w:autoSpaceDN/>
        <w:bidi w:val="0"/>
        <w:spacing w:line="560" w:lineRule="exact"/>
        <w:ind w:firstLine="640"/>
        <w:jc w:val="both"/>
        <w:textAlignment w:val="auto"/>
        <w:rPr>
          <w:rFonts w:hint="default" w:ascii="Times New Roman" w:hAnsi="Times New Roman" w:eastAsia="仿宋_GB2312" w:cs="Times New Roman"/>
          <w:b w:val="0"/>
          <w:bCs w:val="0"/>
          <w:i w:val="0"/>
          <w:iCs w:val="0"/>
          <w:caps w:val="0"/>
          <w:spacing w:val="0"/>
          <w:kern w:val="2"/>
          <w:sz w:val="32"/>
          <w:szCs w:val="32"/>
          <w:shd w:val="clear" w:color="auto" w:fill="FFFFFF"/>
          <w:lang w:val="en-US" w:eastAsia="zh-CN" w:bidi="ar-SA"/>
        </w:rPr>
      </w:pPr>
      <w:r>
        <w:rPr>
          <w:rFonts w:hint="eastAsia" w:ascii="楷体_GB2312" w:hAnsi="楷体_GB2312" w:eastAsia="楷体_GB2312" w:cs="楷体_GB2312"/>
          <w:spacing w:val="0"/>
          <w:sz w:val="32"/>
          <w:szCs w:val="32"/>
          <w:lang w:val="en-US" w:eastAsia="zh-CN"/>
        </w:rPr>
        <w:t>一是加强学习，联动资源，依法推进法治建设。</w:t>
      </w:r>
      <w:r>
        <w:rPr>
          <w:rFonts w:hint="eastAsia" w:ascii="Times New Roman" w:hAnsi="Times New Roman" w:eastAsia="仿宋_GB2312" w:cs="Times New Roman"/>
          <w:i w:val="0"/>
          <w:iCs w:val="0"/>
          <w:caps w:val="0"/>
          <w:spacing w:val="0"/>
          <w:sz w:val="32"/>
          <w:szCs w:val="32"/>
          <w:shd w:val="clear" w:fill="FFFFFF"/>
        </w:rPr>
        <w:t>深入学习贯彻</w:t>
      </w:r>
      <w:r>
        <w:rPr>
          <w:rFonts w:hint="eastAsia" w:ascii="Times New Roman" w:hAnsi="Times New Roman" w:eastAsia="仿宋_GB2312" w:cs="Times New Roman"/>
          <w:i w:val="0"/>
          <w:iCs w:val="0"/>
          <w:caps w:val="0"/>
          <w:spacing w:val="0"/>
          <w:sz w:val="32"/>
          <w:szCs w:val="32"/>
          <w:shd w:val="clear" w:fill="FFFFFF"/>
          <w:lang w:val="en-US" w:eastAsia="zh-CN"/>
        </w:rPr>
        <w:t>党的二十大、二十届三中全会精神和</w:t>
      </w:r>
      <w:r>
        <w:rPr>
          <w:rFonts w:hint="eastAsia" w:ascii="Times New Roman" w:hAnsi="Times New Roman" w:eastAsia="仿宋_GB2312" w:cs="Times New Roman"/>
          <w:i w:val="0"/>
          <w:iCs w:val="0"/>
          <w:caps w:val="0"/>
          <w:spacing w:val="0"/>
          <w:sz w:val="32"/>
          <w:szCs w:val="32"/>
          <w:shd w:val="clear" w:fill="FFFFFF"/>
        </w:rPr>
        <w:t>习近平法治思想，</w:t>
      </w:r>
      <w:r>
        <w:rPr>
          <w:rFonts w:hint="default" w:ascii="Times New Roman" w:hAnsi="Times New Roman" w:eastAsia="仿宋_GB2312" w:cs="Times New Roman"/>
          <w:b w:val="0"/>
          <w:bCs w:val="0"/>
          <w:i w:val="0"/>
          <w:iCs w:val="0"/>
          <w:caps w:val="0"/>
          <w:spacing w:val="0"/>
          <w:kern w:val="2"/>
          <w:sz w:val="32"/>
          <w:szCs w:val="32"/>
          <w:shd w:val="clear" w:color="auto" w:fill="FFFFFF"/>
          <w:lang w:val="en-US" w:eastAsia="zh-CN" w:bidi="ar-SA"/>
        </w:rPr>
        <w:t>落实镇党委政府班子成员带头学法制度，</w:t>
      </w:r>
      <w:r>
        <w:rPr>
          <w:rFonts w:hint="eastAsia" w:ascii="Times New Roman" w:hAnsi="Times New Roman" w:eastAsia="仿宋_GB2312" w:cs="Times New Roman"/>
          <w:i w:val="0"/>
          <w:iCs w:val="0"/>
          <w:caps w:val="0"/>
          <w:spacing w:val="0"/>
          <w:sz w:val="32"/>
          <w:szCs w:val="32"/>
          <w:shd w:val="clear" w:fill="FFFFFF"/>
        </w:rPr>
        <w:t>加大普法宣传力度，营造尊法学法守法用法浓厚氛围</w:t>
      </w:r>
      <w:r>
        <w:rPr>
          <w:rFonts w:hint="eastAsia" w:ascii="Times New Roman" w:hAnsi="Times New Roman" w:eastAsia="仿宋_GB2312" w:cs="Times New Roman"/>
          <w:i w:val="0"/>
          <w:iCs w:val="0"/>
          <w:caps w:val="0"/>
          <w:spacing w:val="0"/>
          <w:sz w:val="32"/>
          <w:szCs w:val="32"/>
          <w:shd w:val="clear" w:fill="FFFFFF"/>
          <w:lang w:eastAsia="zh-CN"/>
        </w:rPr>
        <w:t>，</w:t>
      </w:r>
      <w:r>
        <w:rPr>
          <w:rFonts w:hint="default" w:ascii="Times New Roman" w:hAnsi="Times New Roman" w:eastAsia="仿宋_GB2312" w:cs="Times New Roman"/>
          <w:b w:val="0"/>
          <w:bCs w:val="0"/>
          <w:i w:val="0"/>
          <w:iCs w:val="0"/>
          <w:caps w:val="0"/>
          <w:spacing w:val="0"/>
          <w:kern w:val="2"/>
          <w:sz w:val="32"/>
          <w:szCs w:val="32"/>
          <w:shd w:val="clear" w:color="auto" w:fill="FFFFFF"/>
          <w:lang w:val="en-US" w:eastAsia="zh-CN" w:bidi="ar-SA"/>
        </w:rPr>
        <w:t>为推进法治政府建设提供强大动力</w:t>
      </w:r>
      <w:r>
        <w:rPr>
          <w:rFonts w:hint="eastAsia" w:ascii="Times New Roman" w:hAnsi="Times New Roman" w:eastAsia="仿宋_GB2312" w:cs="Times New Roman"/>
          <w:i w:val="0"/>
          <w:iCs w:val="0"/>
          <w:caps w:val="0"/>
          <w:spacing w:val="0"/>
          <w:sz w:val="32"/>
          <w:szCs w:val="32"/>
          <w:shd w:val="clear" w:fill="FFFFFF"/>
        </w:rPr>
        <w:t>。依托新媒体阵地常态化开展法治宣传，联动法学会专家等资源，为</w:t>
      </w:r>
      <w:r>
        <w:rPr>
          <w:rFonts w:hint="eastAsia" w:ascii="Times New Roman" w:hAnsi="Times New Roman" w:eastAsia="仿宋_GB2312" w:cs="Times New Roman"/>
          <w:i w:val="0"/>
          <w:iCs w:val="0"/>
          <w:caps w:val="0"/>
          <w:spacing w:val="0"/>
          <w:sz w:val="32"/>
          <w:szCs w:val="32"/>
          <w:shd w:val="clear" w:fill="FFFFFF"/>
          <w:lang w:eastAsia="zh-CN"/>
        </w:rPr>
        <w:t>村民</w:t>
      </w:r>
      <w:r>
        <w:rPr>
          <w:rFonts w:hint="eastAsia" w:ascii="Times New Roman" w:hAnsi="Times New Roman" w:eastAsia="仿宋_GB2312" w:cs="Times New Roman"/>
          <w:i w:val="0"/>
          <w:iCs w:val="0"/>
          <w:caps w:val="0"/>
          <w:spacing w:val="0"/>
          <w:sz w:val="32"/>
          <w:szCs w:val="32"/>
          <w:shd w:val="clear" w:fill="FFFFFF"/>
        </w:rPr>
        <w:t>提供法律咨询和法律援助，推动法治观念形成</w:t>
      </w:r>
      <w:r>
        <w:rPr>
          <w:rFonts w:hint="default" w:ascii="Times New Roman" w:hAnsi="Times New Roman" w:eastAsia="仿宋_GB2312" w:cs="Times New Roman"/>
          <w:b w:val="0"/>
          <w:bCs w:val="0"/>
          <w:i w:val="0"/>
          <w:iCs w:val="0"/>
          <w:caps w:val="0"/>
          <w:spacing w:val="0"/>
          <w:kern w:val="2"/>
          <w:sz w:val="32"/>
          <w:szCs w:val="32"/>
          <w:shd w:val="clear" w:color="auto" w:fill="FFFFFF"/>
          <w:lang w:val="en-US" w:eastAsia="zh-CN" w:bidi="ar-SA"/>
        </w:rPr>
        <w:t>。</w:t>
      </w:r>
    </w:p>
    <w:p w14:paraId="3ACF9BA7">
      <w:pPr>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b w:val="0"/>
          <w:bCs w:val="0"/>
          <w:i w:val="0"/>
          <w:iCs w:val="0"/>
          <w:caps w:val="0"/>
          <w:spacing w:val="0"/>
          <w:sz w:val="32"/>
          <w:szCs w:val="32"/>
        </w:rPr>
      </w:pPr>
      <w:r>
        <w:rPr>
          <w:rFonts w:hint="default" w:ascii="楷体_GB2312" w:hAnsi="楷体_GB2312" w:eastAsia="楷体_GB2312" w:cs="楷体_GB2312"/>
          <w:spacing w:val="0"/>
          <w:sz w:val="32"/>
          <w:szCs w:val="32"/>
          <w:lang w:val="en-US" w:eastAsia="zh-CN"/>
        </w:rPr>
        <w:t>二是</w:t>
      </w:r>
      <w:r>
        <w:rPr>
          <w:rFonts w:hint="eastAsia" w:ascii="楷体_GB2312" w:hAnsi="楷体_GB2312" w:eastAsia="楷体_GB2312" w:cs="楷体_GB2312"/>
          <w:spacing w:val="0"/>
          <w:sz w:val="32"/>
          <w:szCs w:val="32"/>
          <w:lang w:val="en-US" w:eastAsia="zh-CN"/>
        </w:rPr>
        <w:t>严格落实</w:t>
      </w:r>
      <w:r>
        <w:rPr>
          <w:rFonts w:hint="default" w:ascii="楷体_GB2312" w:hAnsi="楷体_GB2312" w:eastAsia="楷体_GB2312" w:cs="楷体_GB2312"/>
          <w:spacing w:val="0"/>
          <w:sz w:val="32"/>
          <w:szCs w:val="32"/>
          <w:lang w:val="zh-CN" w:eastAsia="zh-CN"/>
        </w:rPr>
        <w:t>科学民主决策制度机制。</w:t>
      </w:r>
      <w:r>
        <w:rPr>
          <w:rFonts w:hint="default" w:ascii="Times New Roman" w:hAnsi="Times New Roman" w:eastAsia="仿宋_GB2312" w:cs="Times New Roman"/>
          <w:b w:val="0"/>
          <w:bCs w:val="0"/>
          <w:i w:val="0"/>
          <w:iCs w:val="0"/>
          <w:caps w:val="0"/>
          <w:spacing w:val="0"/>
          <w:sz w:val="32"/>
          <w:szCs w:val="32"/>
        </w:rPr>
        <w:t>规范和完善公众参与、专家论证和政府决定相结合的行政决策机制，严格落实重大行政决策听证制度、合法性审查制度和重大行政决策集体决定制度，完善重大行政决策实施情况评价制度和责任追究制度，不断提高行政决策的能力和水平。</w:t>
      </w:r>
    </w:p>
    <w:p w14:paraId="48968535">
      <w:pPr>
        <w:keepNext w:val="0"/>
        <w:keepLines w:val="0"/>
        <w:pageBreakBefore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b w:val="0"/>
          <w:bCs w:val="0"/>
          <w:spacing w:val="0"/>
          <w:kern w:val="0"/>
          <w:sz w:val="32"/>
          <w:szCs w:val="32"/>
          <w:lang w:val="en-US" w:eastAsia="zh-CN" w:bidi="ar-SA"/>
        </w:rPr>
      </w:pPr>
      <w:r>
        <w:rPr>
          <w:rFonts w:hint="eastAsia" w:ascii="Times New Roman" w:hAnsi="Times New Roman" w:eastAsia="楷体_GB2312" w:cs="Times New Roman"/>
          <w:b w:val="0"/>
          <w:bCs w:val="0"/>
          <w:spacing w:val="0"/>
          <w:kern w:val="2"/>
          <w:sz w:val="32"/>
          <w:szCs w:val="36"/>
          <w:lang w:val="en-US" w:eastAsia="zh-CN" w:bidi="ar-SA"/>
        </w:rPr>
        <w:t>三</w:t>
      </w:r>
      <w:r>
        <w:rPr>
          <w:rFonts w:hint="default" w:ascii="Times New Roman" w:hAnsi="Times New Roman" w:eastAsia="楷体_GB2312" w:cs="Times New Roman"/>
          <w:b w:val="0"/>
          <w:bCs w:val="0"/>
          <w:spacing w:val="0"/>
          <w:kern w:val="2"/>
          <w:sz w:val="32"/>
          <w:szCs w:val="36"/>
          <w:lang w:val="en-US" w:eastAsia="zh-CN" w:bidi="ar-SA"/>
        </w:rPr>
        <w:t>是提升现代化治理能力，构建乡镇社会治理的新格局。</w:t>
      </w:r>
      <w:r>
        <w:rPr>
          <w:rFonts w:hint="default" w:ascii="Times New Roman" w:hAnsi="Times New Roman" w:eastAsia="仿宋_GB2312" w:cs="Times New Roman"/>
          <w:b w:val="0"/>
          <w:bCs w:val="0"/>
          <w:spacing w:val="0"/>
          <w:kern w:val="0"/>
          <w:sz w:val="32"/>
          <w:szCs w:val="32"/>
          <w:lang w:val="en-US" w:eastAsia="zh-CN" w:bidi="ar-SA"/>
        </w:rPr>
        <w:t>完善网格化服务管理机制，充分发挥网格员的作用，</w:t>
      </w:r>
      <w:r>
        <w:rPr>
          <w:rFonts w:hint="eastAsia" w:ascii="Times New Roman" w:hAnsi="Times New Roman" w:eastAsia="仿宋_GB2312" w:cs="Times New Roman"/>
          <w:b w:val="0"/>
          <w:bCs w:val="0"/>
          <w:spacing w:val="0"/>
          <w:kern w:val="0"/>
          <w:sz w:val="32"/>
          <w:szCs w:val="32"/>
          <w:lang w:val="en-US" w:eastAsia="zh-CN" w:bidi="ar-SA"/>
        </w:rPr>
        <w:t>持续优化走访路径，确保走深、走实，</w:t>
      </w:r>
      <w:r>
        <w:rPr>
          <w:rFonts w:hint="default" w:ascii="Times New Roman" w:hAnsi="Times New Roman" w:eastAsia="仿宋_GB2312" w:cs="Times New Roman"/>
          <w:b w:val="0"/>
          <w:bCs w:val="0"/>
          <w:spacing w:val="0"/>
          <w:kern w:val="0"/>
          <w:sz w:val="32"/>
          <w:szCs w:val="32"/>
          <w:lang w:val="en-US" w:eastAsia="zh-CN" w:bidi="ar-SA"/>
        </w:rPr>
        <w:t>彻底解决乡镇社会治理中“看得见的管不了、管得了的看不见”的问题。充分利用“齐心解”工作室，借助法律援助，扩大矛盾纠纷调解队伍，促进矛盾纠纷调解的多元化。</w:t>
      </w:r>
    </w:p>
    <w:p w14:paraId="6AFF808A">
      <w:pPr>
        <w:pStyle w:val="3"/>
        <w:keepNext w:val="0"/>
        <w:keepLines w:val="0"/>
        <w:pageBreakBefore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b w:val="0"/>
          <w:bCs w:val="0"/>
          <w:spacing w:val="0"/>
          <w:kern w:val="0"/>
          <w:sz w:val="32"/>
          <w:szCs w:val="32"/>
          <w:lang w:val="en-US" w:eastAsia="zh-CN" w:bidi="ar-SA"/>
        </w:rPr>
      </w:pPr>
      <w:r>
        <w:rPr>
          <w:rFonts w:hint="eastAsia" w:ascii="Times New Roman" w:hAnsi="Times New Roman" w:eastAsia="楷体_GB2312" w:cs="Times New Roman"/>
          <w:b w:val="0"/>
          <w:bCs w:val="0"/>
          <w:spacing w:val="0"/>
          <w:kern w:val="2"/>
          <w:sz w:val="32"/>
          <w:szCs w:val="36"/>
          <w:lang w:val="en-US" w:eastAsia="zh-CN" w:bidi="ar-SA"/>
        </w:rPr>
        <w:t>四</w:t>
      </w:r>
      <w:r>
        <w:rPr>
          <w:rFonts w:hint="default" w:ascii="Times New Roman" w:hAnsi="Times New Roman" w:eastAsia="楷体_GB2312" w:cs="Times New Roman"/>
          <w:b w:val="0"/>
          <w:bCs w:val="0"/>
          <w:spacing w:val="0"/>
          <w:kern w:val="2"/>
          <w:sz w:val="32"/>
          <w:szCs w:val="36"/>
          <w:lang w:val="en-US" w:eastAsia="zh-CN" w:bidi="ar-SA"/>
        </w:rPr>
        <w:t>是着重提升法治建设队伍，全面落实法治建设任务。</w:t>
      </w:r>
      <w:r>
        <w:rPr>
          <w:rFonts w:hint="default" w:ascii="Times New Roman" w:hAnsi="Times New Roman" w:eastAsia="仿宋_GB2312" w:cs="Times New Roman"/>
          <w:b w:val="0"/>
          <w:bCs w:val="0"/>
          <w:spacing w:val="0"/>
          <w:kern w:val="0"/>
          <w:sz w:val="32"/>
          <w:szCs w:val="32"/>
          <w:lang w:val="en-US" w:eastAsia="zh-CN" w:bidi="ar-SA"/>
        </w:rPr>
        <w:t>加强机关干部法律法规的学习和业务知识的培训，切实提升依法行政的工作水平，以法说话，彻底摒弃人治思想和以权代法，</w:t>
      </w:r>
      <w:r>
        <w:rPr>
          <w:rFonts w:hint="eastAsia" w:ascii="Times New Roman" w:hAnsi="Times New Roman" w:eastAsia="仿宋_GB2312" w:cs="Times New Roman"/>
          <w:b w:val="0"/>
          <w:bCs w:val="0"/>
          <w:spacing w:val="0"/>
          <w:kern w:val="0"/>
          <w:sz w:val="32"/>
          <w:szCs w:val="32"/>
          <w:lang w:val="en-US" w:eastAsia="zh-CN" w:bidi="ar-SA"/>
        </w:rPr>
        <w:t>用</w:t>
      </w:r>
      <w:r>
        <w:rPr>
          <w:rFonts w:hint="default" w:ascii="Times New Roman" w:hAnsi="Times New Roman" w:eastAsia="仿宋_GB2312" w:cs="Times New Roman"/>
          <w:b w:val="0"/>
          <w:bCs w:val="0"/>
          <w:spacing w:val="0"/>
          <w:kern w:val="0"/>
          <w:sz w:val="32"/>
          <w:szCs w:val="32"/>
          <w:lang w:val="en-US" w:eastAsia="zh-CN" w:bidi="ar-SA"/>
        </w:rPr>
        <w:t>法治</w:t>
      </w:r>
      <w:r>
        <w:rPr>
          <w:rFonts w:hint="eastAsia" w:ascii="Times New Roman" w:hAnsi="Times New Roman" w:eastAsia="仿宋_GB2312" w:cs="Times New Roman"/>
          <w:b w:val="0"/>
          <w:bCs w:val="0"/>
          <w:spacing w:val="0"/>
          <w:kern w:val="0"/>
          <w:sz w:val="32"/>
          <w:szCs w:val="32"/>
          <w:lang w:val="en-US" w:eastAsia="zh-CN" w:bidi="ar-SA"/>
        </w:rPr>
        <w:t>思维保障</w:t>
      </w:r>
      <w:r>
        <w:rPr>
          <w:rFonts w:hint="default" w:ascii="Times New Roman" w:hAnsi="Times New Roman" w:eastAsia="仿宋_GB2312" w:cs="Times New Roman"/>
          <w:b w:val="0"/>
          <w:bCs w:val="0"/>
          <w:spacing w:val="0"/>
          <w:kern w:val="0"/>
          <w:sz w:val="32"/>
          <w:szCs w:val="32"/>
          <w:lang w:val="en-US" w:eastAsia="zh-CN" w:bidi="ar-SA"/>
        </w:rPr>
        <w:t>政策落实。</w:t>
      </w:r>
    </w:p>
    <w:p w14:paraId="7EE8F743">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spacing w:val="0"/>
          <w:kern w:val="0"/>
          <w:sz w:val="32"/>
          <w:szCs w:val="32"/>
          <w:lang w:val="en-US" w:eastAsia="zh-CN" w:bidi="ar-SA"/>
        </w:rPr>
      </w:pPr>
      <w:r>
        <w:rPr>
          <w:rFonts w:hint="eastAsia" w:ascii="Times New Roman" w:hAnsi="Times New Roman" w:eastAsia="楷体_GB2312" w:cs="Times New Roman"/>
          <w:b w:val="0"/>
          <w:bCs w:val="0"/>
          <w:spacing w:val="0"/>
          <w:kern w:val="2"/>
          <w:sz w:val="32"/>
          <w:szCs w:val="36"/>
          <w:lang w:val="en-US" w:eastAsia="zh-CN" w:bidi="ar-SA"/>
        </w:rPr>
        <w:t>五</w:t>
      </w:r>
      <w:r>
        <w:rPr>
          <w:rFonts w:hint="default" w:ascii="Times New Roman" w:hAnsi="Times New Roman" w:eastAsia="楷体_GB2312" w:cs="Times New Roman"/>
          <w:b w:val="0"/>
          <w:bCs w:val="0"/>
          <w:spacing w:val="0"/>
          <w:kern w:val="2"/>
          <w:sz w:val="32"/>
          <w:szCs w:val="36"/>
          <w:lang w:val="en-US" w:eastAsia="zh-CN" w:bidi="ar-SA"/>
        </w:rPr>
        <w:t>是促进农村学法普法常态化，构建和谐美丽新村居。</w:t>
      </w:r>
      <w:r>
        <w:rPr>
          <w:rFonts w:hint="default" w:ascii="Times New Roman" w:hAnsi="Times New Roman" w:eastAsia="仿宋_GB2312" w:cs="Times New Roman"/>
          <w:b w:val="0"/>
          <w:bCs w:val="0"/>
          <w:spacing w:val="0"/>
          <w:kern w:val="0"/>
          <w:sz w:val="32"/>
          <w:szCs w:val="32"/>
          <w:lang w:val="en-US" w:eastAsia="zh-CN" w:bidi="ar-SA"/>
        </w:rPr>
        <w:t>持续推动村委带头学习贯彻习近平法治思想，继续组织专题学习；将法治宣传与“党建引领、一网三联、信用赋能”的乡村治理模式</w:t>
      </w:r>
      <w:r>
        <w:rPr>
          <w:rFonts w:hint="eastAsia" w:ascii="Times New Roman" w:hAnsi="Times New Roman" w:eastAsia="仿宋_GB2312" w:cs="Times New Roman"/>
          <w:b w:val="0"/>
          <w:bCs w:val="0"/>
          <w:spacing w:val="0"/>
          <w:kern w:val="0"/>
          <w:sz w:val="32"/>
          <w:szCs w:val="32"/>
          <w:lang w:val="en-US" w:eastAsia="zh-CN" w:bidi="ar-SA"/>
        </w:rPr>
        <w:t>等</w:t>
      </w:r>
      <w:r>
        <w:rPr>
          <w:rFonts w:hint="default" w:ascii="Times New Roman" w:hAnsi="Times New Roman" w:eastAsia="仿宋_GB2312" w:cs="Times New Roman"/>
          <w:b w:val="0"/>
          <w:bCs w:val="0"/>
          <w:spacing w:val="0"/>
          <w:kern w:val="0"/>
          <w:sz w:val="32"/>
          <w:szCs w:val="32"/>
          <w:lang w:val="en-US" w:eastAsia="zh-CN" w:bidi="ar-SA"/>
        </w:rPr>
        <w:t>统筹结合，扩大宣传覆盖面，形成法治宣传的浓厚氛围。</w:t>
      </w:r>
    </w:p>
    <w:p w14:paraId="0CD4E3E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kern w:val="0"/>
          <w:sz w:val="32"/>
          <w:szCs w:val="32"/>
          <w:u w:val="none"/>
          <w:shd w:val="clear" w:color="auto" w:fill="auto"/>
          <w:lang w:val="en-US" w:eastAsia="zh-CN" w:bidi="zh-TW"/>
        </w:rPr>
      </w:pPr>
      <w:r>
        <w:rPr>
          <w:rFonts w:hint="eastAsia" w:ascii="楷体_GB2312" w:hAnsi="楷体_GB2312" w:eastAsia="楷体_GB2312" w:cs="楷体_GB2312"/>
          <w:spacing w:val="0"/>
          <w:sz w:val="32"/>
          <w:szCs w:val="32"/>
          <w:lang w:val="en-US" w:eastAsia="zh-CN"/>
        </w:rPr>
        <w:t>六是</w:t>
      </w:r>
      <w:r>
        <w:rPr>
          <w:rFonts w:hint="eastAsia" w:ascii="楷体_GB2312" w:hAnsi="楷体_GB2312" w:eastAsia="楷体_GB2312" w:cs="楷体_GB2312"/>
          <w:b w:val="0"/>
          <w:bCs w:val="0"/>
          <w:color w:val="auto"/>
          <w:spacing w:val="0"/>
          <w:kern w:val="0"/>
          <w:sz w:val="32"/>
          <w:szCs w:val="32"/>
          <w:u w:val="none"/>
          <w:shd w:val="clear" w:color="auto" w:fill="auto"/>
          <w:lang w:val="en-US" w:eastAsia="zh-CN" w:bidi="zh-TW"/>
        </w:rPr>
        <w:t>组织培训，提升法治素养。</w:t>
      </w:r>
      <w:r>
        <w:rPr>
          <w:rFonts w:hint="default" w:ascii="Times New Roman" w:hAnsi="Times New Roman" w:eastAsia="仿宋_GB2312" w:cs="Times New Roman"/>
          <w:b w:val="0"/>
          <w:bCs w:val="0"/>
          <w:color w:val="auto"/>
          <w:spacing w:val="0"/>
          <w:kern w:val="0"/>
          <w:sz w:val="32"/>
          <w:szCs w:val="32"/>
          <w:u w:val="none"/>
          <w:shd w:val="clear" w:color="auto" w:fill="auto"/>
          <w:lang w:val="en-US" w:eastAsia="zh-CN" w:bidi="zh-TW"/>
        </w:rPr>
        <w:t>持续发挥法律顾问、村居民警、专业执法人员作用，加强对村委成员、警务助理、网格员、志愿者的业务素质培训，以平安建设、法治建设、反诈防邪、禁毒铲毒为重点，定</w:t>
      </w:r>
      <w:r>
        <w:rPr>
          <w:rFonts w:hint="eastAsia" w:ascii="Times New Roman" w:hAnsi="Times New Roman" w:eastAsia="仿宋_GB2312" w:cs="Times New Roman"/>
          <w:b w:val="0"/>
          <w:bCs w:val="0"/>
          <w:color w:val="auto"/>
          <w:spacing w:val="0"/>
          <w:kern w:val="0"/>
          <w:sz w:val="32"/>
          <w:szCs w:val="32"/>
          <w:u w:val="none"/>
          <w:shd w:val="clear" w:color="auto" w:fill="auto"/>
          <w:lang w:val="en-US" w:eastAsia="zh-CN" w:bidi="zh-TW"/>
        </w:rPr>
        <w:t>期</w:t>
      </w:r>
      <w:r>
        <w:rPr>
          <w:rFonts w:hint="default" w:ascii="Times New Roman" w:hAnsi="Times New Roman" w:eastAsia="仿宋_GB2312" w:cs="Times New Roman"/>
          <w:b w:val="0"/>
          <w:bCs w:val="0"/>
          <w:color w:val="auto"/>
          <w:spacing w:val="0"/>
          <w:kern w:val="0"/>
          <w:sz w:val="32"/>
          <w:szCs w:val="32"/>
          <w:u w:val="none"/>
          <w:shd w:val="clear" w:color="auto" w:fill="auto"/>
          <w:lang w:val="en-US" w:eastAsia="zh-CN" w:bidi="zh-TW"/>
        </w:rPr>
        <w:t>对业务工作人员开展培训，提升业务素质。</w:t>
      </w:r>
    </w:p>
    <w:p w14:paraId="768EFEF2">
      <w:pPr>
        <w:keepNext w:val="0"/>
        <w:keepLines w:val="0"/>
        <w:pageBreakBefore w:val="0"/>
        <w:kinsoku/>
        <w:wordWrap/>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特此报告。</w:t>
      </w:r>
    </w:p>
    <w:p w14:paraId="708BE634">
      <w:pPr>
        <w:keepNext w:val="0"/>
        <w:keepLines w:val="0"/>
        <w:pageBreakBefore w:val="0"/>
        <w:numPr>
          <w:ilvl w:val="0"/>
          <w:numId w:val="0"/>
        </w:numPr>
        <w:kinsoku/>
        <w:wordWrap/>
        <w:overflowPunct/>
        <w:topLinePunct w:val="0"/>
        <w:autoSpaceDE/>
        <w:autoSpaceDN/>
        <w:bidi w:val="0"/>
        <w:spacing w:line="560" w:lineRule="exact"/>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     </w:t>
      </w:r>
    </w:p>
    <w:p w14:paraId="09C799E1">
      <w:pPr>
        <w:pStyle w:val="5"/>
        <w:keepNext w:val="0"/>
        <w:keepLines w:val="0"/>
        <w:pageBreakBefore w:val="0"/>
        <w:kinsoku/>
        <w:wordWrap/>
        <w:topLinePunct w:val="0"/>
        <w:autoSpaceDE/>
        <w:autoSpaceDN/>
        <w:bidi w:val="0"/>
        <w:spacing w:line="560" w:lineRule="exact"/>
        <w:ind w:left="0" w:leftChars="0" w:firstLine="0" w:firstLineChars="0"/>
        <w:textAlignment w:val="auto"/>
        <w:rPr>
          <w:rFonts w:hint="default"/>
          <w:spacing w:val="0"/>
          <w:lang w:val="en-US" w:eastAsia="zh-CN"/>
        </w:rPr>
      </w:pPr>
    </w:p>
    <w:p w14:paraId="7A0DAFC6">
      <w:pPr>
        <w:keepNext w:val="0"/>
        <w:keepLines w:val="0"/>
        <w:pageBreakBefore w:val="0"/>
        <w:numPr>
          <w:ilvl w:val="0"/>
          <w:numId w:val="0"/>
        </w:numPr>
        <w:kinsoku/>
        <w:wordWrap/>
        <w:overflowPunct/>
        <w:topLinePunct w:val="0"/>
        <w:autoSpaceDE/>
        <w:autoSpaceDN/>
        <w:bidi w:val="0"/>
        <w:spacing w:line="560" w:lineRule="exact"/>
        <w:ind w:firstLine="5760" w:firstLineChars="1800"/>
        <w:jc w:val="both"/>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中共起凤镇委</w:t>
      </w:r>
    </w:p>
    <w:p w14:paraId="0408A914">
      <w:pPr>
        <w:keepNext w:val="0"/>
        <w:keepLines w:val="0"/>
        <w:pageBreakBefore w:val="0"/>
        <w:numPr>
          <w:ilvl w:val="0"/>
          <w:numId w:val="0"/>
        </w:numPr>
        <w:kinsoku/>
        <w:wordWrap/>
        <w:overflowPunct/>
        <w:topLinePunct w:val="0"/>
        <w:autoSpaceDE/>
        <w:autoSpaceDN/>
        <w:bidi w:val="0"/>
        <w:spacing w:line="560" w:lineRule="exact"/>
        <w:ind w:firstLine="64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                              202</w:t>
      </w:r>
      <w:r>
        <w:rPr>
          <w:rFonts w:hint="eastAsia"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spacing w:val="0"/>
          <w:sz w:val="32"/>
          <w:szCs w:val="32"/>
          <w:lang w:val="en-US" w:eastAsia="zh-CN"/>
        </w:rPr>
        <w:t>年2月</w:t>
      </w:r>
      <w:r>
        <w:rPr>
          <w:rFonts w:hint="eastAsia" w:ascii="Times New Roman" w:hAnsi="Times New Roman" w:eastAsia="仿宋_GB2312" w:cs="Times New Roman"/>
          <w:spacing w:val="0"/>
          <w:sz w:val="32"/>
          <w:szCs w:val="32"/>
          <w:lang w:val="en-US" w:eastAsia="zh-CN"/>
        </w:rPr>
        <w:t>14</w:t>
      </w:r>
      <w:r>
        <w:rPr>
          <w:rFonts w:hint="default" w:ascii="Times New Roman" w:hAnsi="Times New Roman" w:eastAsia="仿宋_GB2312" w:cs="Times New Roman"/>
          <w:spacing w:val="0"/>
          <w:sz w:val="32"/>
          <w:szCs w:val="32"/>
          <w:lang w:val="en-US" w:eastAsia="zh-CN"/>
        </w:rPr>
        <w:t>日</w:t>
      </w:r>
    </w:p>
    <w:p w14:paraId="76B39E07">
      <w:pPr>
        <w:pStyle w:val="5"/>
        <w:keepNext w:val="0"/>
        <w:keepLines w:val="0"/>
        <w:pageBreakBefore w:val="0"/>
        <w:kinsoku/>
        <w:wordWrap/>
        <w:topLinePunct w:val="0"/>
        <w:autoSpaceDE/>
        <w:autoSpaceDN/>
        <w:bidi w:val="0"/>
        <w:spacing w:line="560" w:lineRule="exact"/>
        <w:ind w:left="0" w:leftChars="0" w:firstLine="0" w:firstLineChars="0"/>
        <w:textAlignment w:val="auto"/>
        <w:rPr>
          <w:rFonts w:hint="default"/>
          <w:spacing w:val="0"/>
          <w:lang w:val="en-US" w:eastAsia="zh-CN"/>
        </w:rPr>
      </w:pPr>
    </w:p>
    <w:p w14:paraId="5015DAE9">
      <w:pPr>
        <w:keepNext w:val="0"/>
        <w:keepLines w:val="0"/>
        <w:pageBreakBefore w:val="0"/>
        <w:kinsoku/>
        <w:wordWrap/>
        <w:topLinePunct w:val="0"/>
        <w:autoSpaceDE/>
        <w:autoSpaceDN/>
        <w:bidi w:val="0"/>
        <w:spacing w:line="560" w:lineRule="exact"/>
        <w:textAlignment w:val="auto"/>
        <w:rPr>
          <w:rFonts w:hint="default"/>
          <w:spacing w:val="0"/>
          <w:lang w:val="en-US" w:eastAsia="zh-CN"/>
        </w:rPr>
      </w:pPr>
    </w:p>
    <w:p w14:paraId="4046D1F3">
      <w:pPr>
        <w:pStyle w:val="4"/>
        <w:keepNext w:val="0"/>
        <w:keepLines w:val="0"/>
        <w:pageBreakBefore w:val="0"/>
        <w:kinsoku/>
        <w:wordWrap/>
        <w:topLinePunct w:val="0"/>
        <w:autoSpaceDE/>
        <w:autoSpaceDN/>
        <w:bidi w:val="0"/>
        <w:spacing w:line="560" w:lineRule="exact"/>
        <w:textAlignment w:val="auto"/>
        <w:rPr>
          <w:rFonts w:hint="default"/>
          <w:spacing w:val="0"/>
          <w:lang w:val="en-US" w:eastAsia="zh-CN"/>
        </w:rPr>
      </w:pPr>
    </w:p>
    <w:p w14:paraId="4DDD22B8">
      <w:pPr>
        <w:pStyle w:val="5"/>
        <w:keepNext w:val="0"/>
        <w:keepLines w:val="0"/>
        <w:pageBreakBefore w:val="0"/>
        <w:kinsoku/>
        <w:wordWrap/>
        <w:topLinePunct w:val="0"/>
        <w:autoSpaceDE/>
        <w:autoSpaceDN/>
        <w:bidi w:val="0"/>
        <w:spacing w:line="560" w:lineRule="exact"/>
        <w:textAlignment w:val="auto"/>
        <w:rPr>
          <w:rFonts w:hint="default"/>
          <w:spacing w:val="0"/>
          <w:lang w:val="en-US" w:eastAsia="zh-CN"/>
        </w:rPr>
      </w:pPr>
    </w:p>
    <w:p w14:paraId="7BA2F91D">
      <w:pPr>
        <w:keepNext w:val="0"/>
        <w:keepLines w:val="0"/>
        <w:pageBreakBefore w:val="0"/>
        <w:kinsoku/>
        <w:wordWrap/>
        <w:topLinePunct w:val="0"/>
        <w:autoSpaceDE/>
        <w:autoSpaceDN/>
        <w:bidi w:val="0"/>
        <w:spacing w:line="560" w:lineRule="exact"/>
        <w:textAlignment w:val="auto"/>
        <w:rPr>
          <w:rFonts w:hint="default"/>
          <w:spacing w:val="0"/>
          <w:lang w:val="en-US" w:eastAsia="zh-CN"/>
        </w:rPr>
      </w:pPr>
    </w:p>
    <w:p w14:paraId="4011B340">
      <w:pPr>
        <w:pStyle w:val="4"/>
        <w:keepNext w:val="0"/>
        <w:keepLines w:val="0"/>
        <w:pageBreakBefore w:val="0"/>
        <w:kinsoku/>
        <w:wordWrap/>
        <w:topLinePunct w:val="0"/>
        <w:autoSpaceDE/>
        <w:autoSpaceDN/>
        <w:bidi w:val="0"/>
        <w:spacing w:line="560" w:lineRule="exact"/>
        <w:textAlignment w:val="auto"/>
        <w:rPr>
          <w:rFonts w:hint="default"/>
          <w:spacing w:val="0"/>
          <w:lang w:val="en-US" w:eastAsia="zh-CN"/>
        </w:rPr>
      </w:pPr>
    </w:p>
    <w:p w14:paraId="266AF328">
      <w:pPr>
        <w:pStyle w:val="5"/>
        <w:keepNext w:val="0"/>
        <w:keepLines w:val="0"/>
        <w:pageBreakBefore w:val="0"/>
        <w:kinsoku/>
        <w:wordWrap/>
        <w:topLinePunct w:val="0"/>
        <w:autoSpaceDE/>
        <w:autoSpaceDN/>
        <w:bidi w:val="0"/>
        <w:spacing w:line="560" w:lineRule="exact"/>
        <w:textAlignment w:val="auto"/>
        <w:rPr>
          <w:rFonts w:hint="default"/>
          <w:spacing w:val="0"/>
          <w:lang w:val="en-US" w:eastAsia="zh-CN"/>
        </w:rPr>
      </w:pPr>
    </w:p>
    <w:tbl>
      <w:tblPr>
        <w:tblStyle w:val="10"/>
        <w:tblpPr w:leftFromText="180" w:rightFromText="180" w:vertAnchor="text" w:horzAnchor="page" w:tblpX="1475" w:tblpY="9322"/>
        <w:tblOverlap w:val="never"/>
        <w:tblW w:w="0" w:type="auto"/>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9060"/>
      </w:tblGrid>
      <w:tr w14:paraId="25F2F4A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9060" w:type="dxa"/>
            <w:tcBorders>
              <w:top w:val="single" w:color="000000" w:sz="4" w:space="0"/>
              <w:left w:val="nil"/>
              <w:bottom w:val="single" w:color="000000" w:sz="4" w:space="0"/>
              <w:right w:val="nil"/>
            </w:tcBorders>
            <w:noWrap w:val="0"/>
            <w:vAlign w:val="top"/>
          </w:tcPr>
          <w:p w14:paraId="2236D44B">
            <w:pPr>
              <w:keepNext w:val="0"/>
              <w:keepLines w:val="0"/>
              <w:pageBreakBefore w:val="0"/>
              <w:widowControl w:val="0"/>
              <w:kinsoku/>
              <w:wordWrap/>
              <w:overflowPunct/>
              <w:topLinePunct w:val="0"/>
              <w:autoSpaceDE/>
              <w:autoSpaceDN/>
              <w:bidi w:val="0"/>
              <w:snapToGrid/>
              <w:spacing w:line="560" w:lineRule="exact"/>
              <w:ind w:firstLine="280" w:firstLineChars="100"/>
              <w:textAlignment w:val="auto"/>
              <w:rPr>
                <w:rStyle w:val="15"/>
                <w:rFonts w:ascii="Times New Roman" w:hAnsi="Times New Roman" w:eastAsia="仿宋_GB2312" w:cs="Times New Roman"/>
                <w:color w:val="auto"/>
                <w:spacing w:val="0"/>
                <w:sz w:val="32"/>
                <w:szCs w:val="28"/>
              </w:rPr>
            </w:pPr>
            <w:r>
              <w:rPr>
                <w:rStyle w:val="15"/>
                <w:rFonts w:ascii="Times New Roman" w:hAnsi="Times New Roman" w:eastAsia="仿宋_GB2312" w:cs="Times New Roman"/>
                <w:color w:val="auto"/>
                <w:spacing w:val="0"/>
                <w:sz w:val="28"/>
                <w:szCs w:val="28"/>
              </w:rPr>
              <w:t>起凤镇</w:t>
            </w:r>
            <w:r>
              <w:rPr>
                <w:rStyle w:val="15"/>
                <w:rFonts w:hint="eastAsia" w:ascii="Times New Roman" w:hAnsi="Times New Roman" w:eastAsia="仿宋_GB2312" w:cs="Times New Roman"/>
                <w:color w:val="auto"/>
                <w:spacing w:val="0"/>
                <w:sz w:val="28"/>
                <w:szCs w:val="28"/>
                <w:lang w:val="en-US"/>
              </w:rPr>
              <w:t>党政办公室</w:t>
            </w:r>
            <w:r>
              <w:rPr>
                <w:rStyle w:val="15"/>
                <w:rFonts w:ascii="Times New Roman" w:hAnsi="Times New Roman" w:eastAsia="仿宋_GB2312" w:cs="Times New Roman"/>
                <w:color w:val="auto"/>
                <w:spacing w:val="0"/>
                <w:sz w:val="28"/>
                <w:szCs w:val="28"/>
              </w:rPr>
              <w:t xml:space="preserve">           </w:t>
            </w:r>
            <w:r>
              <w:rPr>
                <w:rStyle w:val="15"/>
                <w:rFonts w:hint="eastAsia" w:ascii="Times New Roman" w:hAnsi="Times New Roman" w:eastAsia="仿宋_GB2312" w:cs="Times New Roman"/>
                <w:color w:val="auto"/>
                <w:spacing w:val="0"/>
                <w:sz w:val="28"/>
                <w:szCs w:val="28"/>
              </w:rPr>
              <w:t xml:space="preserve">        </w:t>
            </w:r>
            <w:r>
              <w:rPr>
                <w:rFonts w:hint="eastAsia" w:ascii="Times New Roman" w:hAnsi="Times New Roman" w:eastAsia="仿宋_GB2312" w:cs="Times New Roman"/>
                <w:color w:val="auto"/>
                <w:spacing w:val="0"/>
                <w:sz w:val="28"/>
                <w:szCs w:val="28"/>
              </w:rPr>
              <w:t xml:space="preserve">  </w:t>
            </w:r>
            <w:r>
              <w:rPr>
                <w:rFonts w:hint="eastAsia" w:ascii="Times New Roman" w:hAnsi="Times New Roman" w:eastAsia="仿宋_GB2312" w:cs="Times New Roman"/>
                <w:color w:val="auto"/>
                <w:spacing w:val="0"/>
                <w:sz w:val="28"/>
                <w:szCs w:val="28"/>
                <w:lang w:val="en-US" w:eastAsia="zh-CN"/>
              </w:rPr>
              <w:t xml:space="preserve">   </w:t>
            </w:r>
            <w:r>
              <w:rPr>
                <w:rFonts w:hint="eastAsia" w:ascii="Times New Roman" w:hAnsi="Times New Roman" w:eastAsia="仿宋_GB2312" w:cs="Times New Roman"/>
                <w:color w:val="auto"/>
                <w:spacing w:val="0"/>
                <w:sz w:val="28"/>
                <w:szCs w:val="28"/>
              </w:rPr>
              <w:t>202</w:t>
            </w:r>
            <w:r>
              <w:rPr>
                <w:rFonts w:hint="eastAsia" w:ascii="Times New Roman" w:hAnsi="Times New Roman" w:eastAsia="仿宋_GB2312" w:cs="Times New Roman"/>
                <w:color w:val="auto"/>
                <w:spacing w:val="0"/>
                <w:sz w:val="28"/>
                <w:szCs w:val="28"/>
                <w:lang w:val="en-US" w:eastAsia="zh-CN"/>
              </w:rPr>
              <w:t>5</w:t>
            </w:r>
            <w:r>
              <w:rPr>
                <w:rFonts w:hint="eastAsia" w:ascii="Times New Roman" w:hAnsi="Times New Roman" w:eastAsia="仿宋_GB2312" w:cs="Times New Roman"/>
                <w:color w:val="auto"/>
                <w:spacing w:val="0"/>
                <w:sz w:val="28"/>
                <w:szCs w:val="28"/>
              </w:rPr>
              <w:t>年</w:t>
            </w:r>
            <w:r>
              <w:rPr>
                <w:rFonts w:hint="eastAsia" w:ascii="Times New Roman" w:hAnsi="Times New Roman" w:cs="Times New Roman"/>
                <w:color w:val="auto"/>
                <w:spacing w:val="0"/>
                <w:sz w:val="28"/>
                <w:szCs w:val="28"/>
                <w:lang w:val="en-US" w:eastAsia="zh-CN"/>
              </w:rPr>
              <w:t>2</w:t>
            </w:r>
            <w:r>
              <w:rPr>
                <w:rFonts w:hint="eastAsia" w:ascii="Times New Roman" w:hAnsi="Times New Roman" w:eastAsia="仿宋_GB2312" w:cs="Times New Roman"/>
                <w:color w:val="auto"/>
                <w:spacing w:val="0"/>
                <w:sz w:val="28"/>
                <w:szCs w:val="28"/>
              </w:rPr>
              <w:t>月</w:t>
            </w:r>
            <w:r>
              <w:rPr>
                <w:rFonts w:hint="eastAsia" w:ascii="Times New Roman" w:hAnsi="Times New Roman" w:eastAsia="仿宋_GB2312" w:cs="Times New Roman"/>
                <w:color w:val="auto"/>
                <w:spacing w:val="0"/>
                <w:sz w:val="28"/>
                <w:szCs w:val="28"/>
                <w:lang w:val="en-US" w:eastAsia="zh-CN"/>
              </w:rPr>
              <w:t>14</w:t>
            </w:r>
            <w:r>
              <w:rPr>
                <w:rFonts w:hint="eastAsia" w:ascii="Times New Roman" w:hAnsi="Times New Roman" w:eastAsia="仿宋_GB2312" w:cs="Times New Roman"/>
                <w:color w:val="auto"/>
                <w:spacing w:val="0"/>
                <w:sz w:val="28"/>
                <w:szCs w:val="28"/>
              </w:rPr>
              <w:t>日印</w:t>
            </w:r>
            <w:r>
              <w:rPr>
                <w:rFonts w:hint="eastAsia" w:ascii="Times New Roman" w:hAnsi="Times New Roman" w:eastAsia="仿宋_GB2312" w:cs="Times New Roman"/>
                <w:color w:val="auto"/>
                <w:spacing w:val="0"/>
                <w:sz w:val="28"/>
                <w:szCs w:val="28"/>
                <w:lang w:eastAsia="zh-CN"/>
              </w:rPr>
              <w:t>发</w:t>
            </w:r>
            <w:r>
              <w:rPr>
                <w:rStyle w:val="15"/>
                <w:rFonts w:hint="eastAsia" w:ascii="Times New Roman" w:hAnsi="Times New Roman" w:eastAsia="仿宋_GB2312" w:cs="Times New Roman"/>
                <w:color w:val="auto"/>
                <w:spacing w:val="0"/>
                <w:sz w:val="28"/>
                <w:szCs w:val="28"/>
              </w:rPr>
              <w:t xml:space="preserve"> </w:t>
            </w:r>
          </w:p>
        </w:tc>
      </w:tr>
    </w:tbl>
    <w:p w14:paraId="5BD2DC30">
      <w:pPr>
        <w:keepNext w:val="0"/>
        <w:keepLines w:val="0"/>
        <w:pageBreakBefore w:val="0"/>
        <w:kinsoku/>
        <w:wordWrap/>
        <w:topLinePunct w:val="0"/>
        <w:autoSpaceDE/>
        <w:autoSpaceDN/>
        <w:bidi w:val="0"/>
        <w:spacing w:line="560" w:lineRule="exact"/>
        <w:textAlignment w:val="auto"/>
        <w:rPr>
          <w:rFonts w:hint="default"/>
          <w:spacing w:val="0"/>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0000600000000000000"/>
    <w:charset w:val="86"/>
    <w:family w:val="script"/>
    <w:pitch w:val="default"/>
    <w:sig w:usb0="800002BF" w:usb1="184F6CF8" w:usb2="00000012" w:usb3="00000000" w:csb0="00160001" w:csb1="1203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F68A40"/>
    <w:multiLevelType w:val="singleLevel"/>
    <w:tmpl w:val="7AF68A4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ZTI5YTY4MGJmYWIyMWRlNmUzYjc1YTFkYTBiMDUifQ=="/>
  </w:docVars>
  <w:rsids>
    <w:rsidRoot w:val="00172A27"/>
    <w:rsid w:val="00037D75"/>
    <w:rsid w:val="00172A27"/>
    <w:rsid w:val="003937B2"/>
    <w:rsid w:val="00533B1F"/>
    <w:rsid w:val="006F193F"/>
    <w:rsid w:val="00946262"/>
    <w:rsid w:val="009475EA"/>
    <w:rsid w:val="00A10D54"/>
    <w:rsid w:val="00A846CC"/>
    <w:rsid w:val="00AC5088"/>
    <w:rsid w:val="00D2177F"/>
    <w:rsid w:val="02B726F0"/>
    <w:rsid w:val="03DF1EFE"/>
    <w:rsid w:val="06800DFB"/>
    <w:rsid w:val="06865C24"/>
    <w:rsid w:val="086C7AD9"/>
    <w:rsid w:val="08813ADF"/>
    <w:rsid w:val="09306D58"/>
    <w:rsid w:val="0AB319EF"/>
    <w:rsid w:val="0C744161"/>
    <w:rsid w:val="0E4D215A"/>
    <w:rsid w:val="0E814C5D"/>
    <w:rsid w:val="0E8A515C"/>
    <w:rsid w:val="0ECF2B6F"/>
    <w:rsid w:val="0F6E062C"/>
    <w:rsid w:val="0F76748F"/>
    <w:rsid w:val="118063A3"/>
    <w:rsid w:val="11887FAB"/>
    <w:rsid w:val="135E407F"/>
    <w:rsid w:val="14E31122"/>
    <w:rsid w:val="1505553D"/>
    <w:rsid w:val="15133C98"/>
    <w:rsid w:val="1665304A"/>
    <w:rsid w:val="17516817"/>
    <w:rsid w:val="184243B2"/>
    <w:rsid w:val="19377C8F"/>
    <w:rsid w:val="198804EA"/>
    <w:rsid w:val="1AFC0627"/>
    <w:rsid w:val="1BB2184F"/>
    <w:rsid w:val="1C9F1DD3"/>
    <w:rsid w:val="1CBD04AB"/>
    <w:rsid w:val="1D7E7C3A"/>
    <w:rsid w:val="1DB273FF"/>
    <w:rsid w:val="1E556E6E"/>
    <w:rsid w:val="1E94348E"/>
    <w:rsid w:val="1EB41214"/>
    <w:rsid w:val="1EE61F3B"/>
    <w:rsid w:val="1F7A1E98"/>
    <w:rsid w:val="20D9162C"/>
    <w:rsid w:val="212F1E92"/>
    <w:rsid w:val="22A24BC5"/>
    <w:rsid w:val="24F5112A"/>
    <w:rsid w:val="251C027E"/>
    <w:rsid w:val="25DC7BF4"/>
    <w:rsid w:val="25FE400E"/>
    <w:rsid w:val="26E51F33"/>
    <w:rsid w:val="27353C36"/>
    <w:rsid w:val="275D6B12"/>
    <w:rsid w:val="28C24938"/>
    <w:rsid w:val="2999205D"/>
    <w:rsid w:val="2A1D3046"/>
    <w:rsid w:val="2B473D61"/>
    <w:rsid w:val="2D1C4D7A"/>
    <w:rsid w:val="2E3D144C"/>
    <w:rsid w:val="2E5C5D76"/>
    <w:rsid w:val="30654C8A"/>
    <w:rsid w:val="30C83C4B"/>
    <w:rsid w:val="31466AED"/>
    <w:rsid w:val="33095DA0"/>
    <w:rsid w:val="3361798A"/>
    <w:rsid w:val="355D3446"/>
    <w:rsid w:val="37092813"/>
    <w:rsid w:val="3787198A"/>
    <w:rsid w:val="38A40429"/>
    <w:rsid w:val="38A5656B"/>
    <w:rsid w:val="3979376A"/>
    <w:rsid w:val="3A704957"/>
    <w:rsid w:val="3B5E01C7"/>
    <w:rsid w:val="3B855DF0"/>
    <w:rsid w:val="3BCE17D3"/>
    <w:rsid w:val="3D5B4B88"/>
    <w:rsid w:val="3DBE572B"/>
    <w:rsid w:val="3E630A5B"/>
    <w:rsid w:val="3EC40166"/>
    <w:rsid w:val="3EC944F2"/>
    <w:rsid w:val="4047615A"/>
    <w:rsid w:val="40D70587"/>
    <w:rsid w:val="40E67721"/>
    <w:rsid w:val="4255690C"/>
    <w:rsid w:val="42BA2C13"/>
    <w:rsid w:val="436B215F"/>
    <w:rsid w:val="43D16466"/>
    <w:rsid w:val="43E4263E"/>
    <w:rsid w:val="442073EE"/>
    <w:rsid w:val="44303A40"/>
    <w:rsid w:val="44607A6E"/>
    <w:rsid w:val="448917EC"/>
    <w:rsid w:val="45837C34"/>
    <w:rsid w:val="45AA4A3B"/>
    <w:rsid w:val="45EE6B34"/>
    <w:rsid w:val="47502091"/>
    <w:rsid w:val="479B1265"/>
    <w:rsid w:val="49517AAE"/>
    <w:rsid w:val="49EE4955"/>
    <w:rsid w:val="4C2F01CE"/>
    <w:rsid w:val="4DC50824"/>
    <w:rsid w:val="4DE84AD8"/>
    <w:rsid w:val="4E433CEC"/>
    <w:rsid w:val="4EC4148D"/>
    <w:rsid w:val="4F3B50DC"/>
    <w:rsid w:val="4F644633"/>
    <w:rsid w:val="508C6144"/>
    <w:rsid w:val="50903205"/>
    <w:rsid w:val="50E0418D"/>
    <w:rsid w:val="51A3265F"/>
    <w:rsid w:val="52013097"/>
    <w:rsid w:val="5342607F"/>
    <w:rsid w:val="55B25EAF"/>
    <w:rsid w:val="56DB6858"/>
    <w:rsid w:val="56F11165"/>
    <w:rsid w:val="57A9177C"/>
    <w:rsid w:val="584F78C3"/>
    <w:rsid w:val="58F67150"/>
    <w:rsid w:val="590110ED"/>
    <w:rsid w:val="59605E6B"/>
    <w:rsid w:val="59686735"/>
    <w:rsid w:val="5A522B6B"/>
    <w:rsid w:val="5AD14B46"/>
    <w:rsid w:val="5B264E92"/>
    <w:rsid w:val="5B8F47E5"/>
    <w:rsid w:val="5BE663CF"/>
    <w:rsid w:val="5C272A39"/>
    <w:rsid w:val="5C6A3B3C"/>
    <w:rsid w:val="5CA7745A"/>
    <w:rsid w:val="5E653F23"/>
    <w:rsid w:val="5FD10DCB"/>
    <w:rsid w:val="6118527D"/>
    <w:rsid w:val="62911659"/>
    <w:rsid w:val="64520AA6"/>
    <w:rsid w:val="64CD45D0"/>
    <w:rsid w:val="65913850"/>
    <w:rsid w:val="65EC3B68"/>
    <w:rsid w:val="662621EA"/>
    <w:rsid w:val="66877A2A"/>
    <w:rsid w:val="66E75B7F"/>
    <w:rsid w:val="670E33AA"/>
    <w:rsid w:val="67564D51"/>
    <w:rsid w:val="680C6878"/>
    <w:rsid w:val="689E1590"/>
    <w:rsid w:val="68A43010"/>
    <w:rsid w:val="68AB3AA2"/>
    <w:rsid w:val="6AC344AB"/>
    <w:rsid w:val="6C6A78D2"/>
    <w:rsid w:val="6CA16A6E"/>
    <w:rsid w:val="6CBA18DE"/>
    <w:rsid w:val="6CF97369"/>
    <w:rsid w:val="6D394EF9"/>
    <w:rsid w:val="6D3D38FD"/>
    <w:rsid w:val="6D3F5403"/>
    <w:rsid w:val="6E6C3273"/>
    <w:rsid w:val="6E9A6F4A"/>
    <w:rsid w:val="6EEF1D13"/>
    <w:rsid w:val="6EF07839"/>
    <w:rsid w:val="6F265009"/>
    <w:rsid w:val="6FD76DC9"/>
    <w:rsid w:val="72BD7D3E"/>
    <w:rsid w:val="73880603"/>
    <w:rsid w:val="74D86DA5"/>
    <w:rsid w:val="74EE0377"/>
    <w:rsid w:val="74F63790"/>
    <w:rsid w:val="75324E73"/>
    <w:rsid w:val="76BB697E"/>
    <w:rsid w:val="791660EE"/>
    <w:rsid w:val="7A911ED0"/>
    <w:rsid w:val="7ABE2599"/>
    <w:rsid w:val="7AED26A2"/>
    <w:rsid w:val="7CE54755"/>
    <w:rsid w:val="7E436417"/>
    <w:rsid w:val="7F376E3B"/>
    <w:rsid w:val="7F7D3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widowControl/>
      <w:jc w:val="left"/>
      <w:outlineLvl w:val="0"/>
    </w:pPr>
    <w:rPr>
      <w:b/>
      <w:bCs/>
      <w:kern w:val="44"/>
      <w:sz w:val="44"/>
      <w:szCs w:val="44"/>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Body Text"/>
    <w:basedOn w:val="1"/>
    <w:next w:val="5"/>
    <w:autoRedefine/>
    <w:qFormat/>
    <w:uiPriority w:val="0"/>
    <w:pPr>
      <w:jc w:val="center"/>
    </w:pPr>
    <w:rPr>
      <w:rFonts w:ascii="宋体" w:hAnsi="Times New Roman" w:eastAsia="宋体" w:cs="Times New Roman"/>
      <w:sz w:val="44"/>
    </w:rPr>
  </w:style>
  <w:style w:type="paragraph" w:styleId="5">
    <w:name w:val="Body Text First Indent 2"/>
    <w:basedOn w:val="6"/>
    <w:next w:val="1"/>
    <w:autoRedefine/>
    <w:qFormat/>
    <w:uiPriority w:val="0"/>
    <w:pPr>
      <w:ind w:firstLine="420"/>
    </w:pPr>
  </w:style>
  <w:style w:type="paragraph" w:styleId="6">
    <w:name w:val="Body Text Indent"/>
    <w:basedOn w:val="1"/>
    <w:autoRedefine/>
    <w:qFormat/>
    <w:uiPriority w:val="0"/>
    <w:pPr>
      <w:spacing w:line="360" w:lineRule="auto"/>
      <w:ind w:firstLine="480" w:firstLineChars="200"/>
    </w:pPr>
    <w:rPr>
      <w:rFonts w:ascii="幼圆" w:hAnsi="Tahoma" w:eastAsia="幼圆" w:cs="Tahoma"/>
      <w:sz w:val="24"/>
      <w:szCs w:val="28"/>
    </w:rPr>
  </w:style>
  <w:style w:type="paragraph" w:styleId="7">
    <w:name w:val="footer"/>
    <w:basedOn w:val="1"/>
    <w:autoRedefine/>
    <w:unhideWhenUsed/>
    <w:qFormat/>
    <w:uiPriority w:val="99"/>
    <w:pPr>
      <w:tabs>
        <w:tab w:val="center" w:pos="4153"/>
        <w:tab w:val="right" w:pos="8306"/>
      </w:tabs>
      <w:snapToGrid w:val="0"/>
      <w:jc w:val="left"/>
    </w:pPr>
    <w:rPr>
      <w:sz w:val="18"/>
      <w:szCs w:val="24"/>
    </w:rPr>
  </w:style>
  <w:style w:type="paragraph" w:styleId="8">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widowControl/>
      <w:spacing w:before="100" w:beforeLines="0" w:beforeAutospacing="1" w:after="100" w:afterLines="0" w:afterAutospacing="1"/>
      <w:jc w:val="left"/>
    </w:pPr>
    <w:rPr>
      <w:kern w:val="0"/>
      <w:sz w:val="24"/>
    </w:rPr>
  </w:style>
  <w:style w:type="paragraph" w:customStyle="1" w:styleId="12">
    <w:name w:val="正文 New New New New New New New New New New New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3">
    <w:name w:val="页眉 Char"/>
    <w:basedOn w:val="11"/>
    <w:link w:val="8"/>
    <w:autoRedefine/>
    <w:qFormat/>
    <w:uiPriority w:val="0"/>
    <w:rPr>
      <w:rFonts w:ascii="Calibri" w:hAnsi="Calibri" w:eastAsia="宋体" w:cs="Times New Roman"/>
      <w:kern w:val="2"/>
      <w:sz w:val="18"/>
      <w:szCs w:val="18"/>
    </w:rPr>
  </w:style>
  <w:style w:type="paragraph" w:styleId="14">
    <w:name w:val="List Paragraph"/>
    <w:basedOn w:val="1"/>
    <w:autoRedefine/>
    <w:unhideWhenUsed/>
    <w:qFormat/>
    <w:uiPriority w:val="99"/>
    <w:pPr>
      <w:ind w:firstLine="420" w:firstLineChars="200"/>
    </w:pPr>
  </w:style>
  <w:style w:type="character" w:customStyle="1" w:styleId="15">
    <w:name w:val="NormalCharacter"/>
    <w:autoRedefine/>
    <w:qFormat/>
    <w:uiPriority w:val="0"/>
    <w:rPr>
      <w:rFonts w:ascii="Calibri" w:hAnsi="Calibri" w:eastAsia="仿宋_GB2312"/>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3502</Words>
  <Characters>3570</Characters>
  <Lines>16</Lines>
  <Paragraphs>4</Paragraphs>
  <TotalTime>1</TotalTime>
  <ScaleCrop>false</ScaleCrop>
  <LinksUpToDate>false</LinksUpToDate>
  <CharactersWithSpaces>3655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2022-10-25T09:30:00Z</dcterms:created>
  <dc:creator>Administrator</dc:creator>
  <cp:lastModifiedBy>德鲁二叔田哲坤</cp:lastModifiedBy>
  <cp:lastPrinted>2024-03-13T07:44:00Z</cp:lastPrinted>
  <dcterms:modified xsi:type="dcterms:W3CDTF">2025-02-14T06:01:17Z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FD07DA595E844787855C1D46AD843956_13</vt:lpwstr>
  </property>
  <property fmtid="{D5CDD505-2E9C-101B-9397-08002B2CF9AE}" pid="4" name="KSOTemplateDocerSaveRecord">
    <vt:lpwstr>eyJoZGlkIjoiYzk0ZTFhNDI0YmNlMzRlNzg4YjhmMTUxMGE5NjNlY2EiLCJ1c2VySWQiOiI0ODMzNTgyNzQifQ==</vt:lpwstr>
  </property>
</Properties>
</file>