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桓台县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起凤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镇人民政府2019年度政府信息公开工作年度报告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在县委、县政府的正确领导及县政府信息公开领导小组的直接指导下，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起凤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镇人民政府坚持以习近平新时代中国特色社会主义思想为指引，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严格按照《中华人民共和国政府信息公开条例》和《山东省政府信息公开办法》相关规定，认真落实政务公开工作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内容涵盖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起凤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镇政府2019年1月1日至12月31日期间的政府信息公开工作情况。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一是加强领导，信息公开推进有序。我镇严格按照《政府信息公开条例》，层层分解任务，全面落实重点工作，平稳有序地推进政府信息公开工作。根据人事变动，及时调整充实政务信息工作领导小组，全面负责做好政务公开工作的督促和指导工作。进一步明确了政务信息公开的基本原则和工作规范。积极组织深入学习《中华人民共和国政府信息公开条例》和政务公开工作的相关文件精神，在强化思想认识的同时，全面提升业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二是规范程序，信息公开严格把关。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格落实信息公开审核制度，严把公开内容，规范公开流程，充分保证了信息发布的全面性、准确性和规范性。严格对照年度任务，聚焦三大攻坚战、重点民生领域等社会最敏感、反映最强烈的热点问题及时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三是不断拓宽公开渠道，积极通过党务政务公开栏张贴通知、公告，依托“情系起凤”微信公众号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15"/>
          <w:sz w:val="31"/>
          <w:szCs w:val="31"/>
          <w:shd w:val="clear" w:fill="FFFFFF"/>
        </w:rPr>
        <w:t>来宣传镇域工作动态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等方式推进信息公开，全力保障群众的知情权、参与权。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980"/>
        <w:gridCol w:w="202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公开数量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本年增</w:t>
            </w:r>
            <w:r>
              <w:rPr>
                <w:rFonts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本年增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本年增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295"/>
        <w:gridCol w:w="2591"/>
        <w:gridCol w:w="15"/>
        <w:gridCol w:w="549"/>
        <w:gridCol w:w="14"/>
        <w:gridCol w:w="592"/>
        <w:gridCol w:w="621"/>
        <w:gridCol w:w="650"/>
        <w:gridCol w:w="722"/>
        <w:gridCol w:w="793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4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自然人</w:t>
            </w:r>
          </w:p>
        </w:tc>
        <w:tc>
          <w:tcPr>
            <w:tcW w:w="34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法人或其他组织</w:t>
            </w:r>
          </w:p>
        </w:tc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4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商业企业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科研机构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社会公益组织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法律服务机构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三、本年度办理结果</w:t>
            </w: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（一）予以公开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（三）不予公开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1．属于国家秘密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3．危及“三安全一稳定”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4．保护第三方合法权益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5．属于三类内部事务信息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6．属于四类过程性信息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7．属于行政执法案卷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8．属于行政查询事项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（四）无法提供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（五）不予处理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1．信访举报投诉类申请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2．重复申请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3．要求提供公开出版物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（六）其他处理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（七）总计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四、结转下年度继续办理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四．政府信息公开行政复议、行政诉讼情况</w:t>
      </w:r>
    </w:p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585"/>
        <w:gridCol w:w="705"/>
        <w:gridCol w:w="675"/>
        <w:gridCol w:w="510"/>
        <w:gridCol w:w="705"/>
        <w:gridCol w:w="705"/>
        <w:gridCol w:w="705"/>
        <w:gridCol w:w="705"/>
        <w:gridCol w:w="510"/>
        <w:gridCol w:w="780"/>
        <w:gridCol w:w="675"/>
        <w:gridCol w:w="735"/>
        <w:gridCol w:w="705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行政复议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33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未经复议直接起诉</w:t>
            </w:r>
          </w:p>
        </w:tc>
        <w:tc>
          <w:tcPr>
            <w:tcW w:w="3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（一）存在问题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1.对政务公开工作的重要性还未认识到位，日常工作中为民服务的重心依旧放在完善本职工作上，专职工作机构有待健全。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2.公开内容比较简单，公开面还不够广，有时公开连续性不强，不忙，部门公开栏目更新较为迟缓。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3.政务公开的重点不够突出、不够全面，信息质量有待提高。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进一步健全制度。不断健全完善政府信息和政务公开工作机制，建立和完善政府公共信息平台，加大网上公开的力度，增加政务公开和政府信息的公开面，努力为人民群众提供公开、快捷、透明、高效的公共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2.提升信息公开质量。严格按照上级部门安排部署，进一步提高业务公开能力和水平，自上而下压实传导政务公开工作责任，推进村居规范标准公开，以点带面，全面推进政府信息公开工作上新台阶。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3.加大督促检查力度。不断强化政府公开工作的督导检查，认真查找和分析不足，及时发现解决，切实促进信息公开工作规范有序进行。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315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71C1"/>
    <w:rsid w:val="079A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2020-06-17T07:34:00Z</dcterms:created>
  <dc:creator>Administrator</dc:creator>
  <cp:lastModifiedBy>提拉米苏</cp:lastModifiedBy>
  <dcterms:modified xsi:type="dcterms:W3CDTF">2020-06-17T07:51:23Z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