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kern w:val="0"/>
          <w:sz w:val="44"/>
          <w:szCs w:val="44"/>
          <w:lang w:val="en-US" w:eastAsia="zh-CN" w:bidi="ar"/>
        </w:rPr>
        <w:t>桓台县起凤镇人民政府2017年度政府信息公开工作年度报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kern w:val="0"/>
          <w:sz w:val="44"/>
          <w:szCs w:val="44"/>
          <w:lang w:val="en-US" w:eastAsia="zh-CN" w:bidi="ar"/>
        </w:rPr>
        <w:t>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根据《中华人民共和国政府信息公开条例》和省、市、县政府信息公开工作的统一部署和要求，我镇大力推进政府信息公开机构建设，不断规范政府信息公开制度，提高政府信息水平，结合我镇政务信息公开情况，现公布2017年政府信息公开工作年度报告。本报告由概述、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建立健全政府信息公开工作队伍、完善政府信息公开配套制度、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主动公开政府信息情况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及抓好政府信息公开载体建设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、依申请公开政府信息情况、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政府信息公开的收费及减免情况、政府信息公开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工作存在的主要问题及改进措施等组成。本报告中所列数据的统计期限自2017年1月1日起至2017年12月31日止。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 </w:t>
      </w: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  <w:t>  </w:t>
      </w: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  <w:t>一、概述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起凤镇政府高度重视政府信息公开工作，按照县委、县政府的统一部署，加强组织领导，健全工作机制，认真贯彻《中华人民共和国政府信息公开条例》的各项要求，落实专门人员认真学习，并展开工作，依据参考文本，对政府信息公开内容进行认真修正和梳理，同时，突出公开重点，丰富公开形式，规范处置程序，促进政府信息公开工作规范、有序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  <w:t>二、建立健全政府信息公开工作队伍、完善政府信息公开配套制度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　　我镇指定了专门机构、人员负责该项工作，并将督查情况与各村(居)月考核、年终考核等次挂钩。不断强化工作职能，明确公开责任，确保信息公开工作深入推进。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   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  <w:t>三、主动公开政府信息情况及抓好政府信息公开载体建设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主动公开政府信息的数量。2017年共发布各类信息207条，其中，工作动态类信息171条，占83%；机构设置类信息15条，占7%；其他主动公开的信息21条，占10%。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lang w:val="en-US" w:eastAsia="zh-CN"/>
        </w:rPr>
        <w:t xml:space="preserve">   二是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利用政府宣传栏和村政务公开栏将政府信息公开工作进行有机结合，极大提高了政府信息公开的效率，便于居民及时查阅相关信息、申请办理相关事项。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不断优化便民服务中心环境，全年接待公众数25300人次。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  <w:t>四、依申请公开政府信息情况</w:t>
      </w: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   2017年，我镇未接到政府信息公开申请。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  <w:t>五、政府信息公开的收费及减免情况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　　我镇认真按照《条例》的规定公开政府信息，在2017年期间未向公民、法人和其他组织收取任何与政府信息公开工作相关的费用。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  </w:t>
      </w: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  <w:t>六、因政府信息公开申请行政复议、行政诉讼的情况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　　我镇严格按照《条例》的规定公开政府信息，在2017年期间没有因政府信息公开申请行政复议、诉讼和申诉的情况发生。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  <w:t>　七、政府信息公开工作存在的主要问题及改进措施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i w:val="0"/>
          <w:caps w:val="0"/>
          <w:color w:val="3D3D3D"/>
          <w:spacing w:val="0"/>
          <w:sz w:val="32"/>
          <w:szCs w:val="32"/>
        </w:rPr>
        <w:t>（一）工作中存在的主要问题和困难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　　一是信息公开面对社会宣传力度不够，政府信息公开内容不够丰富、公开形式过于单一、公开数量较少。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    二是工作机制还不是十分完善，政府信息公开意识、主动性和时效性还不够。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i w:val="0"/>
          <w:caps w:val="0"/>
          <w:color w:val="3D3D3D"/>
          <w:spacing w:val="0"/>
          <w:sz w:val="32"/>
          <w:szCs w:val="32"/>
        </w:rPr>
        <w:t>（二）具体的解决办法和改进措施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进一步拓宽政府信息公开渠道。利用多种媒体和宣传渠道发布公开信息，深入群众，加大“情系起凤”微信公众号推广力度，向社会和广大群众深入宣传政府信息公开工作，努力形成干部认真抓好政府信息公开、群众积极关心政府信息公开的社会氛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继续建立和完善政府信息公开工作制度，落实信息公开工作目标责任制，进一步促进信息公开工作走上制度化、规范化的健康发展轨道。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加强组织协调，推进政府信息及时全面公开。并抓好信息公开载体建设，对镇干部要进一步组织培训工作，使我镇的信息公开工作水平上一个更高的台阶，不断提高政务公开工作的质量和服务水平。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1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2020-06-17T09:23:43Z</dcterms:created>
  <dc:creator>Administrator</dc:creator>
  <cp:lastModifiedBy>提拉米苏</cp:lastModifiedBy>
  <dcterms:modified xsi:type="dcterms:W3CDTF">2020-06-17T09:26:23Z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