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中国人民政治协商会议</w:t>
      </w: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桓台县第十五届委员会第一次会议</w:t>
      </w: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提案</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第151126号</w:t>
      </w:r>
    </w:p>
    <w:p>
      <w:pPr>
        <w:jc w:val="center"/>
        <w:rPr>
          <w:rFonts w:hint="eastAsia" w:ascii="宋体" w:hAnsi="宋体" w:eastAsia="宋体" w:cs="宋体"/>
          <w:sz w:val="28"/>
          <w:szCs w:val="28"/>
          <w:lang w:val="en-US" w:eastAsia="zh-CN"/>
        </w:rPr>
      </w:pPr>
    </w:p>
    <w:p>
      <w:pPr>
        <w:pBdr>
          <w:top w:val="single" w:color="auto" w:sz="4" w:space="0"/>
          <w:bottom w:val="single" w:color="auto" w:sz="4" w:space="0"/>
        </w:pBd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案由：关于减少经验型人才流失，促进高端产业发展的建议</w:t>
      </w:r>
    </w:p>
    <w:tbl>
      <w:tblPr>
        <w:tblStyle w:val="3"/>
        <w:tblpPr w:leftFromText="180" w:rightFromText="180" w:vertAnchor="text" w:horzAnchor="page" w:tblpX="1830" w:tblpY="1242"/>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提案者</w:t>
            </w:r>
          </w:p>
        </w:tc>
        <w:tc>
          <w:tcPr>
            <w:tcW w:w="2841" w:type="dxa"/>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单位及通讯地址</w:t>
            </w:r>
          </w:p>
        </w:tc>
        <w:tc>
          <w:tcPr>
            <w:tcW w:w="2841" w:type="dxa"/>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联系电话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任联洲</w:t>
            </w:r>
          </w:p>
        </w:tc>
        <w:tc>
          <w:tcPr>
            <w:tcW w:w="2841" w:type="dxa"/>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淄博市生态环境局桓台分局</w:t>
            </w:r>
          </w:p>
        </w:tc>
        <w:tc>
          <w:tcPr>
            <w:tcW w:w="2841" w:type="dxa"/>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13853314996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宋体" w:hAnsi="宋体" w:eastAsia="宋体" w:cs="宋体"/>
                <w:sz w:val="28"/>
                <w:szCs w:val="28"/>
                <w:vertAlign w:val="baseline"/>
                <w:lang w:val="en-US" w:eastAsia="zh-CN"/>
              </w:rPr>
            </w:pPr>
          </w:p>
        </w:tc>
        <w:tc>
          <w:tcPr>
            <w:tcW w:w="2841" w:type="dxa"/>
          </w:tcPr>
          <w:p>
            <w:pPr>
              <w:jc w:val="center"/>
              <w:rPr>
                <w:rFonts w:hint="default" w:ascii="宋体" w:hAnsi="宋体" w:eastAsia="宋体" w:cs="宋体"/>
                <w:sz w:val="28"/>
                <w:szCs w:val="28"/>
                <w:vertAlign w:val="baseline"/>
                <w:lang w:val="en-US" w:eastAsia="zh-CN"/>
              </w:rPr>
            </w:pPr>
          </w:p>
        </w:tc>
        <w:tc>
          <w:tcPr>
            <w:tcW w:w="2841" w:type="dxa"/>
          </w:tcPr>
          <w:p>
            <w:pPr>
              <w:jc w:val="center"/>
              <w:rPr>
                <w:rFonts w:hint="default" w:ascii="宋体" w:hAnsi="宋体" w:eastAsia="宋体" w:cs="宋体"/>
                <w:sz w:val="28"/>
                <w:szCs w:val="28"/>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宋体" w:hAnsi="宋体" w:eastAsia="宋体" w:cs="宋体"/>
                <w:sz w:val="28"/>
                <w:szCs w:val="28"/>
                <w:vertAlign w:val="baseline"/>
                <w:lang w:val="en-US" w:eastAsia="zh-CN"/>
              </w:rPr>
            </w:pPr>
          </w:p>
        </w:tc>
        <w:tc>
          <w:tcPr>
            <w:tcW w:w="2841" w:type="dxa"/>
          </w:tcPr>
          <w:p>
            <w:pPr>
              <w:jc w:val="center"/>
              <w:rPr>
                <w:rFonts w:hint="default" w:ascii="宋体" w:hAnsi="宋体" w:eastAsia="宋体" w:cs="宋体"/>
                <w:sz w:val="28"/>
                <w:szCs w:val="28"/>
                <w:vertAlign w:val="baseline"/>
                <w:lang w:val="en-US" w:eastAsia="zh-CN"/>
              </w:rPr>
            </w:pPr>
          </w:p>
        </w:tc>
        <w:tc>
          <w:tcPr>
            <w:tcW w:w="2841" w:type="dxa"/>
          </w:tcPr>
          <w:p>
            <w:pPr>
              <w:jc w:val="center"/>
              <w:rPr>
                <w:rFonts w:hint="default" w:ascii="宋体" w:hAnsi="宋体" w:eastAsia="宋体" w:cs="宋体"/>
                <w:sz w:val="28"/>
                <w:szCs w:val="28"/>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宋体" w:hAnsi="宋体" w:eastAsia="宋体" w:cs="宋体"/>
                <w:sz w:val="28"/>
                <w:szCs w:val="28"/>
                <w:vertAlign w:val="baseline"/>
                <w:lang w:val="en-US" w:eastAsia="zh-CN"/>
              </w:rPr>
            </w:pPr>
          </w:p>
        </w:tc>
        <w:tc>
          <w:tcPr>
            <w:tcW w:w="2841" w:type="dxa"/>
          </w:tcPr>
          <w:p>
            <w:pPr>
              <w:jc w:val="center"/>
              <w:rPr>
                <w:rFonts w:hint="default" w:ascii="宋体" w:hAnsi="宋体" w:eastAsia="宋体" w:cs="宋体"/>
                <w:sz w:val="28"/>
                <w:szCs w:val="28"/>
                <w:vertAlign w:val="baseline"/>
                <w:lang w:val="en-US" w:eastAsia="zh-CN"/>
              </w:rPr>
            </w:pPr>
          </w:p>
        </w:tc>
        <w:tc>
          <w:tcPr>
            <w:tcW w:w="2841" w:type="dxa"/>
          </w:tcPr>
          <w:p>
            <w:pPr>
              <w:jc w:val="center"/>
              <w:rPr>
                <w:rFonts w:hint="default" w:ascii="宋体" w:hAnsi="宋体" w:eastAsia="宋体" w:cs="宋体"/>
                <w:sz w:val="28"/>
                <w:szCs w:val="28"/>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宋体" w:hAnsi="宋体" w:eastAsia="宋体" w:cs="宋体"/>
                <w:sz w:val="28"/>
                <w:szCs w:val="28"/>
                <w:vertAlign w:val="baseline"/>
                <w:lang w:val="en-US" w:eastAsia="zh-CN"/>
              </w:rPr>
            </w:pPr>
          </w:p>
        </w:tc>
        <w:tc>
          <w:tcPr>
            <w:tcW w:w="2841" w:type="dxa"/>
          </w:tcPr>
          <w:p>
            <w:pPr>
              <w:jc w:val="center"/>
              <w:rPr>
                <w:rFonts w:hint="default" w:ascii="宋体" w:hAnsi="宋体" w:eastAsia="宋体" w:cs="宋体"/>
                <w:sz w:val="28"/>
                <w:szCs w:val="28"/>
                <w:vertAlign w:val="baseline"/>
                <w:lang w:val="en-US" w:eastAsia="zh-CN"/>
              </w:rPr>
            </w:pPr>
          </w:p>
        </w:tc>
        <w:tc>
          <w:tcPr>
            <w:tcW w:w="2841" w:type="dxa"/>
          </w:tcPr>
          <w:p>
            <w:pPr>
              <w:jc w:val="center"/>
              <w:rPr>
                <w:rFonts w:hint="default" w:ascii="宋体" w:hAnsi="宋体" w:eastAsia="宋体" w:cs="宋体"/>
                <w:sz w:val="28"/>
                <w:szCs w:val="28"/>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宋体" w:hAnsi="宋体" w:eastAsia="宋体" w:cs="宋体"/>
                <w:sz w:val="28"/>
                <w:szCs w:val="28"/>
                <w:vertAlign w:val="baseline"/>
                <w:lang w:val="en-US" w:eastAsia="zh-CN"/>
              </w:rPr>
            </w:pPr>
          </w:p>
        </w:tc>
        <w:tc>
          <w:tcPr>
            <w:tcW w:w="2841" w:type="dxa"/>
          </w:tcPr>
          <w:p>
            <w:pPr>
              <w:jc w:val="center"/>
              <w:rPr>
                <w:rFonts w:hint="default" w:ascii="宋体" w:hAnsi="宋体" w:eastAsia="宋体" w:cs="宋体"/>
                <w:sz w:val="28"/>
                <w:szCs w:val="28"/>
                <w:vertAlign w:val="baseline"/>
                <w:lang w:val="en-US" w:eastAsia="zh-CN"/>
              </w:rPr>
            </w:pPr>
          </w:p>
        </w:tc>
        <w:tc>
          <w:tcPr>
            <w:tcW w:w="2841" w:type="dxa"/>
          </w:tcPr>
          <w:p>
            <w:pPr>
              <w:jc w:val="center"/>
              <w:rPr>
                <w:rFonts w:hint="default" w:ascii="宋体" w:hAnsi="宋体" w:eastAsia="宋体" w:cs="宋体"/>
                <w:sz w:val="28"/>
                <w:szCs w:val="28"/>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宋体" w:hAnsi="宋体" w:eastAsia="宋体" w:cs="宋体"/>
                <w:sz w:val="28"/>
                <w:szCs w:val="28"/>
                <w:vertAlign w:val="baseline"/>
                <w:lang w:val="en-US" w:eastAsia="zh-CN"/>
              </w:rPr>
            </w:pPr>
          </w:p>
        </w:tc>
        <w:tc>
          <w:tcPr>
            <w:tcW w:w="2841" w:type="dxa"/>
          </w:tcPr>
          <w:p>
            <w:pPr>
              <w:jc w:val="center"/>
              <w:rPr>
                <w:rFonts w:hint="default" w:ascii="宋体" w:hAnsi="宋体" w:eastAsia="宋体" w:cs="宋体"/>
                <w:sz w:val="28"/>
                <w:szCs w:val="28"/>
                <w:vertAlign w:val="baseline"/>
                <w:lang w:val="en-US" w:eastAsia="zh-CN"/>
              </w:rPr>
            </w:pPr>
          </w:p>
        </w:tc>
        <w:tc>
          <w:tcPr>
            <w:tcW w:w="2841" w:type="dxa"/>
          </w:tcPr>
          <w:p>
            <w:pPr>
              <w:jc w:val="center"/>
              <w:rPr>
                <w:rFonts w:hint="default" w:ascii="宋体" w:hAnsi="宋体" w:eastAsia="宋体" w:cs="宋体"/>
                <w:sz w:val="28"/>
                <w:szCs w:val="28"/>
                <w:vertAlign w:val="baseline"/>
                <w:lang w:val="en-US" w:eastAsia="zh-CN"/>
              </w:rPr>
            </w:pPr>
          </w:p>
        </w:tc>
      </w:tr>
    </w:tbl>
    <w:p>
      <w:pPr>
        <w:jc w:val="center"/>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p>
    <w:p>
      <w:pPr>
        <w:jc w:val="left"/>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理由:</w:t>
      </w:r>
      <w:r>
        <w:rPr>
          <w:rFonts w:hint="eastAsia" w:ascii="宋体" w:hAnsi="宋体" w:eastAsia="宋体" w:cs="宋体"/>
          <w:sz w:val="28"/>
          <w:szCs w:val="28"/>
          <w:lang w:val="en-US" w:eastAsia="zh-CN"/>
        </w:rPr>
        <w:t>新旧动能转换、产业优化升级对高校毕业生和技能人才的需求越来越紧迫，校企合作过程中普遍存在沟通不畅和缺乏平台的困境，企业吸引高效毕业生能力有限，高校毕业生来桓留桓意愿低。</w:t>
      </w:r>
    </w:p>
    <w:p>
      <w:pPr>
        <w:jc w:val="left"/>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建议和办法:</w:t>
      </w:r>
      <w:r>
        <w:rPr>
          <w:rFonts w:hint="eastAsia" w:ascii="宋体" w:hAnsi="宋体" w:eastAsia="宋体" w:cs="宋体"/>
          <w:sz w:val="28"/>
          <w:szCs w:val="28"/>
          <w:lang w:val="en-US" w:eastAsia="zh-CN"/>
        </w:rPr>
        <w:t>1、构建校企人才交流机制，帮助企业和高校开展高校教师到企业挂职副总和企业高级管理人员到高校辅导员的双向交流。</w:t>
      </w:r>
    </w:p>
    <w:p>
      <w:p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2、通过高校挂职副总和企</w:t>
      </w:r>
      <w:bookmarkStart w:id="0" w:name="_GoBack"/>
      <w:bookmarkEnd w:id="0"/>
      <w:r>
        <w:rPr>
          <w:rFonts w:hint="eastAsia" w:ascii="宋体" w:hAnsi="宋体" w:eastAsia="宋体" w:cs="宋体"/>
          <w:sz w:val="28"/>
          <w:szCs w:val="28"/>
          <w:lang w:val="en-US" w:eastAsia="zh-CN"/>
        </w:rPr>
        <w:t>业挂职辅导员的对接、协调作用，组织学生到企业顶岗实习、跟岗实习,提高学生对企业的认可度。</w:t>
      </w:r>
    </w:p>
    <w:p>
      <w:p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3、通过校企人才交流的紧密，增加高校高端人才对企业的了解和认可，提高高端人才到企业任职工作的意愿,进一步提高企业人才竞争力和科技竞争力。</w:t>
      </w:r>
    </w:p>
    <w:p>
      <w:p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通过推动校企融合纵深发展，推动更多高效人才赋能企业转型升级、更多科研成果在桓台就地转化，为实现桓台进一步加速发展提供人才支撑。</w:t>
      </w:r>
    </w:p>
    <w:p>
      <w:pPr>
        <w:jc w:val="left"/>
        <w:rPr>
          <w:rFonts w:hint="eastAsia" w:ascii="宋体" w:hAnsi="宋体" w:eastAsia="宋体" w:cs="宋体"/>
          <w:sz w:val="28"/>
          <w:szCs w:val="28"/>
          <w:lang w:val="en-US" w:eastAsia="zh-CN"/>
        </w:rPr>
      </w:pPr>
    </w:p>
    <w:p>
      <w:pPr>
        <w:jc w:val="left"/>
        <w:rPr>
          <w:rFonts w:hint="default" w:ascii="宋体" w:hAnsi="宋体" w:eastAsia="宋体" w:cs="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Y2VjOGFjZGMxOWZkMzU4MWI4OWY0N2NjNDA3ZWQifQ=="/>
  </w:docVars>
  <w:rsids>
    <w:rsidRoot w:val="7F6C0C2F"/>
    <w:rsid w:val="0ECA110C"/>
    <w:rsid w:val="410243C6"/>
    <w:rsid w:val="7079138A"/>
    <w:rsid w:val="7A5D377D"/>
    <w:rsid w:val="7AD66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419</Words>
  <Characters>435</Characters>
  <Lines>0</Lines>
  <Paragraphs>0</Paragraphs>
  <TotalTime>60</TotalTime>
  <ScaleCrop>false</ScaleCrop>
  <LinksUpToDate>false</LinksUpToDate>
  <CharactersWithSpaces>435</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2022-07-10T02:24:00Z</dcterms:created>
  <dc:creator>13213</dc:creator>
  <cp:lastModifiedBy>Administrator</cp:lastModifiedBy>
  <dcterms:modified xsi:type="dcterms:W3CDTF">2022-07-11T02:43:44Z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2309C43EE6F8404393474AEB01DCBF11</vt:lpwstr>
  </property>
</Properties>
</file>