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人大代表建议办理情况信息公开表</w:t>
      </w:r>
    </w:p>
    <w:p>
      <w:pPr>
        <w:jc w:val="center"/>
        <w:rPr>
          <w:rFonts w:ascii="黑体" w:hAnsi="黑体" w:eastAsia="黑体"/>
          <w:sz w:val="44"/>
          <w:szCs w:val="44"/>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pPr>
              <w:jc w:val="center"/>
              <w:rPr>
                <w:rFonts w:ascii="仿宋" w:hAnsi="仿宋" w:eastAsia="仿宋"/>
                <w:sz w:val="32"/>
                <w:szCs w:val="32"/>
              </w:rPr>
            </w:pPr>
            <w:r>
              <w:rPr>
                <w:rFonts w:hint="eastAsia" w:ascii="仿宋" w:hAnsi="仿宋" w:eastAsia="仿宋"/>
                <w:sz w:val="32"/>
                <w:szCs w:val="32"/>
              </w:rPr>
              <w:t>建议编号</w:t>
            </w:r>
          </w:p>
        </w:tc>
        <w:tc>
          <w:tcPr>
            <w:tcW w:w="7425" w:type="dxa"/>
          </w:tcPr>
          <w:p>
            <w:pPr>
              <w:jc w:val="center"/>
              <w:rPr>
                <w:rFonts w:hint="eastAsia" w:ascii="仿宋" w:hAnsi="仿宋" w:eastAsia="仿宋"/>
                <w:sz w:val="32"/>
                <w:szCs w:val="32"/>
              </w:rPr>
            </w:pPr>
            <w:r>
              <w:rPr>
                <w:rFonts w:hint="eastAsia" w:ascii="仿宋" w:hAnsi="仿宋" w:eastAsia="仿宋"/>
                <w:sz w:val="32"/>
                <w:szCs w:val="32"/>
              </w:rPr>
              <w:t>总编号第46号社会类35号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pPr>
              <w:jc w:val="center"/>
              <w:rPr>
                <w:rFonts w:ascii="仿宋" w:hAnsi="仿宋" w:eastAsia="仿宋"/>
                <w:sz w:val="32"/>
                <w:szCs w:val="32"/>
              </w:rPr>
            </w:pPr>
            <w:r>
              <w:rPr>
                <w:rFonts w:hint="eastAsia" w:ascii="仿宋" w:hAnsi="仿宋" w:eastAsia="仿宋"/>
                <w:sz w:val="32"/>
                <w:szCs w:val="32"/>
              </w:rPr>
              <w:t>标题</w:t>
            </w:r>
          </w:p>
        </w:tc>
        <w:tc>
          <w:tcPr>
            <w:tcW w:w="7425" w:type="dxa"/>
          </w:tcPr>
          <w:p>
            <w:pPr>
              <w:jc w:val="center"/>
              <w:rPr>
                <w:rFonts w:ascii="仿宋" w:hAnsi="仿宋" w:eastAsia="仿宋"/>
                <w:sz w:val="32"/>
                <w:szCs w:val="32"/>
              </w:rPr>
            </w:pPr>
            <w:r>
              <w:rPr>
                <w:rFonts w:hint="eastAsia" w:ascii="仿宋" w:hAnsi="仿宋" w:eastAsia="仿宋"/>
                <w:sz w:val="32"/>
                <w:szCs w:val="32"/>
              </w:rPr>
              <w:t>关于60岁以上农民养老金上涨的议案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2235" w:type="dxa"/>
          </w:tcPr>
          <w:p>
            <w:pPr>
              <w:jc w:val="center"/>
              <w:rPr>
                <w:rFonts w:ascii="仿宋" w:hAnsi="仿宋" w:eastAsia="仿宋"/>
                <w:sz w:val="32"/>
                <w:szCs w:val="32"/>
              </w:rPr>
            </w:pPr>
            <w:r>
              <w:rPr>
                <w:rFonts w:hint="eastAsia" w:ascii="仿宋" w:hAnsi="仿宋" w:eastAsia="仿宋"/>
                <w:sz w:val="32"/>
                <w:szCs w:val="32"/>
              </w:rPr>
              <w:t>办理状态</w:t>
            </w:r>
          </w:p>
        </w:tc>
        <w:tc>
          <w:tcPr>
            <w:tcW w:w="7425" w:type="dxa"/>
          </w:tcPr>
          <w:p>
            <w:pPr>
              <w:jc w:val="center"/>
              <w:rPr>
                <w:rFonts w:ascii="仿宋" w:hAnsi="仿宋" w:eastAsia="仿宋"/>
                <w:sz w:val="32"/>
                <w:szCs w:val="32"/>
              </w:rPr>
            </w:pPr>
            <w:r>
              <w:rPr>
                <w:rFonts w:hint="eastAsia" w:ascii="仿宋" w:hAnsi="仿宋" w:eastAsia="仿宋"/>
                <w:sz w:val="32"/>
                <w:szCs w:val="32"/>
              </w:rPr>
              <w:t>已解决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pPr>
              <w:jc w:val="center"/>
              <w:rPr>
                <w:rFonts w:ascii="仿宋" w:hAnsi="仿宋" w:eastAsia="仿宋"/>
                <w:sz w:val="32"/>
                <w:szCs w:val="32"/>
              </w:rPr>
            </w:pPr>
            <w:r>
              <w:rPr>
                <w:rFonts w:hint="eastAsia" w:ascii="仿宋" w:hAnsi="仿宋" w:eastAsia="仿宋"/>
                <w:sz w:val="32"/>
                <w:szCs w:val="32"/>
              </w:rPr>
              <w:t>建议者</w:t>
            </w:r>
          </w:p>
        </w:tc>
        <w:tc>
          <w:tcPr>
            <w:tcW w:w="7425" w:type="dxa"/>
          </w:tcPr>
          <w:p>
            <w:pPr>
              <w:jc w:val="center"/>
              <w:rPr>
                <w:rFonts w:ascii="仿宋" w:hAnsi="仿宋" w:eastAsia="仿宋"/>
                <w:sz w:val="32"/>
                <w:szCs w:val="32"/>
              </w:rPr>
            </w:pPr>
            <w:r>
              <w:rPr>
                <w:rFonts w:hint="eastAsia" w:ascii="仿宋" w:hAnsi="仿宋" w:eastAsia="仿宋"/>
                <w:sz w:val="32"/>
                <w:szCs w:val="32"/>
              </w:rPr>
              <w:t>马雪、郝克峰、周彬广等10人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pPr>
              <w:jc w:val="center"/>
              <w:rPr>
                <w:rFonts w:ascii="仿宋" w:hAnsi="仿宋" w:eastAsia="仿宋"/>
                <w:sz w:val="32"/>
                <w:szCs w:val="32"/>
              </w:rPr>
            </w:pPr>
            <w:r>
              <w:rPr>
                <w:rFonts w:hint="eastAsia" w:ascii="仿宋" w:hAnsi="仿宋" w:eastAsia="仿宋"/>
                <w:sz w:val="32"/>
                <w:szCs w:val="32"/>
              </w:rPr>
              <w:t>承办单位</w:t>
            </w:r>
          </w:p>
        </w:tc>
        <w:tc>
          <w:tcPr>
            <w:tcW w:w="7425" w:type="dxa"/>
          </w:tcPr>
          <w:p>
            <w:pPr>
              <w:jc w:val="center"/>
              <w:rPr>
                <w:rFonts w:ascii="仿宋" w:hAnsi="仿宋" w:eastAsia="仿宋"/>
                <w:sz w:val="32"/>
                <w:szCs w:val="32"/>
              </w:rPr>
            </w:pPr>
            <w:r>
              <w:rPr>
                <w:rFonts w:hint="eastAsia" w:ascii="仿宋" w:hAnsi="仿宋" w:eastAsia="仿宋"/>
                <w:sz w:val="32"/>
                <w:szCs w:val="32"/>
              </w:rPr>
              <w:t>桓台县人力资源和社会保障局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3" w:hRule="atLeast"/>
        </w:trPr>
        <w:tc>
          <w:tcPr>
            <w:tcW w:w="2235" w:type="dxa"/>
            <w:vAlign w:val="center"/>
          </w:tcPr>
          <w:p>
            <w:pPr>
              <w:jc w:val="center"/>
              <w:rPr>
                <w:rFonts w:ascii="仿宋" w:hAnsi="仿宋" w:eastAsia="仿宋"/>
                <w:sz w:val="32"/>
                <w:szCs w:val="32"/>
              </w:rPr>
            </w:pPr>
            <w:r>
              <w:rPr>
                <w:rFonts w:hint="eastAsia" w:ascii="仿宋" w:hAnsi="仿宋" w:eastAsia="仿宋"/>
                <w:sz w:val="32"/>
                <w:szCs w:val="32"/>
              </w:rPr>
              <w:t>建议内容</w:t>
            </w:r>
          </w:p>
        </w:tc>
        <w:tc>
          <w:tcPr>
            <w:tcW w:w="7425"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广大农民群众在特殊时期为国家做出了无私奉献，根据实际情况，适当增加农民养老金待遇，或提高农民养老金的涨幅比例，缩小城乡差距，提高广大农民群众的幸福指数。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4" w:hRule="atLeast"/>
        </w:trPr>
        <w:tc>
          <w:tcPr>
            <w:tcW w:w="2235" w:type="dxa"/>
            <w:vAlign w:val="center"/>
          </w:tcPr>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答复情况</w:t>
            </w:r>
          </w:p>
        </w:tc>
        <w:tc>
          <w:tcPr>
            <w:tcW w:w="7425"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仿宋" w:hAnsi="仿宋" w:eastAsia="仿宋"/>
                <w:sz w:val="28"/>
                <w:szCs w:val="28"/>
                <w:lang w:eastAsia="zh-CN"/>
              </w:rPr>
            </w:pPr>
            <w:r>
              <w:rPr>
                <w:rFonts w:hint="eastAsia" w:ascii="仿宋" w:hAnsi="仿宋" w:eastAsia="仿宋"/>
                <w:sz w:val="28"/>
                <w:szCs w:val="28"/>
              </w:rPr>
              <w:t>城乡居民养老保险主要是体现社保兜底保障功能，是为低收入、未就业的居民提供一定的保障作用</w:t>
            </w:r>
            <w:r>
              <w:rPr>
                <w:rFonts w:hint="eastAsia" w:ascii="仿宋" w:hAnsi="仿宋" w:eastAsia="仿宋"/>
                <w:sz w:val="28"/>
                <w:szCs w:val="28"/>
                <w:lang w:eastAsia="zh-CN"/>
              </w:rPr>
              <w:t>，为提高居民基本养老保险保障水平，国家建立参保缴费激励机制，鼓励和引导参保居民长缴多得、多缴多得。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ascii="仿宋" w:hAnsi="仿宋" w:eastAsia="仿宋"/>
                <w:sz w:val="28"/>
                <w:szCs w:val="28"/>
              </w:rPr>
            </w:pPr>
            <w:r>
              <w:rPr>
                <w:rFonts w:hint="eastAsia" w:ascii="仿宋" w:hAnsi="仿宋" w:eastAsia="仿宋"/>
                <w:sz w:val="28"/>
                <w:szCs w:val="28"/>
              </w:rPr>
              <w:t>我县居民养老保险待遇的核定及调整都是根据省、市下发的政策文件执行。经测算，目前我县居民养老保险人均待遇水平为220.50元/</w:t>
            </w:r>
            <w:bookmarkStart w:id="0" w:name="_GoBack"/>
            <w:bookmarkEnd w:id="0"/>
            <w:r>
              <w:rPr>
                <w:rFonts w:hint="eastAsia" w:ascii="仿宋" w:hAnsi="仿宋" w:eastAsia="仿宋"/>
                <w:sz w:val="28"/>
                <w:szCs w:val="28"/>
              </w:rPr>
              <w:t>月，其中领取待遇最高的可达1014.36元/月。经分析，对居民养老金水平起关键性作用的是居民按年的缴费水平，而同龄企业退休人员也是因其在职期间按月缴纳较高的养老保险费才可在退休时期领取较高的养老金。目前居民养老保险基础养老金的涨幅都是省政府、市政府在统筹考虑居民收入、物价变动等因素后决定的。建议除依靠各级财政托底居民养老保障水平外，居民</w:t>
            </w:r>
            <w:r>
              <w:rPr>
                <w:rFonts w:hint="eastAsia" w:ascii="仿宋" w:hAnsi="仿宋" w:eastAsia="仿宋"/>
                <w:sz w:val="28"/>
                <w:szCs w:val="28"/>
                <w:lang w:eastAsia="zh-CN"/>
              </w:rPr>
              <w:t>应通过</w:t>
            </w:r>
            <w:r>
              <w:rPr>
                <w:rFonts w:hint="eastAsia" w:ascii="仿宋" w:hAnsi="仿宋" w:eastAsia="仿宋"/>
                <w:sz w:val="28"/>
                <w:szCs w:val="28"/>
              </w:rPr>
              <w:t>长缴、多缴来提高个人账户积累额从而提升城乡居民个人养老金水平。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pPr>
              <w:jc w:val="center"/>
              <w:rPr>
                <w:rFonts w:ascii="仿宋" w:hAnsi="仿宋" w:eastAsia="仿宋"/>
                <w:sz w:val="32"/>
                <w:szCs w:val="32"/>
              </w:rPr>
            </w:pPr>
            <w:r>
              <w:rPr>
                <w:rFonts w:hint="eastAsia" w:ascii="仿宋" w:hAnsi="仿宋" w:eastAsia="仿宋"/>
                <w:sz w:val="32"/>
                <w:szCs w:val="32"/>
              </w:rPr>
              <w:t>反馈意见</w:t>
            </w:r>
          </w:p>
        </w:tc>
        <w:tc>
          <w:tcPr>
            <w:tcW w:w="7425" w:type="dxa"/>
          </w:tcPr>
          <w:p>
            <w:pPr>
              <w:jc w:val="center"/>
              <w:rPr>
                <w:rFonts w:hint="eastAsia" w:ascii="仿宋" w:hAnsi="仿宋" w:eastAsia="仿宋"/>
                <w:sz w:val="32"/>
                <w:szCs w:val="32"/>
                <w:lang w:eastAsia="zh-CN"/>
              </w:rPr>
            </w:pPr>
            <w:r>
              <w:rPr>
                <w:rFonts w:hint="eastAsia" w:ascii="仿宋" w:hAnsi="仿宋" w:eastAsia="仿宋"/>
                <w:sz w:val="32"/>
                <w:szCs w:val="32"/>
                <w:lang w:eastAsia="zh-CN"/>
              </w:rPr>
              <w:t>满意</w:t>
            </w:r>
          </w:p>
        </w:tc>
      </w:tr>
    </w:tbl>
    <w:p>
      <w:pPr>
        <w:jc w:val="center"/>
        <w:rPr>
          <w:rFonts w:ascii="黑体" w:hAnsi="黑体" w:eastAsia="黑体"/>
          <w:sz w:val="44"/>
          <w:szCs w:val="4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WYwNWQzMzg0NWExM2U4ZjU0OTY5MDZiODJlODEifQ=="/>
  </w:docVars>
  <w:rsids>
    <w:rsidRoot w:val="00D15CE9"/>
    <w:rsid w:val="00180EA9"/>
    <w:rsid w:val="00276B33"/>
    <w:rsid w:val="00523423"/>
    <w:rsid w:val="00966F6E"/>
    <w:rsid w:val="009D411D"/>
    <w:rsid w:val="00A15158"/>
    <w:rsid w:val="00BB4A1C"/>
    <w:rsid w:val="00D15CE9"/>
    <w:rsid w:val="00E52693"/>
    <w:rsid w:val="00EF5119"/>
    <w:rsid w:val="00F46EBC"/>
    <w:rsid w:val="14BE0ECC"/>
    <w:rsid w:val="2CE72EDA"/>
    <w:rsid w:val="41AC2727"/>
    <w:rsid w:val="4F9F0007"/>
    <w:rsid w:val="6D77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522</Words>
  <Characters>537</Characters>
  <Lines>3</Lines>
  <Paragraphs>1</Paragraphs>
  <TotalTime>314</TotalTime>
  <ScaleCrop>false</ScaleCrop>
  <LinksUpToDate>false</LinksUpToDate>
  <CharactersWithSpaces>2369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2024-06-21T01:22:00Z</dcterms:created>
  <dc:creator>rensj069</dc:creator>
  <cp:lastModifiedBy>阿球球。</cp:lastModifiedBy>
  <cp:lastPrinted>2024-07-02T07:00:50Z</cp:lastPrinted>
  <dcterms:modified xsi:type="dcterms:W3CDTF">2024-07-02T07:00:55Z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6723C6A7990B42C583A52A208AB3FC4F_13</vt:lpwstr>
  </property>
</Properties>
</file>