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桓台县</w:t>
      </w:r>
      <w:r>
        <w:rPr>
          <w:rFonts w:hint="eastAsia" w:ascii="方正小标宋简体" w:hAnsi="方正小标宋简体" w:eastAsia="方正小标宋简体" w:cs="方正小标宋简体"/>
          <w:sz w:val="44"/>
          <w:szCs w:val="44"/>
        </w:rPr>
        <w:t>人力资源和社会保障局</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w:t>
      </w:r>
      <w:r>
        <w:rPr>
          <w:rFonts w:hint="eastAsia" w:ascii="方正小标宋简体" w:hAnsi="方正小标宋简体" w:eastAsia="方正小标宋简体" w:cs="方正小标宋简体"/>
          <w:sz w:val="44"/>
          <w:szCs w:val="44"/>
          <w:lang w:val="en-US" w:eastAsia="zh-CN"/>
        </w:rPr>
        <w:t>20</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政府信息公开年度报告</w:t>
      </w:r>
    </w:p>
    <w:p>
      <w:pPr>
        <w:jc w:val="both"/>
        <w:rPr>
          <w:rFonts w:hint="eastAsia"/>
          <w:b/>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w:t>
      </w:r>
      <w:r>
        <w:rPr>
          <w:rFonts w:hint="eastAsia" w:ascii="仿宋" w:hAnsi="仿宋" w:eastAsia="仿宋" w:cs="仿宋"/>
          <w:sz w:val="32"/>
          <w:szCs w:val="32"/>
          <w:lang w:eastAsia="zh-CN"/>
        </w:rPr>
        <w:t>桓台县</w:t>
      </w:r>
      <w:r>
        <w:rPr>
          <w:rFonts w:hint="eastAsia" w:ascii="仿宋" w:hAnsi="仿宋" w:eastAsia="仿宋" w:cs="仿宋"/>
          <w:sz w:val="32"/>
          <w:szCs w:val="32"/>
        </w:rPr>
        <w:t>人力资源和社会保障局</w:t>
      </w:r>
      <w:r>
        <w:rPr>
          <w:rFonts w:hint="eastAsia" w:ascii="仿宋" w:hAnsi="仿宋" w:eastAsia="仿宋" w:cs="仿宋"/>
          <w:sz w:val="32"/>
          <w:szCs w:val="32"/>
          <w:lang w:eastAsia="zh-CN"/>
        </w:rPr>
        <w:t>以</w:t>
      </w:r>
      <w:r>
        <w:rPr>
          <w:rFonts w:hint="eastAsia" w:ascii="仿宋" w:hAnsi="仿宋" w:eastAsia="仿宋" w:cs="仿宋"/>
          <w:sz w:val="32"/>
          <w:szCs w:val="32"/>
        </w:rPr>
        <w:t>党的</w:t>
      </w:r>
      <w:r>
        <w:rPr>
          <w:rFonts w:hint="eastAsia" w:ascii="仿宋" w:hAnsi="仿宋" w:eastAsia="仿宋" w:cs="仿宋"/>
          <w:sz w:val="32"/>
          <w:szCs w:val="32"/>
          <w:lang w:eastAsia="zh-CN"/>
        </w:rPr>
        <w:t>十九届五中全会</w:t>
      </w:r>
      <w:r>
        <w:rPr>
          <w:rFonts w:hint="eastAsia" w:ascii="仿宋" w:hAnsi="仿宋" w:eastAsia="仿宋" w:cs="仿宋"/>
          <w:sz w:val="32"/>
          <w:szCs w:val="32"/>
        </w:rPr>
        <w:t>精神</w:t>
      </w:r>
      <w:r>
        <w:rPr>
          <w:rFonts w:hint="eastAsia" w:ascii="仿宋" w:hAnsi="仿宋" w:eastAsia="仿宋" w:cs="仿宋"/>
          <w:sz w:val="32"/>
          <w:szCs w:val="32"/>
          <w:lang w:eastAsia="zh-CN"/>
        </w:rPr>
        <w:t>及习近平同志系列讲话为指引</w:t>
      </w:r>
      <w:r>
        <w:rPr>
          <w:rFonts w:hint="eastAsia" w:ascii="仿宋" w:hAnsi="仿宋" w:eastAsia="仿宋" w:cs="仿宋"/>
          <w:sz w:val="32"/>
          <w:szCs w:val="32"/>
        </w:rPr>
        <w:t>，</w:t>
      </w:r>
      <w:r>
        <w:rPr>
          <w:rFonts w:hint="eastAsia" w:ascii="仿宋" w:hAnsi="仿宋" w:eastAsia="仿宋" w:cs="仿宋"/>
          <w:sz w:val="32"/>
          <w:szCs w:val="32"/>
          <w:lang w:eastAsia="zh-CN"/>
        </w:rPr>
        <w:t>统筹疫情防控及人社事业发展，</w:t>
      </w:r>
      <w:r>
        <w:rPr>
          <w:rFonts w:hint="eastAsia" w:ascii="仿宋" w:hAnsi="仿宋" w:eastAsia="仿宋" w:cs="仿宋"/>
          <w:sz w:val="32"/>
          <w:szCs w:val="32"/>
        </w:rPr>
        <w:t>严格执行《中华人民共和国政府信息公开条例</w:t>
      </w:r>
      <w:r>
        <w:rPr>
          <w:rFonts w:hint="eastAsia" w:ascii="仿宋" w:hAnsi="仿宋" w:eastAsia="仿宋" w:cs="仿宋"/>
          <w:sz w:val="32"/>
          <w:szCs w:val="32"/>
          <w:lang w:val="en-US" w:eastAsia="zh-CN"/>
        </w:rPr>
        <w:t>》及有关规定，认真履行法定职责，积极推进政府信息公开，现将我局2020年政府信息公开工作年度报告向社会公布。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报告内容主要分为六部分，时间自2020年1月1日至12月31日。信息公开年报详情，可咨询县人力资源和社会保障局政府信息公开领导小组办公室（地址：淄博市桓台县中心大街777号，邮编：256400，电话：8180135，邮箱：htxrsj@zb.shandong.cn）。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县人力资源社会保障局认真贯彻各项政府信息公开工作部署，围绕经济社会发展和民生保障重点工作，通过传统媒介和新媒体方式，及时主动、准确全面公开人社领域各类等相关政府信息，不断推进我局信息公开工作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主动公开情况。2020年，县人力资源社会保障局认真落实政务公开工作要求，主动公开就业创业、社会保障、人才队伍、人事制度、收入分配、劳动关系、公共服务等相关政府信息1018条，其中，政府网站公开443条，政务微信公开322条，新闻媒体等方式公开253条。同时积极拓宽公开渠道，主动公开规范性文件、政策解读、财政资金信息、权责清单和项目审批情况等各类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2、提案办理情况。按时办理人大代表建议、政协委员提案共6件，其中人大代表建议1件、政协委员提案5件。提案建议均在规定时限内答复，代表满意率100%，并按政务公开要求在局网站专栏进行公开。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依申请公开情况。2020年，县人力资源社会保障局通过在线渠道共收到政府信息公开申请0件。下一步，我局若收到信息公开申请，将根据申请人要求公开答复并提供相关信息。平时对各类来人来电咨询业务做到热情服务、</w:t>
      </w:r>
      <w:bookmarkStart w:id="0" w:name="_GoBack"/>
      <w:bookmarkEnd w:id="0"/>
      <w:r>
        <w:rPr>
          <w:rFonts w:hint="eastAsia" w:ascii="仿宋" w:hAnsi="仿宋" w:eastAsia="仿宋" w:cs="仿宋"/>
          <w:sz w:val="32"/>
          <w:szCs w:val="32"/>
          <w:lang w:val="en-US" w:eastAsia="zh-CN"/>
        </w:rPr>
        <w:t>当场答复，及时高效处理，无行政复议和诉讼情况。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政府信息管理情况。围绕做好就业创业、社会保障、人才队伍、人事制度、收入分配、劳动关系、公共服务等重点领域信息公开，强化信息化手段、做好政务公开基础性工作等方面，制定了局政务公开工作方案，不断健全政府信息公开制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平台建设情况。在桓台县人民政府门户网站设立了桓台县人力资源和社会保障局部门网站（http://www.huantai.gov.cn/col/col6794/index.html），分为部门首页、政务公开、通知公告、新闻动态、就业创业、社会保险、劳动监察、根治欠薪、劳动仲裁、办事指南共10个专栏。在政务公开专栏下，设立了政府信息公开指南、政府信息公开制度、法定主动公开内容、政府信息公开年报、政府信息依申请公开5项内容，主动公布职能、文件、政策解读、提案办理等各类政务公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监督保障情况。结合新修订的《中华人民共和国政府信息公开条例》，及时修改完善我局《信息公开实施办法》。根据县机构改革情况，结合工作职能，按照“三定”方案，及时调整局政务公开工作领导小组，定期对信息公开的内容进行监督检查，确保及时全面，准确翔实。根据工作需要，不定期组织政务公开培训。</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p>
      <w:pPr>
        <w:rPr>
          <w:rFonts w:hint="eastAsia"/>
          <w:b/>
          <w:sz w:val="24"/>
          <w:szCs w:val="24"/>
        </w:rPr>
      </w:pPr>
    </w:p>
    <w:tbl>
      <w:tblPr>
        <w:tblStyle w:val="5"/>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4"/>
        <w:gridCol w:w="1985"/>
        <w:gridCol w:w="2030"/>
        <w:gridCol w:w="2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931" w:type="dxa"/>
            <w:gridSpan w:val="4"/>
            <w:vAlign w:val="center"/>
          </w:tcPr>
          <w:p>
            <w:pPr>
              <w:jc w:val="center"/>
              <w:rPr>
                <w:rFonts w:hint="eastAsia"/>
                <w:sz w:val="24"/>
                <w:szCs w:val="24"/>
              </w:rPr>
            </w:pPr>
            <w:r>
              <w:rPr>
                <w:rFonts w:hint="eastAsia"/>
                <w:sz w:val="24"/>
                <w:szCs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本年新制作数量</w:t>
            </w:r>
          </w:p>
        </w:tc>
        <w:tc>
          <w:tcPr>
            <w:tcW w:w="2030" w:type="dxa"/>
            <w:vAlign w:val="center"/>
          </w:tcPr>
          <w:p>
            <w:pPr>
              <w:jc w:val="center"/>
              <w:rPr>
                <w:sz w:val="24"/>
                <w:szCs w:val="24"/>
              </w:rPr>
            </w:pPr>
            <w:r>
              <w:rPr>
                <w:rFonts w:hint="eastAsia"/>
                <w:sz w:val="24"/>
                <w:szCs w:val="24"/>
              </w:rPr>
              <w:t>本年新</w:t>
            </w:r>
          </w:p>
          <w:p>
            <w:pPr>
              <w:jc w:val="center"/>
              <w:rPr>
                <w:rFonts w:hint="eastAsia"/>
                <w:sz w:val="24"/>
                <w:szCs w:val="24"/>
              </w:rPr>
            </w:pPr>
            <w:r>
              <w:rPr>
                <w:rFonts w:hint="eastAsia"/>
                <w:sz w:val="24"/>
                <w:szCs w:val="24"/>
              </w:rPr>
              <w:t>公开数量</w:t>
            </w:r>
          </w:p>
        </w:tc>
        <w:tc>
          <w:tcPr>
            <w:tcW w:w="2222" w:type="dxa"/>
            <w:vAlign w:val="center"/>
          </w:tcPr>
          <w:p>
            <w:pPr>
              <w:jc w:val="center"/>
              <w:rPr>
                <w:sz w:val="24"/>
                <w:szCs w:val="24"/>
              </w:rPr>
            </w:pPr>
            <w:r>
              <w:rPr>
                <w:rFonts w:hint="eastAsia"/>
                <w:sz w:val="24"/>
                <w:szCs w:val="24"/>
              </w:rPr>
              <w:t>对外公开</w:t>
            </w:r>
          </w:p>
          <w:p>
            <w:pPr>
              <w:jc w:val="center"/>
              <w:rPr>
                <w:rFonts w:hint="eastAsia"/>
                <w:sz w:val="24"/>
                <w:szCs w:val="24"/>
              </w:rPr>
            </w:pPr>
            <w:r>
              <w:rPr>
                <w:rFonts w:hint="eastAsia"/>
                <w:sz w:val="24"/>
                <w:szCs w:val="24"/>
              </w:rPr>
              <w:t>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694" w:type="dxa"/>
            <w:vAlign w:val="center"/>
          </w:tcPr>
          <w:p>
            <w:pPr>
              <w:rPr>
                <w:rFonts w:hint="eastAsia"/>
                <w:sz w:val="24"/>
                <w:szCs w:val="24"/>
              </w:rPr>
            </w:pPr>
            <w:r>
              <w:rPr>
                <w:rFonts w:hint="eastAsia"/>
                <w:sz w:val="24"/>
                <w:szCs w:val="24"/>
              </w:rPr>
              <w:t>规章</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694" w:type="dxa"/>
            <w:vAlign w:val="center"/>
          </w:tcPr>
          <w:p>
            <w:pPr>
              <w:rPr>
                <w:rFonts w:hint="eastAsia"/>
                <w:sz w:val="24"/>
                <w:szCs w:val="24"/>
              </w:rPr>
            </w:pPr>
            <w:r>
              <w:rPr>
                <w:rFonts w:hint="eastAsia"/>
                <w:sz w:val="24"/>
                <w:szCs w:val="24"/>
              </w:rPr>
              <w:t>规范性文件</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8</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8</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31" w:type="dxa"/>
            <w:gridSpan w:val="4"/>
            <w:vAlign w:val="center"/>
          </w:tcPr>
          <w:p>
            <w:pPr>
              <w:jc w:val="center"/>
              <w:rPr>
                <w:rFonts w:hint="eastAsia"/>
                <w:sz w:val="24"/>
                <w:szCs w:val="24"/>
              </w:rPr>
            </w:pPr>
            <w:r>
              <w:rPr>
                <w:rFonts w:hint="eastAsia"/>
                <w:sz w:val="24"/>
                <w:szCs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2694" w:type="dxa"/>
            <w:vAlign w:val="center"/>
          </w:tcPr>
          <w:p>
            <w:pPr>
              <w:rPr>
                <w:rFonts w:hint="eastAsia"/>
                <w:sz w:val="24"/>
                <w:szCs w:val="24"/>
              </w:rPr>
            </w:pPr>
            <w:r>
              <w:rPr>
                <w:rFonts w:hint="eastAsia"/>
                <w:sz w:val="24"/>
                <w:szCs w:val="24"/>
              </w:rPr>
              <w:t>行政许可</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694" w:type="dxa"/>
            <w:vAlign w:val="center"/>
          </w:tcPr>
          <w:p>
            <w:pPr>
              <w:rPr>
                <w:rFonts w:hint="eastAsia"/>
                <w:sz w:val="24"/>
                <w:szCs w:val="24"/>
              </w:rPr>
            </w:pPr>
            <w:r>
              <w:rPr>
                <w:rFonts w:hint="eastAsia"/>
                <w:sz w:val="24"/>
                <w:szCs w:val="24"/>
              </w:rPr>
              <w:t>其他对外管理服务事项</w:t>
            </w:r>
          </w:p>
        </w:tc>
        <w:tc>
          <w:tcPr>
            <w:tcW w:w="1985" w:type="dxa"/>
            <w:vAlign w:val="center"/>
          </w:tcPr>
          <w:p>
            <w:pPr>
              <w:tabs>
                <w:tab w:val="left" w:pos="267"/>
              </w:tabs>
              <w:rPr>
                <w:rFonts w:hint="eastAsia" w:eastAsiaTheme="minorEastAsia"/>
                <w:sz w:val="24"/>
                <w:szCs w:val="24"/>
                <w:lang w:val="en-US" w:eastAsia="zh-CN"/>
              </w:rPr>
            </w:pPr>
            <w:r>
              <w:rPr>
                <w:rFonts w:hint="eastAsia"/>
                <w:sz w:val="24"/>
                <w:szCs w:val="24"/>
                <w:lang w:val="en-US" w:eastAsia="zh-CN"/>
              </w:rPr>
              <w:t>253</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222" w:type="dxa"/>
            <w:vAlign w:val="center"/>
          </w:tcPr>
          <w:p>
            <w:pPr>
              <w:rPr>
                <w:rFonts w:hint="default" w:eastAsiaTheme="minorEastAsia"/>
                <w:sz w:val="24"/>
                <w:szCs w:val="24"/>
                <w:lang w:val="en-US" w:eastAsia="zh-CN"/>
              </w:rPr>
            </w:pPr>
            <w:r>
              <w:rPr>
                <w:rFonts w:hint="eastAsia"/>
                <w:sz w:val="24"/>
                <w:szCs w:val="24"/>
                <w:lang w:val="en-US" w:eastAsia="zh-CN"/>
              </w:rPr>
              <w:t>44626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931" w:type="dxa"/>
            <w:gridSpan w:val="4"/>
            <w:vAlign w:val="center"/>
          </w:tcPr>
          <w:p>
            <w:pPr>
              <w:jc w:val="center"/>
              <w:rPr>
                <w:rFonts w:hint="eastAsia"/>
                <w:sz w:val="24"/>
                <w:szCs w:val="24"/>
              </w:rPr>
            </w:pPr>
            <w:r>
              <w:rPr>
                <w:rFonts w:hint="eastAsia"/>
                <w:sz w:val="24"/>
                <w:szCs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2030" w:type="dxa"/>
            <w:vAlign w:val="center"/>
          </w:tcPr>
          <w:p>
            <w:pPr>
              <w:jc w:val="center"/>
              <w:rPr>
                <w:rFonts w:hint="eastAsia"/>
                <w:sz w:val="24"/>
                <w:szCs w:val="24"/>
              </w:rPr>
            </w:pPr>
            <w:r>
              <w:rPr>
                <w:rFonts w:hint="eastAsia"/>
                <w:sz w:val="24"/>
                <w:szCs w:val="24"/>
              </w:rPr>
              <w:t>本年增/减</w:t>
            </w:r>
          </w:p>
        </w:tc>
        <w:tc>
          <w:tcPr>
            <w:tcW w:w="2222" w:type="dxa"/>
            <w:vAlign w:val="center"/>
          </w:tcPr>
          <w:p>
            <w:pPr>
              <w:jc w:val="center"/>
              <w:rPr>
                <w:rFonts w:hint="eastAsia"/>
                <w:sz w:val="24"/>
                <w:szCs w:val="24"/>
              </w:rPr>
            </w:pPr>
            <w:r>
              <w:rPr>
                <w:rFonts w:hint="eastAsia"/>
                <w:sz w:val="24"/>
                <w:szCs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行政处罚</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65</w:t>
            </w:r>
          </w:p>
        </w:tc>
        <w:tc>
          <w:tcPr>
            <w:tcW w:w="2030" w:type="dxa"/>
            <w:vAlign w:val="center"/>
          </w:tcPr>
          <w:p>
            <w:pPr>
              <w:rPr>
                <w:rFonts w:hint="default"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694" w:type="dxa"/>
            <w:vAlign w:val="center"/>
          </w:tcPr>
          <w:p>
            <w:pPr>
              <w:rPr>
                <w:rFonts w:hint="eastAsia"/>
                <w:sz w:val="24"/>
                <w:szCs w:val="24"/>
              </w:rPr>
            </w:pPr>
            <w:r>
              <w:rPr>
                <w:rFonts w:hint="eastAsia"/>
                <w:sz w:val="24"/>
                <w:szCs w:val="24"/>
              </w:rPr>
              <w:t>行政强制</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030" w:type="dxa"/>
            <w:vAlign w:val="center"/>
          </w:tcPr>
          <w:p>
            <w:pPr>
              <w:rPr>
                <w:rFonts w:hint="eastAsia" w:eastAsiaTheme="minorEastAsia"/>
                <w:sz w:val="24"/>
                <w:szCs w:val="24"/>
                <w:lang w:val="en-US" w:eastAsia="zh-CN"/>
              </w:rPr>
            </w:pPr>
            <w:r>
              <w:rPr>
                <w:rFonts w:hint="eastAsia"/>
                <w:sz w:val="24"/>
                <w:szCs w:val="24"/>
                <w:lang w:val="en-US" w:eastAsia="zh-CN"/>
              </w:rPr>
              <w:t>0</w:t>
            </w:r>
          </w:p>
        </w:tc>
        <w:tc>
          <w:tcPr>
            <w:tcW w:w="2222" w:type="dxa"/>
            <w:vAlign w:val="center"/>
          </w:tcPr>
          <w:p>
            <w:pP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931" w:type="dxa"/>
            <w:gridSpan w:val="4"/>
            <w:vAlign w:val="center"/>
          </w:tcPr>
          <w:p>
            <w:pPr>
              <w:jc w:val="center"/>
              <w:rPr>
                <w:rFonts w:hint="eastAsia"/>
                <w:sz w:val="24"/>
                <w:szCs w:val="24"/>
              </w:rPr>
            </w:pPr>
            <w:r>
              <w:rPr>
                <w:rFonts w:hint="eastAsia"/>
                <w:sz w:val="24"/>
                <w:szCs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rPr>
                <w:rFonts w:hint="eastAsia"/>
                <w:sz w:val="24"/>
                <w:szCs w:val="24"/>
              </w:rPr>
            </w:pPr>
            <w:r>
              <w:rPr>
                <w:rFonts w:hint="eastAsia"/>
                <w:sz w:val="24"/>
                <w:szCs w:val="24"/>
              </w:rPr>
              <w:t>上一年项目数量</w:t>
            </w:r>
          </w:p>
        </w:tc>
        <w:tc>
          <w:tcPr>
            <w:tcW w:w="4252" w:type="dxa"/>
            <w:gridSpan w:val="2"/>
            <w:vAlign w:val="center"/>
          </w:tcPr>
          <w:p>
            <w:pPr>
              <w:jc w:val="center"/>
              <w:rPr>
                <w:rFonts w:hint="eastAsia"/>
                <w:sz w:val="24"/>
                <w:szCs w:val="24"/>
              </w:rPr>
            </w:pPr>
            <w:r>
              <w:rPr>
                <w:rFonts w:hint="eastAsia"/>
                <w:sz w:val="24"/>
                <w:szCs w:val="24"/>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694" w:type="dxa"/>
            <w:vAlign w:val="center"/>
          </w:tcPr>
          <w:p>
            <w:pPr>
              <w:rPr>
                <w:rFonts w:hint="eastAsia"/>
                <w:sz w:val="24"/>
                <w:szCs w:val="24"/>
              </w:rPr>
            </w:pPr>
            <w:r>
              <w:rPr>
                <w:rFonts w:hint="eastAsia"/>
                <w:sz w:val="24"/>
                <w:szCs w:val="24"/>
              </w:rPr>
              <w:t>行政事业性收费</w:t>
            </w:r>
          </w:p>
        </w:tc>
        <w:tc>
          <w:tcPr>
            <w:tcW w:w="1985" w:type="dxa"/>
            <w:vAlign w:val="center"/>
          </w:tcPr>
          <w:p>
            <w:pPr>
              <w:rPr>
                <w:rFonts w:hint="eastAsia" w:eastAsiaTheme="minorEastAsia"/>
                <w:sz w:val="24"/>
                <w:szCs w:val="24"/>
                <w:lang w:val="en-US" w:eastAsia="zh-CN"/>
              </w:rPr>
            </w:pPr>
            <w:r>
              <w:rPr>
                <w:rFonts w:hint="eastAsia"/>
                <w:sz w:val="24"/>
                <w:szCs w:val="24"/>
                <w:lang w:val="en-US" w:eastAsia="zh-CN"/>
              </w:rPr>
              <w:t>3</w:t>
            </w:r>
          </w:p>
        </w:tc>
        <w:tc>
          <w:tcPr>
            <w:tcW w:w="4252" w:type="dxa"/>
            <w:gridSpan w:val="2"/>
            <w:vAlign w:val="center"/>
          </w:tcPr>
          <w:p>
            <w:pPr>
              <w:jc w:val="center"/>
              <w:rPr>
                <w:rFonts w:hint="eastAsia" w:eastAsiaTheme="minorEastAsia"/>
                <w:sz w:val="24"/>
                <w:szCs w:val="24"/>
                <w:lang w:val="en-US" w:eastAsia="zh-CN"/>
              </w:rPr>
            </w:pPr>
            <w:r>
              <w:rPr>
                <w:rFonts w:hint="eastAsia"/>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8931" w:type="dxa"/>
            <w:gridSpan w:val="4"/>
            <w:vAlign w:val="center"/>
          </w:tcPr>
          <w:p>
            <w:pPr>
              <w:jc w:val="center"/>
              <w:rPr>
                <w:rFonts w:hint="eastAsia"/>
                <w:sz w:val="24"/>
                <w:szCs w:val="24"/>
              </w:rPr>
            </w:pPr>
            <w:r>
              <w:rPr>
                <w:rFonts w:hint="eastAsia"/>
                <w:sz w:val="24"/>
                <w:szCs w:val="24"/>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2694" w:type="dxa"/>
            <w:vAlign w:val="center"/>
          </w:tcPr>
          <w:p>
            <w:pPr>
              <w:jc w:val="center"/>
              <w:rPr>
                <w:rFonts w:hint="eastAsia"/>
                <w:sz w:val="24"/>
                <w:szCs w:val="24"/>
              </w:rPr>
            </w:pPr>
            <w:r>
              <w:rPr>
                <w:rFonts w:hint="eastAsia"/>
                <w:sz w:val="24"/>
                <w:szCs w:val="24"/>
              </w:rPr>
              <w:t>信息内容</w:t>
            </w:r>
          </w:p>
        </w:tc>
        <w:tc>
          <w:tcPr>
            <w:tcW w:w="1985" w:type="dxa"/>
            <w:vAlign w:val="center"/>
          </w:tcPr>
          <w:p>
            <w:pPr>
              <w:jc w:val="center"/>
              <w:rPr>
                <w:rFonts w:hint="eastAsia"/>
                <w:sz w:val="24"/>
                <w:szCs w:val="24"/>
              </w:rPr>
            </w:pPr>
            <w:r>
              <w:rPr>
                <w:rFonts w:hint="eastAsia"/>
                <w:sz w:val="24"/>
                <w:szCs w:val="24"/>
              </w:rPr>
              <w:t>采购项目数量</w:t>
            </w:r>
          </w:p>
        </w:tc>
        <w:tc>
          <w:tcPr>
            <w:tcW w:w="4252" w:type="dxa"/>
            <w:gridSpan w:val="2"/>
            <w:vAlign w:val="center"/>
          </w:tcPr>
          <w:p>
            <w:pPr>
              <w:jc w:val="center"/>
              <w:rPr>
                <w:rFonts w:hint="eastAsia"/>
                <w:sz w:val="24"/>
                <w:szCs w:val="24"/>
              </w:rPr>
            </w:pPr>
            <w:r>
              <w:rPr>
                <w:rFonts w:hint="eastAsia"/>
                <w:sz w:val="24"/>
                <w:szCs w:val="24"/>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694" w:type="dxa"/>
            <w:vAlign w:val="center"/>
          </w:tcPr>
          <w:p>
            <w:pPr>
              <w:rPr>
                <w:rFonts w:hint="eastAsia"/>
                <w:sz w:val="24"/>
                <w:szCs w:val="24"/>
              </w:rPr>
            </w:pPr>
            <w:r>
              <w:rPr>
                <w:rFonts w:hint="eastAsia"/>
                <w:sz w:val="24"/>
                <w:szCs w:val="24"/>
              </w:rPr>
              <w:t>政府集中采购</w:t>
            </w:r>
          </w:p>
        </w:tc>
        <w:tc>
          <w:tcPr>
            <w:tcW w:w="1985" w:type="dxa"/>
            <w:vAlign w:val="center"/>
          </w:tcPr>
          <w:p>
            <w:pPr>
              <w:rPr>
                <w:rFonts w:hint="default" w:eastAsiaTheme="minorEastAsia"/>
                <w:sz w:val="24"/>
                <w:szCs w:val="24"/>
                <w:lang w:val="en-US" w:eastAsia="zh-CN"/>
              </w:rPr>
            </w:pPr>
            <w:r>
              <w:rPr>
                <w:rFonts w:hint="eastAsia"/>
                <w:sz w:val="24"/>
                <w:szCs w:val="24"/>
                <w:lang w:val="en-US" w:eastAsia="zh-CN"/>
              </w:rPr>
              <w:t>15</w:t>
            </w:r>
          </w:p>
        </w:tc>
        <w:tc>
          <w:tcPr>
            <w:tcW w:w="4252" w:type="dxa"/>
            <w:gridSpan w:val="2"/>
            <w:vAlign w:val="center"/>
          </w:tcPr>
          <w:p>
            <w:pPr>
              <w:rPr>
                <w:rFonts w:hint="default" w:eastAsiaTheme="minorEastAsia"/>
                <w:sz w:val="24"/>
                <w:szCs w:val="24"/>
                <w:lang w:val="en-US" w:eastAsia="zh-CN"/>
              </w:rPr>
            </w:pPr>
            <w:r>
              <w:rPr>
                <w:rFonts w:hint="eastAsia"/>
                <w:sz w:val="24"/>
                <w:szCs w:val="24"/>
                <w:lang w:val="en-US" w:eastAsia="zh-CN"/>
              </w:rPr>
              <w:t>8.4</w:t>
            </w:r>
          </w:p>
        </w:tc>
      </w:tr>
    </w:tbl>
    <w:p>
      <w:pPr>
        <w:rPr>
          <w:rFonts w:hint="eastAsia"/>
        </w:rPr>
      </w:pPr>
    </w:p>
    <w:p>
      <w:pPr>
        <w:rPr>
          <w:rFonts w:hint="eastAsia"/>
          <w:b/>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5"/>
        <w:tblW w:w="9781"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820" w:type="dxa"/>
            <w:gridSpan w:val="3"/>
            <w:vMerge w:val="restart"/>
            <w:vAlign w:val="center"/>
          </w:tcPr>
          <w:p>
            <w:pPr>
              <w:rPr>
                <w:rFonts w:hint="eastAsia"/>
              </w:rPr>
            </w:pPr>
            <w:r>
              <w:rPr>
                <w:rFonts w:hint="eastAsia"/>
              </w:rPr>
              <w:t>（本列数据的勾稽关系为：第一项加第二项之和，等于第三项加第四项之和）</w:t>
            </w:r>
          </w:p>
        </w:tc>
        <w:tc>
          <w:tcPr>
            <w:tcW w:w="4961" w:type="dxa"/>
            <w:gridSpan w:val="7"/>
            <w:vAlign w:val="center"/>
          </w:tcPr>
          <w:p>
            <w:pPr>
              <w:jc w:val="center"/>
              <w:rPr>
                <w:rFonts w:hint="eastAsia"/>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4820" w:type="dxa"/>
            <w:gridSpan w:val="3"/>
            <w:vMerge w:val="continue"/>
          </w:tcPr>
          <w:p>
            <w:pPr>
              <w:rPr>
                <w:rFonts w:hint="eastAsia"/>
              </w:rPr>
            </w:pPr>
          </w:p>
        </w:tc>
        <w:tc>
          <w:tcPr>
            <w:tcW w:w="567" w:type="dxa"/>
            <w:vMerge w:val="restart"/>
            <w:vAlign w:val="center"/>
          </w:tcPr>
          <w:p>
            <w:pPr>
              <w:jc w:val="center"/>
              <w:rPr>
                <w:rFonts w:hint="eastAsia"/>
                <w:sz w:val="18"/>
                <w:szCs w:val="18"/>
              </w:rPr>
            </w:pPr>
            <w:r>
              <w:rPr>
                <w:rFonts w:hint="eastAsia"/>
                <w:szCs w:val="21"/>
              </w:rPr>
              <w:t>自然人</w:t>
            </w:r>
          </w:p>
        </w:tc>
        <w:tc>
          <w:tcPr>
            <w:tcW w:w="3544" w:type="dxa"/>
            <w:gridSpan w:val="5"/>
            <w:vAlign w:val="center"/>
          </w:tcPr>
          <w:p>
            <w:pPr>
              <w:jc w:val="center"/>
              <w:rPr>
                <w:rFonts w:hint="eastAsia"/>
                <w:szCs w:val="21"/>
              </w:rPr>
            </w:pPr>
            <w:r>
              <w:rPr>
                <w:rFonts w:hint="eastAsia"/>
                <w:szCs w:val="21"/>
              </w:rPr>
              <w:t>法人或其他组织</w:t>
            </w:r>
          </w:p>
        </w:tc>
        <w:tc>
          <w:tcPr>
            <w:tcW w:w="850" w:type="dxa"/>
            <w:vMerge w:val="restart"/>
            <w:vAlign w:val="center"/>
          </w:tcPr>
          <w:p>
            <w:pP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4820" w:type="dxa"/>
            <w:gridSpan w:val="3"/>
            <w:vMerge w:val="continue"/>
          </w:tcPr>
          <w:p>
            <w:pPr>
              <w:rPr>
                <w:rFonts w:hint="eastAsia"/>
              </w:rPr>
            </w:pPr>
          </w:p>
        </w:tc>
        <w:tc>
          <w:tcPr>
            <w:tcW w:w="567" w:type="dxa"/>
            <w:vMerge w:val="continue"/>
          </w:tcPr>
          <w:p>
            <w:pPr>
              <w:rPr>
                <w:rFonts w:hint="eastAsia"/>
                <w:sz w:val="18"/>
                <w:szCs w:val="18"/>
              </w:rPr>
            </w:pPr>
          </w:p>
        </w:tc>
        <w:tc>
          <w:tcPr>
            <w:tcW w:w="709" w:type="dxa"/>
            <w:vAlign w:val="center"/>
          </w:tcPr>
          <w:p>
            <w:pPr>
              <w:rPr>
                <w:rFonts w:hint="eastAsia"/>
                <w:szCs w:val="21"/>
              </w:rPr>
            </w:pPr>
            <w:r>
              <w:rPr>
                <w:rFonts w:hint="eastAsia"/>
                <w:szCs w:val="21"/>
              </w:rPr>
              <w:t>商业企业</w:t>
            </w:r>
          </w:p>
        </w:tc>
        <w:tc>
          <w:tcPr>
            <w:tcW w:w="708" w:type="dxa"/>
            <w:vAlign w:val="center"/>
          </w:tcPr>
          <w:p>
            <w:pPr>
              <w:rPr>
                <w:rFonts w:hint="eastAsia"/>
                <w:szCs w:val="21"/>
              </w:rPr>
            </w:pPr>
            <w:r>
              <w:rPr>
                <w:rFonts w:hint="eastAsia"/>
                <w:szCs w:val="21"/>
              </w:rPr>
              <w:t>科研机构</w:t>
            </w:r>
          </w:p>
        </w:tc>
        <w:tc>
          <w:tcPr>
            <w:tcW w:w="709" w:type="dxa"/>
            <w:vAlign w:val="center"/>
          </w:tcPr>
          <w:p>
            <w:pPr>
              <w:rPr>
                <w:rFonts w:hint="eastAsia"/>
                <w:szCs w:val="21"/>
              </w:rPr>
            </w:pPr>
            <w:r>
              <w:rPr>
                <w:rFonts w:hint="eastAsia"/>
                <w:szCs w:val="21"/>
              </w:rPr>
              <w:t>社会公益组织</w:t>
            </w:r>
          </w:p>
        </w:tc>
        <w:tc>
          <w:tcPr>
            <w:tcW w:w="709" w:type="dxa"/>
            <w:vAlign w:val="center"/>
          </w:tcPr>
          <w:p>
            <w:pPr>
              <w:rPr>
                <w:rFonts w:hint="eastAsia"/>
                <w:szCs w:val="21"/>
              </w:rPr>
            </w:pPr>
            <w:r>
              <w:rPr>
                <w:rFonts w:hint="eastAsia"/>
                <w:szCs w:val="21"/>
              </w:rPr>
              <w:t>法律服务机构</w:t>
            </w:r>
          </w:p>
        </w:tc>
        <w:tc>
          <w:tcPr>
            <w:tcW w:w="709" w:type="dxa"/>
            <w:vAlign w:val="center"/>
          </w:tcPr>
          <w:p>
            <w:pPr>
              <w:rPr>
                <w:rFonts w:hint="eastAsia"/>
                <w:szCs w:val="21"/>
              </w:rPr>
            </w:pPr>
            <w:r>
              <w:rPr>
                <w:rFonts w:hint="eastAsia"/>
                <w:szCs w:val="21"/>
              </w:rPr>
              <w:t>其他</w:t>
            </w:r>
          </w:p>
        </w:tc>
        <w:tc>
          <w:tcPr>
            <w:tcW w:w="850" w:type="dxa"/>
            <w:vMerge w:val="continue"/>
            <w:vAlign w:val="center"/>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4820" w:type="dxa"/>
            <w:gridSpan w:val="3"/>
          </w:tcPr>
          <w:p>
            <w:pPr>
              <w:rPr>
                <w:rFonts w:hint="eastAsia"/>
              </w:rPr>
            </w:pPr>
            <w:r>
              <w:rPr>
                <w:rFonts w:hint="eastAsia"/>
              </w:rPr>
              <w:t>一、本年新收政府信息公开申请数量</w:t>
            </w:r>
          </w:p>
        </w:tc>
        <w:tc>
          <w:tcPr>
            <w:tcW w:w="567" w:type="dxa"/>
          </w:tcPr>
          <w:p>
            <w:pPr>
              <w:rPr>
                <w:rFonts w:hint="eastAsia"/>
              </w:rPr>
            </w:pPr>
          </w:p>
        </w:tc>
        <w:tc>
          <w:tcPr>
            <w:tcW w:w="709" w:type="dxa"/>
            <w:vAlign w:val="center"/>
          </w:tcPr>
          <w:p>
            <w:pPr>
              <w:rPr>
                <w:rFonts w:hint="eastAsia"/>
                <w:szCs w:val="21"/>
              </w:rPr>
            </w:pPr>
          </w:p>
        </w:tc>
        <w:tc>
          <w:tcPr>
            <w:tcW w:w="708"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eastAsia"/>
                <w:szCs w:val="21"/>
              </w:rPr>
            </w:pPr>
          </w:p>
        </w:tc>
        <w:tc>
          <w:tcPr>
            <w:tcW w:w="709" w:type="dxa"/>
            <w:vAlign w:val="center"/>
          </w:tcPr>
          <w:p>
            <w:pPr>
              <w:rPr>
                <w:rFonts w:hint="default" w:eastAsiaTheme="minorEastAsia"/>
                <w:szCs w:val="21"/>
                <w:lang w:val="en-US" w:eastAsia="zh-CN"/>
              </w:rPr>
            </w:pPr>
          </w:p>
        </w:tc>
        <w:tc>
          <w:tcPr>
            <w:tcW w:w="850" w:type="dxa"/>
            <w:vAlign w:val="center"/>
          </w:tcPr>
          <w:p>
            <w:pPr>
              <w:rPr>
                <w:rFonts w:hint="default"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820" w:type="dxa"/>
            <w:gridSpan w:val="3"/>
          </w:tcPr>
          <w:p>
            <w:pPr>
              <w:rPr>
                <w:rFonts w:hint="eastAsia"/>
              </w:rPr>
            </w:pPr>
            <w:r>
              <w:rPr>
                <w:rFonts w:hint="eastAsia"/>
              </w:rPr>
              <w:t>二、上年结转政府信息公开申请数量</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restart"/>
            <w:vAlign w:val="center"/>
          </w:tcPr>
          <w:p>
            <w:pPr>
              <w:jc w:val="both"/>
              <w:rPr>
                <w:rFonts w:hint="eastAsia"/>
              </w:rPr>
            </w:pPr>
            <w:r>
              <w:rPr>
                <w:rFonts w:hint="eastAsia"/>
              </w:rPr>
              <w:t>三、本年度办理结果</w:t>
            </w:r>
          </w:p>
        </w:tc>
        <w:tc>
          <w:tcPr>
            <w:tcW w:w="4253" w:type="dxa"/>
            <w:gridSpan w:val="2"/>
          </w:tcPr>
          <w:p>
            <w:pPr>
              <w:rPr>
                <w:rFonts w:asciiTheme="minorEastAsia" w:hAnsiTheme="minorEastAsia"/>
                <w:sz w:val="18"/>
                <w:szCs w:val="18"/>
              </w:rPr>
            </w:pPr>
            <w:r>
              <w:rPr>
                <w:rFonts w:hint="eastAsia" w:asciiTheme="minorEastAsia" w:hAnsiTheme="minorEastAsia"/>
                <w:sz w:val="18"/>
                <w:szCs w:val="18"/>
              </w:rPr>
              <w:t>（一）予以公开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default" w:eastAsiaTheme="minorEastAsia"/>
                <w:lang w:val="en-US" w:eastAsia="zh-CN"/>
              </w:rPr>
            </w:pPr>
          </w:p>
        </w:tc>
        <w:tc>
          <w:tcPr>
            <w:tcW w:w="850" w:type="dxa"/>
          </w:tcPr>
          <w:p>
            <w:pPr>
              <w:rPr>
                <w:rFonts w:hint="default"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4253" w:type="dxa"/>
            <w:gridSpan w:val="2"/>
          </w:tcPr>
          <w:p>
            <w:pPr>
              <w:rPr>
                <w:rFonts w:asciiTheme="minorEastAsia" w:hAnsiTheme="minorEastAsia"/>
                <w:sz w:val="18"/>
                <w:szCs w:val="18"/>
              </w:rPr>
            </w:pPr>
            <w:r>
              <w:rPr>
                <w:rFonts w:hint="eastAsia" w:asciiTheme="minorEastAsia" w:hAnsiTheme="minorEastAsia"/>
                <w:sz w:val="18"/>
                <w:szCs w:val="18"/>
              </w:rPr>
              <w:t>（二）部分公开（区分处理的，只计这一情形，不计其他情形）</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67" w:type="dxa"/>
            <w:vMerge w:val="continue"/>
          </w:tcPr>
          <w:p>
            <w:pPr>
              <w:rPr>
                <w:rFonts w:hint="eastAsia"/>
              </w:rPr>
            </w:pPr>
          </w:p>
        </w:tc>
        <w:tc>
          <w:tcPr>
            <w:tcW w:w="1560" w:type="dxa"/>
            <w:vMerge w:val="restart"/>
            <w:vAlign w:val="center"/>
          </w:tcPr>
          <w:p>
            <w:pPr>
              <w:rPr>
                <w:rFonts w:asciiTheme="minorEastAsia" w:hAnsiTheme="minorEastAsia"/>
                <w:sz w:val="18"/>
                <w:szCs w:val="18"/>
              </w:rPr>
            </w:pPr>
            <w:r>
              <w:rPr>
                <w:rFonts w:hint="eastAsia" w:asciiTheme="minorEastAsia" w:hAnsiTheme="minorEastAsia"/>
                <w:sz w:val="18"/>
                <w:szCs w:val="18"/>
              </w:rPr>
              <w:t>（三）不予公开</w:t>
            </w:r>
          </w:p>
        </w:tc>
        <w:tc>
          <w:tcPr>
            <w:tcW w:w="2693" w:type="dxa"/>
          </w:tcPr>
          <w:p>
            <w:pPr>
              <w:rPr>
                <w:rFonts w:asciiTheme="minorEastAsia" w:hAnsiTheme="minorEastAsia"/>
                <w:sz w:val="18"/>
                <w:szCs w:val="18"/>
              </w:rPr>
            </w:pPr>
            <w:r>
              <w:rPr>
                <w:rFonts w:asciiTheme="minorEastAsia" w:hAnsiTheme="minorEastAsia"/>
                <w:sz w:val="18"/>
                <w:szCs w:val="18"/>
              </w:rPr>
              <w:t>1</w:t>
            </w:r>
            <w:r>
              <w:rPr>
                <w:rFonts w:hint="eastAsia" w:asciiTheme="minorEastAsia" w:hAnsiTheme="minorEastAsia"/>
                <w:sz w:val="18"/>
                <w:szCs w:val="18"/>
              </w:rPr>
              <w:t>．属于国家秘密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567" w:type="dxa"/>
            <w:vMerge w:val="continue"/>
          </w:tcPr>
          <w:p>
            <w:pPr>
              <w:rPr>
                <w:rFonts w:hint="eastAsia"/>
              </w:rPr>
            </w:pPr>
          </w:p>
        </w:tc>
        <w:tc>
          <w:tcPr>
            <w:tcW w:w="1560" w:type="dxa"/>
            <w:vMerge w:val="continue"/>
            <w:vAlign w:val="center"/>
          </w:tcPr>
          <w:p>
            <w:pPr>
              <w:rPr>
                <w:rFonts w:asciiTheme="minorEastAsia" w:hAnsiTheme="minor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2．其他法律行政法规禁止公开</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3．危及“三安全一稳定”</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4．保护第三方合法权益</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5．属于三类内部事务信息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6．属于四类过程性信息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7．属于行政执法案卷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8．属于行政查询事项</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（四）无法提供</w:t>
            </w:r>
          </w:p>
        </w:tc>
        <w:tc>
          <w:tcPr>
            <w:tcW w:w="2693" w:type="dxa"/>
          </w:tcPr>
          <w:p>
            <w:pPr>
              <w:rPr>
                <w:rFonts w:asciiTheme="minorEastAsia" w:hAnsiTheme="minorEastAsia"/>
                <w:sz w:val="18"/>
                <w:szCs w:val="18"/>
              </w:rPr>
            </w:pPr>
            <w:r>
              <w:rPr>
                <w:rFonts w:hint="eastAsia" w:asciiTheme="minorEastAsia" w:hAnsiTheme="minorEastAsia"/>
                <w:sz w:val="18"/>
                <w:szCs w:val="18"/>
              </w:rPr>
              <w:t>1．本机关不掌握相关政府信息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2．没有现成信息需要另行制作</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67" w:type="dxa"/>
            <w:vMerge w:val="continue"/>
          </w:tcPr>
          <w:p>
            <w:pPr>
              <w:rPr>
                <w:rFonts w:hint="eastAsia"/>
              </w:rPr>
            </w:pPr>
          </w:p>
        </w:tc>
        <w:tc>
          <w:tcPr>
            <w:tcW w:w="1560" w:type="dxa"/>
            <w:vMerge w:val="continue"/>
            <w:vAlign w:val="center"/>
          </w:tcPr>
          <w:p>
            <w:pPr>
              <w:rPr>
                <w:rFonts w:hint="eastAsia"/>
                <w:sz w:val="18"/>
                <w:szCs w:val="18"/>
              </w:rPr>
            </w:pPr>
          </w:p>
        </w:tc>
        <w:tc>
          <w:tcPr>
            <w:tcW w:w="2693" w:type="dxa"/>
          </w:tcPr>
          <w:p>
            <w:pPr>
              <w:rPr>
                <w:rFonts w:asciiTheme="minorEastAsia" w:hAnsiTheme="minorEastAsia"/>
                <w:sz w:val="18"/>
                <w:szCs w:val="18"/>
              </w:rPr>
            </w:pPr>
            <w:r>
              <w:rPr>
                <w:rFonts w:hint="eastAsia" w:asciiTheme="minorEastAsia" w:hAnsiTheme="minorEastAsia"/>
                <w:sz w:val="18"/>
                <w:szCs w:val="18"/>
              </w:rPr>
              <w:t>3．补正后申请内容仍不明确</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67" w:type="dxa"/>
            <w:vMerge w:val="continue"/>
          </w:tcPr>
          <w:p>
            <w:pPr>
              <w:rPr>
                <w:rFonts w:hint="eastAsia"/>
              </w:rPr>
            </w:pPr>
          </w:p>
        </w:tc>
        <w:tc>
          <w:tcPr>
            <w:tcW w:w="1560" w:type="dxa"/>
            <w:vMerge w:val="restart"/>
            <w:vAlign w:val="center"/>
          </w:tcPr>
          <w:p>
            <w:pPr>
              <w:rPr>
                <w:rFonts w:hint="eastAsia"/>
                <w:sz w:val="18"/>
                <w:szCs w:val="18"/>
              </w:rPr>
            </w:pPr>
            <w:r>
              <w:rPr>
                <w:rFonts w:hint="eastAsia"/>
                <w:sz w:val="18"/>
                <w:szCs w:val="18"/>
              </w:rPr>
              <w:t>（五）</w:t>
            </w:r>
            <w:r>
              <w:rPr>
                <w:rFonts w:hint="eastAsia" w:asciiTheme="minorEastAsia" w:hAnsiTheme="minorEastAsia"/>
                <w:sz w:val="18"/>
                <w:szCs w:val="18"/>
              </w:rPr>
              <w:t>不予处理</w:t>
            </w:r>
          </w:p>
        </w:tc>
        <w:tc>
          <w:tcPr>
            <w:tcW w:w="2693" w:type="dxa"/>
          </w:tcPr>
          <w:p>
            <w:pPr>
              <w:rPr>
                <w:rFonts w:asciiTheme="minorEastAsia" w:hAnsiTheme="minorEastAsia"/>
                <w:sz w:val="18"/>
                <w:szCs w:val="18"/>
              </w:rPr>
            </w:pPr>
            <w:r>
              <w:rPr>
                <w:rFonts w:hint="eastAsia" w:asciiTheme="minorEastAsia" w:hAnsiTheme="minorEastAsia"/>
                <w:sz w:val="18"/>
                <w:szCs w:val="18"/>
              </w:rPr>
              <w:t>1．信访举报投诉类申请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2．重复申请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asciiTheme="minorEastAsia" w:hAnsiTheme="minorEastAsia"/>
                <w:sz w:val="18"/>
                <w:szCs w:val="18"/>
              </w:rPr>
              <w:t>3</w:t>
            </w:r>
            <w:r>
              <w:rPr>
                <w:rFonts w:hint="eastAsia" w:asciiTheme="minorEastAsia" w:hAnsiTheme="minorEastAsia"/>
                <w:sz w:val="18"/>
                <w:szCs w:val="18"/>
              </w:rPr>
              <w:t>．要求提供公开出版物</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67" w:type="dxa"/>
            <w:vMerge w:val="continue"/>
          </w:tcPr>
          <w:p>
            <w:pPr>
              <w:rPr>
                <w:rFonts w:hint="eastAsia"/>
              </w:rPr>
            </w:pPr>
          </w:p>
        </w:tc>
        <w:tc>
          <w:tcPr>
            <w:tcW w:w="1560" w:type="dxa"/>
            <w:vMerge w:val="continue"/>
          </w:tcPr>
          <w:p>
            <w:pPr>
              <w:rPr>
                <w:rFonts w:hint="eastAsia"/>
              </w:rPr>
            </w:pPr>
          </w:p>
        </w:tc>
        <w:tc>
          <w:tcPr>
            <w:tcW w:w="2693" w:type="dxa"/>
          </w:tcPr>
          <w:p>
            <w:pPr>
              <w:rPr>
                <w:rFonts w:asciiTheme="minorEastAsia" w:hAnsiTheme="minorEastAsia"/>
                <w:sz w:val="18"/>
                <w:szCs w:val="18"/>
              </w:rPr>
            </w:pPr>
            <w:r>
              <w:rPr>
                <w:rFonts w:hint="eastAsia" w:asciiTheme="minorEastAsia" w:hAnsiTheme="minorEastAsia"/>
                <w:sz w:val="18"/>
                <w:szCs w:val="18"/>
              </w:rPr>
              <w:t>4．无正当理由大量反复申请</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Pr>
          <w:p>
            <w:pPr>
              <w:rPr>
                <w:rFonts w:hint="eastAsia"/>
              </w:rPr>
            </w:pPr>
          </w:p>
        </w:tc>
        <w:tc>
          <w:tcPr>
            <w:tcW w:w="1560" w:type="dxa"/>
            <w:vMerge w:val="continue"/>
          </w:tcPr>
          <w:p>
            <w:pPr>
              <w:rPr>
                <w:rFonts w:hint="eastAsia"/>
              </w:rPr>
            </w:pPr>
          </w:p>
        </w:tc>
        <w:tc>
          <w:tcPr>
            <w:tcW w:w="2693" w:type="dxa"/>
          </w:tcPr>
          <w:p>
            <w:pPr>
              <w:ind w:left="180" w:hanging="180" w:hangingChars="100"/>
              <w:rPr>
                <w:rFonts w:asciiTheme="minorEastAsia" w:hAnsiTheme="minorEastAsia"/>
                <w:sz w:val="18"/>
                <w:szCs w:val="18"/>
              </w:rPr>
            </w:pPr>
            <w:r>
              <w:rPr>
                <w:rFonts w:hint="eastAsia" w:asciiTheme="minorEastAsia" w:hAnsiTheme="minorEastAsia"/>
                <w:sz w:val="18"/>
                <w:szCs w:val="18"/>
              </w:rPr>
              <w:t>5．要求行政机关确认或重新出具已获取信息</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（六）其他处理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567" w:type="dxa"/>
          </w:tcPr>
          <w:p>
            <w:pPr>
              <w:rPr>
                <w:rFonts w:hint="eastAsia"/>
              </w:rPr>
            </w:pPr>
          </w:p>
        </w:tc>
        <w:tc>
          <w:tcPr>
            <w:tcW w:w="4253" w:type="dxa"/>
            <w:gridSpan w:val="2"/>
            <w:vAlign w:val="center"/>
          </w:tcPr>
          <w:p>
            <w:pPr>
              <w:rPr>
                <w:rFonts w:hint="eastAsia"/>
                <w:sz w:val="18"/>
                <w:szCs w:val="18"/>
              </w:rPr>
            </w:pPr>
            <w:r>
              <w:rPr>
                <w:rFonts w:hint="eastAsia"/>
                <w:sz w:val="18"/>
                <w:szCs w:val="18"/>
              </w:rPr>
              <w:t>（七）总计</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20" w:type="dxa"/>
            <w:gridSpan w:val="3"/>
            <w:vAlign w:val="center"/>
          </w:tcPr>
          <w:p>
            <w:pPr>
              <w:rPr>
                <w:rFonts w:hint="eastAsia"/>
              </w:rPr>
            </w:pPr>
            <w:r>
              <w:rPr>
                <w:rFonts w:hint="eastAsia"/>
              </w:rPr>
              <w:t>四、结转下年度继续办理</w:t>
            </w:r>
          </w:p>
        </w:tc>
        <w:tc>
          <w:tcPr>
            <w:tcW w:w="567" w:type="dxa"/>
          </w:tcPr>
          <w:p>
            <w:pPr>
              <w:rPr>
                <w:rFonts w:hint="eastAsia"/>
              </w:rPr>
            </w:pPr>
          </w:p>
        </w:tc>
        <w:tc>
          <w:tcPr>
            <w:tcW w:w="709" w:type="dxa"/>
          </w:tcPr>
          <w:p>
            <w:pPr>
              <w:rPr>
                <w:rFonts w:hint="eastAsia"/>
              </w:rPr>
            </w:pPr>
          </w:p>
        </w:tc>
        <w:tc>
          <w:tcPr>
            <w:tcW w:w="708" w:type="dxa"/>
          </w:tcPr>
          <w:p>
            <w:pPr>
              <w:rPr>
                <w:rFonts w:hint="eastAsia"/>
              </w:rPr>
            </w:pPr>
          </w:p>
        </w:tc>
        <w:tc>
          <w:tcPr>
            <w:tcW w:w="709" w:type="dxa"/>
          </w:tcPr>
          <w:p>
            <w:pPr>
              <w:rPr>
                <w:rFonts w:hint="eastAsia"/>
              </w:rPr>
            </w:pPr>
          </w:p>
        </w:tc>
        <w:tc>
          <w:tcPr>
            <w:tcW w:w="709" w:type="dxa"/>
          </w:tcPr>
          <w:p>
            <w:pPr>
              <w:rPr>
                <w:rFonts w:hint="eastAsia"/>
              </w:rPr>
            </w:pPr>
          </w:p>
        </w:tc>
        <w:tc>
          <w:tcPr>
            <w:tcW w:w="709" w:type="dxa"/>
          </w:tcPr>
          <w:p>
            <w:pPr>
              <w:rPr>
                <w:rFonts w:hint="eastAsia"/>
              </w:rPr>
            </w:pPr>
          </w:p>
        </w:tc>
        <w:tc>
          <w:tcPr>
            <w:tcW w:w="850" w:type="dxa"/>
          </w:tcPr>
          <w:p>
            <w:pPr>
              <w:rPr>
                <w:rFonts w:hint="eastAsia" w:eastAsiaTheme="minorEastAsia"/>
                <w:lang w:eastAsia="zh-CN"/>
              </w:rPr>
            </w:pPr>
            <w:r>
              <w:rPr>
                <w:rFonts w:hint="eastAsia"/>
                <w:lang w:val="en-US" w:eastAsia="zh-CN"/>
              </w:rPr>
              <w:t>0</w:t>
            </w:r>
          </w:p>
        </w:tc>
      </w:tr>
    </w:tbl>
    <w:p/>
    <w:p>
      <w:pPr>
        <w:rPr>
          <w:rFonts w:hint="eastAsia"/>
        </w:rPr>
      </w:pPr>
    </w:p>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5"/>
        <w:tblW w:w="1020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709"/>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402" w:type="dxa"/>
            <w:gridSpan w:val="5"/>
            <w:vAlign w:val="center"/>
          </w:tcPr>
          <w:p>
            <w:pPr>
              <w:jc w:val="center"/>
              <w:rPr>
                <w:rFonts w:hint="eastAsia"/>
                <w:szCs w:val="21"/>
              </w:rPr>
            </w:pPr>
            <w:r>
              <w:rPr>
                <w:rFonts w:hint="eastAsia"/>
                <w:szCs w:val="21"/>
              </w:rPr>
              <w:t>行政复议</w:t>
            </w:r>
          </w:p>
        </w:tc>
        <w:tc>
          <w:tcPr>
            <w:tcW w:w="6804" w:type="dxa"/>
            <w:gridSpan w:val="10"/>
            <w:vAlign w:val="center"/>
          </w:tcPr>
          <w:p>
            <w:pPr>
              <w:jc w:val="center"/>
              <w:rPr>
                <w:rFonts w:hint="eastAsia"/>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09" w:type="dxa"/>
            <w:vMerge w:val="restart"/>
            <w:vAlign w:val="center"/>
          </w:tcPr>
          <w:p>
            <w:pPr>
              <w:jc w:val="center"/>
              <w:rPr>
                <w:rFonts w:hint="eastAsia"/>
                <w:szCs w:val="21"/>
              </w:rPr>
            </w:pPr>
            <w:r>
              <w:rPr>
                <w:rFonts w:hint="eastAsia"/>
                <w:szCs w:val="21"/>
              </w:rPr>
              <w:t>结果维持</w:t>
            </w:r>
          </w:p>
        </w:tc>
        <w:tc>
          <w:tcPr>
            <w:tcW w:w="708" w:type="dxa"/>
            <w:vMerge w:val="restart"/>
            <w:vAlign w:val="center"/>
          </w:tcPr>
          <w:p>
            <w:pPr>
              <w:jc w:val="center"/>
              <w:rPr>
                <w:rFonts w:hint="eastAsia"/>
                <w:szCs w:val="21"/>
              </w:rPr>
            </w:pPr>
            <w:r>
              <w:rPr>
                <w:rFonts w:hint="eastAsia"/>
                <w:szCs w:val="21"/>
              </w:rPr>
              <w:t>结果纠正</w:t>
            </w:r>
          </w:p>
        </w:tc>
        <w:tc>
          <w:tcPr>
            <w:tcW w:w="709" w:type="dxa"/>
            <w:vMerge w:val="restart"/>
            <w:vAlign w:val="center"/>
          </w:tcPr>
          <w:p>
            <w:pPr>
              <w:jc w:val="center"/>
              <w:rPr>
                <w:rFonts w:hint="eastAsia"/>
                <w:szCs w:val="21"/>
              </w:rPr>
            </w:pPr>
            <w:r>
              <w:rPr>
                <w:rFonts w:hint="eastAsia"/>
                <w:szCs w:val="21"/>
              </w:rPr>
              <w:t>其他结果</w:t>
            </w:r>
          </w:p>
        </w:tc>
        <w:tc>
          <w:tcPr>
            <w:tcW w:w="682" w:type="dxa"/>
            <w:vMerge w:val="restart"/>
            <w:vAlign w:val="center"/>
          </w:tcPr>
          <w:p>
            <w:pPr>
              <w:jc w:val="center"/>
              <w:rPr>
                <w:rFonts w:hint="eastAsia"/>
                <w:szCs w:val="21"/>
              </w:rPr>
            </w:pPr>
            <w:r>
              <w:rPr>
                <w:rFonts w:hint="eastAsia"/>
                <w:szCs w:val="21"/>
              </w:rPr>
              <w:t>尚未审结</w:t>
            </w:r>
          </w:p>
        </w:tc>
        <w:tc>
          <w:tcPr>
            <w:tcW w:w="594" w:type="dxa"/>
            <w:vMerge w:val="restart"/>
            <w:vAlign w:val="center"/>
          </w:tcPr>
          <w:p>
            <w:pPr>
              <w:jc w:val="center"/>
              <w:rPr>
                <w:rFonts w:hint="eastAsia"/>
                <w:szCs w:val="21"/>
              </w:rPr>
            </w:pPr>
            <w:r>
              <w:rPr>
                <w:rFonts w:hint="eastAsia"/>
                <w:szCs w:val="21"/>
              </w:rPr>
              <w:t>总计</w:t>
            </w:r>
          </w:p>
        </w:tc>
        <w:tc>
          <w:tcPr>
            <w:tcW w:w="3402" w:type="dxa"/>
            <w:gridSpan w:val="5"/>
            <w:vAlign w:val="center"/>
          </w:tcPr>
          <w:p>
            <w:pPr>
              <w:jc w:val="center"/>
              <w:rPr>
                <w:rFonts w:hint="eastAsia"/>
                <w:szCs w:val="21"/>
              </w:rPr>
            </w:pPr>
            <w:r>
              <w:rPr>
                <w:rFonts w:hint="eastAsia"/>
                <w:szCs w:val="21"/>
              </w:rPr>
              <w:t>未经复议直接起诉</w:t>
            </w:r>
          </w:p>
        </w:tc>
        <w:tc>
          <w:tcPr>
            <w:tcW w:w="3402" w:type="dxa"/>
            <w:gridSpan w:val="5"/>
            <w:vAlign w:val="center"/>
          </w:tcPr>
          <w:p>
            <w:pPr>
              <w:jc w:val="center"/>
              <w:rPr>
                <w:rFonts w:hint="eastAsia"/>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pPr>
              <w:jc w:val="center"/>
              <w:rPr>
                <w:rFonts w:hint="eastAsia"/>
                <w:sz w:val="18"/>
                <w:szCs w:val="18"/>
              </w:rPr>
            </w:pPr>
          </w:p>
        </w:tc>
        <w:tc>
          <w:tcPr>
            <w:tcW w:w="708" w:type="dxa"/>
            <w:vMerge w:val="continue"/>
            <w:vAlign w:val="center"/>
          </w:tcPr>
          <w:p>
            <w:pPr>
              <w:jc w:val="center"/>
              <w:rPr>
                <w:rFonts w:hint="eastAsia"/>
                <w:sz w:val="18"/>
                <w:szCs w:val="18"/>
              </w:rPr>
            </w:pPr>
          </w:p>
        </w:tc>
        <w:tc>
          <w:tcPr>
            <w:tcW w:w="709" w:type="dxa"/>
            <w:vMerge w:val="continue"/>
            <w:vAlign w:val="center"/>
          </w:tcPr>
          <w:p>
            <w:pPr>
              <w:jc w:val="center"/>
              <w:rPr>
                <w:rFonts w:hint="eastAsia"/>
                <w:sz w:val="18"/>
                <w:szCs w:val="18"/>
              </w:rPr>
            </w:pPr>
          </w:p>
        </w:tc>
        <w:tc>
          <w:tcPr>
            <w:tcW w:w="682" w:type="dxa"/>
            <w:vMerge w:val="continue"/>
            <w:vAlign w:val="center"/>
          </w:tcPr>
          <w:p>
            <w:pPr>
              <w:jc w:val="center"/>
              <w:rPr>
                <w:rFonts w:hint="eastAsia"/>
                <w:szCs w:val="21"/>
              </w:rPr>
            </w:pPr>
          </w:p>
        </w:tc>
        <w:tc>
          <w:tcPr>
            <w:tcW w:w="594" w:type="dxa"/>
            <w:vMerge w:val="continue"/>
            <w:vAlign w:val="center"/>
          </w:tcPr>
          <w:p>
            <w:pPr>
              <w:jc w:val="center"/>
              <w:rPr>
                <w:rFonts w:hint="eastAsia"/>
                <w:szCs w:val="21"/>
              </w:rPr>
            </w:pPr>
          </w:p>
        </w:tc>
        <w:tc>
          <w:tcPr>
            <w:tcW w:w="709" w:type="dxa"/>
            <w:vAlign w:val="center"/>
          </w:tcPr>
          <w:p>
            <w:pPr>
              <w:jc w:val="center"/>
              <w:rPr>
                <w:rFonts w:hint="eastAsia"/>
                <w:szCs w:val="21"/>
              </w:rPr>
            </w:pPr>
            <w:r>
              <w:rPr>
                <w:rFonts w:hint="eastAsia"/>
                <w:szCs w:val="21"/>
              </w:rPr>
              <w:t>结果维持</w:t>
            </w:r>
          </w:p>
        </w:tc>
        <w:tc>
          <w:tcPr>
            <w:tcW w:w="709" w:type="dxa"/>
            <w:vAlign w:val="center"/>
          </w:tcPr>
          <w:p>
            <w:pPr>
              <w:jc w:val="center"/>
              <w:rPr>
                <w:rFonts w:hint="eastAsia"/>
                <w:szCs w:val="21"/>
              </w:rPr>
            </w:pPr>
            <w:r>
              <w:rPr>
                <w:rFonts w:hint="eastAsia"/>
                <w:szCs w:val="21"/>
              </w:rPr>
              <w:t>结果纠正</w:t>
            </w:r>
          </w:p>
        </w:tc>
        <w:tc>
          <w:tcPr>
            <w:tcW w:w="709" w:type="dxa"/>
            <w:vAlign w:val="center"/>
          </w:tcPr>
          <w:p>
            <w:pPr>
              <w:jc w:val="center"/>
              <w:rPr>
                <w:rFonts w:hint="eastAsia"/>
                <w:szCs w:val="21"/>
              </w:rPr>
            </w:pPr>
            <w:r>
              <w:rPr>
                <w:rFonts w:hint="eastAsia"/>
                <w:szCs w:val="21"/>
              </w:rPr>
              <w:t>其他结果</w:t>
            </w:r>
          </w:p>
        </w:tc>
        <w:tc>
          <w:tcPr>
            <w:tcW w:w="708" w:type="dxa"/>
            <w:vAlign w:val="center"/>
          </w:tcPr>
          <w:p>
            <w:pPr>
              <w:jc w:val="center"/>
              <w:rPr>
                <w:rFonts w:hint="eastAsia"/>
                <w:szCs w:val="21"/>
              </w:rPr>
            </w:pPr>
            <w:r>
              <w:rPr>
                <w:rFonts w:hint="eastAsia"/>
                <w:szCs w:val="21"/>
              </w:rPr>
              <w:t>尚未审结</w:t>
            </w:r>
          </w:p>
        </w:tc>
        <w:tc>
          <w:tcPr>
            <w:tcW w:w="567" w:type="dxa"/>
            <w:vAlign w:val="center"/>
          </w:tcPr>
          <w:p>
            <w:pPr>
              <w:jc w:val="center"/>
              <w:rPr>
                <w:rFonts w:hint="eastAsia"/>
                <w:szCs w:val="21"/>
              </w:rPr>
            </w:pPr>
            <w:r>
              <w:rPr>
                <w:rFonts w:hint="eastAsia"/>
                <w:szCs w:val="21"/>
              </w:rPr>
              <w:t>总计</w:t>
            </w:r>
          </w:p>
        </w:tc>
        <w:tc>
          <w:tcPr>
            <w:tcW w:w="851" w:type="dxa"/>
            <w:vAlign w:val="center"/>
          </w:tcPr>
          <w:p>
            <w:pPr>
              <w:jc w:val="center"/>
              <w:rPr>
                <w:rFonts w:hint="eastAsia"/>
                <w:szCs w:val="21"/>
              </w:rPr>
            </w:pPr>
            <w:r>
              <w:rPr>
                <w:rFonts w:hint="eastAsia"/>
                <w:szCs w:val="21"/>
              </w:rPr>
              <w:t>结果维持</w:t>
            </w:r>
          </w:p>
        </w:tc>
        <w:tc>
          <w:tcPr>
            <w:tcW w:w="650" w:type="dxa"/>
            <w:vAlign w:val="center"/>
          </w:tcPr>
          <w:p>
            <w:pPr>
              <w:jc w:val="center"/>
              <w:rPr>
                <w:rFonts w:hint="eastAsia"/>
                <w:szCs w:val="21"/>
              </w:rPr>
            </w:pPr>
            <w:r>
              <w:rPr>
                <w:rFonts w:hint="eastAsia"/>
                <w:szCs w:val="21"/>
              </w:rPr>
              <w:t>结果纠正</w:t>
            </w:r>
          </w:p>
        </w:tc>
        <w:tc>
          <w:tcPr>
            <w:tcW w:w="767" w:type="dxa"/>
            <w:vAlign w:val="center"/>
          </w:tcPr>
          <w:p>
            <w:pPr>
              <w:jc w:val="center"/>
              <w:rPr>
                <w:rFonts w:hint="eastAsia"/>
                <w:szCs w:val="21"/>
              </w:rPr>
            </w:pPr>
            <w:r>
              <w:rPr>
                <w:rFonts w:hint="eastAsia"/>
                <w:szCs w:val="21"/>
              </w:rPr>
              <w:t>其他结果</w:t>
            </w:r>
          </w:p>
        </w:tc>
        <w:tc>
          <w:tcPr>
            <w:tcW w:w="709" w:type="dxa"/>
            <w:vAlign w:val="center"/>
          </w:tcPr>
          <w:p>
            <w:pPr>
              <w:jc w:val="center"/>
              <w:rPr>
                <w:rFonts w:hint="eastAsia"/>
                <w:szCs w:val="21"/>
              </w:rPr>
            </w:pPr>
            <w:r>
              <w:rPr>
                <w:rFonts w:hint="eastAsia"/>
                <w:szCs w:val="21"/>
              </w:rPr>
              <w:t>尚未审结</w:t>
            </w:r>
          </w:p>
        </w:tc>
        <w:tc>
          <w:tcPr>
            <w:tcW w:w="425" w:type="dxa"/>
            <w:vAlign w:val="center"/>
          </w:tcPr>
          <w:p>
            <w:pPr>
              <w:jc w:val="center"/>
              <w:rPr>
                <w:rFonts w:hint="eastAsia"/>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09" w:type="dxa"/>
            <w:vAlign w:val="center"/>
          </w:tcPr>
          <w:p>
            <w:pPr>
              <w:rPr>
                <w:rFonts w:hint="eastAsia" w:eastAsiaTheme="minorEastAsia"/>
                <w:sz w:val="18"/>
                <w:szCs w:val="18"/>
                <w:lang w:val="en-US" w:eastAsia="zh-CN"/>
              </w:rPr>
            </w:pPr>
          </w:p>
        </w:tc>
        <w:tc>
          <w:tcPr>
            <w:tcW w:w="708" w:type="dxa"/>
            <w:vAlign w:val="center"/>
          </w:tcPr>
          <w:p>
            <w:pPr>
              <w:rPr>
                <w:rFonts w:hint="eastAsia"/>
                <w:sz w:val="18"/>
                <w:szCs w:val="18"/>
              </w:rPr>
            </w:pPr>
          </w:p>
        </w:tc>
        <w:tc>
          <w:tcPr>
            <w:tcW w:w="709" w:type="dxa"/>
            <w:vAlign w:val="center"/>
          </w:tcPr>
          <w:p>
            <w:pPr>
              <w:rPr>
                <w:rFonts w:hint="eastAsia"/>
                <w:sz w:val="18"/>
                <w:szCs w:val="18"/>
              </w:rPr>
            </w:pPr>
          </w:p>
        </w:tc>
        <w:tc>
          <w:tcPr>
            <w:tcW w:w="682" w:type="dxa"/>
            <w:vAlign w:val="center"/>
          </w:tcPr>
          <w:p>
            <w:pPr>
              <w:rPr>
                <w:rFonts w:hint="eastAsia"/>
                <w:szCs w:val="21"/>
              </w:rPr>
            </w:pPr>
          </w:p>
        </w:tc>
        <w:tc>
          <w:tcPr>
            <w:tcW w:w="594" w:type="dxa"/>
            <w:vAlign w:val="center"/>
          </w:tcPr>
          <w:p>
            <w:pPr>
              <w:rPr>
                <w:rFonts w:hint="eastAsia" w:eastAsiaTheme="minorEastAsia"/>
                <w:szCs w:val="21"/>
                <w:lang w:val="en-US" w:eastAsia="zh-CN"/>
              </w:rPr>
            </w:pPr>
            <w:r>
              <w:rPr>
                <w:rFonts w:hint="eastAsia"/>
                <w:szCs w:val="21"/>
                <w:lang w:val="en-US" w:eastAsia="zh-CN"/>
              </w:rPr>
              <w:t>0</w:t>
            </w:r>
          </w:p>
        </w:tc>
        <w:tc>
          <w:tcPr>
            <w:tcW w:w="709" w:type="dxa"/>
            <w:vAlign w:val="center"/>
          </w:tcPr>
          <w:p>
            <w:pPr>
              <w:rPr>
                <w:rFonts w:hint="eastAsia" w:eastAsiaTheme="minorEastAsia"/>
                <w:szCs w:val="21"/>
                <w:lang w:val="en-US" w:eastAsia="zh-CN"/>
              </w:rPr>
            </w:pPr>
          </w:p>
        </w:tc>
        <w:tc>
          <w:tcPr>
            <w:tcW w:w="709" w:type="dxa"/>
            <w:vAlign w:val="center"/>
          </w:tcPr>
          <w:p>
            <w:pPr>
              <w:rPr>
                <w:rFonts w:hint="eastAsia"/>
                <w:szCs w:val="21"/>
              </w:rPr>
            </w:pPr>
          </w:p>
        </w:tc>
        <w:tc>
          <w:tcPr>
            <w:tcW w:w="709" w:type="dxa"/>
            <w:vAlign w:val="center"/>
          </w:tcPr>
          <w:p>
            <w:pPr>
              <w:rPr>
                <w:rFonts w:hint="eastAsia"/>
                <w:szCs w:val="21"/>
              </w:rPr>
            </w:pPr>
          </w:p>
        </w:tc>
        <w:tc>
          <w:tcPr>
            <w:tcW w:w="708" w:type="dxa"/>
            <w:vAlign w:val="center"/>
          </w:tcPr>
          <w:p>
            <w:pPr>
              <w:rPr>
                <w:rFonts w:hint="eastAsia"/>
                <w:szCs w:val="21"/>
              </w:rPr>
            </w:pPr>
          </w:p>
        </w:tc>
        <w:tc>
          <w:tcPr>
            <w:tcW w:w="567" w:type="dxa"/>
            <w:vAlign w:val="center"/>
          </w:tcPr>
          <w:p>
            <w:pPr>
              <w:rPr>
                <w:rFonts w:hint="eastAsia"/>
                <w:szCs w:val="21"/>
              </w:rPr>
            </w:pPr>
          </w:p>
        </w:tc>
        <w:tc>
          <w:tcPr>
            <w:tcW w:w="851" w:type="dxa"/>
            <w:vAlign w:val="center"/>
          </w:tcPr>
          <w:p>
            <w:pPr>
              <w:rPr>
                <w:rFonts w:hint="eastAsia"/>
                <w:szCs w:val="21"/>
              </w:rPr>
            </w:pPr>
          </w:p>
        </w:tc>
        <w:tc>
          <w:tcPr>
            <w:tcW w:w="650" w:type="dxa"/>
            <w:vAlign w:val="center"/>
          </w:tcPr>
          <w:p>
            <w:pPr>
              <w:rPr>
                <w:rFonts w:hint="eastAsia"/>
                <w:szCs w:val="21"/>
              </w:rPr>
            </w:pPr>
          </w:p>
        </w:tc>
        <w:tc>
          <w:tcPr>
            <w:tcW w:w="767" w:type="dxa"/>
            <w:vAlign w:val="center"/>
          </w:tcPr>
          <w:p>
            <w:pPr>
              <w:rPr>
                <w:rFonts w:hint="eastAsia"/>
                <w:szCs w:val="21"/>
              </w:rPr>
            </w:pPr>
          </w:p>
        </w:tc>
        <w:tc>
          <w:tcPr>
            <w:tcW w:w="709" w:type="dxa"/>
            <w:vAlign w:val="center"/>
          </w:tcPr>
          <w:p>
            <w:pPr>
              <w:rPr>
                <w:rFonts w:hint="eastAsia"/>
                <w:szCs w:val="21"/>
              </w:rPr>
            </w:pPr>
          </w:p>
        </w:tc>
        <w:tc>
          <w:tcPr>
            <w:tcW w:w="425" w:type="dxa"/>
            <w:vAlign w:val="center"/>
          </w:tcPr>
          <w:p>
            <w:pPr>
              <w:rPr>
                <w:rFonts w:hint="eastAsia" w:eastAsiaTheme="minorEastAsia"/>
                <w:szCs w:val="21"/>
                <w:lang w:val="en-US" w:eastAsia="zh-CN"/>
              </w:rPr>
            </w:pPr>
            <w:r>
              <w:rPr>
                <w:rFonts w:hint="eastAsia"/>
                <w:szCs w:val="21"/>
                <w:lang w:val="en-US" w:eastAsia="zh-CN"/>
              </w:rPr>
              <w:t>0</w:t>
            </w:r>
          </w:p>
        </w:tc>
      </w:tr>
    </w:tbl>
    <w:p>
      <w:pPr>
        <w:rPr>
          <w:rFonts w:hint="eastAsia" w:ascii="黑体" w:hAnsi="黑体" w:eastAsia="黑体"/>
          <w:b/>
          <w:sz w:val="28"/>
          <w:szCs w:val="28"/>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rPr>
        <w:t>在全面依法治国的大背景下，政府信息公开面临着新形势、新任务、新挑战。根据</w:t>
      </w:r>
      <w:r>
        <w:rPr>
          <w:rFonts w:hint="eastAsia" w:ascii="仿宋" w:hAnsi="仿宋" w:eastAsia="仿宋" w:cs="仿宋"/>
          <w:sz w:val="32"/>
          <w:szCs w:val="32"/>
          <w:lang w:eastAsia="zh-CN"/>
        </w:rPr>
        <w:t>政务公开工作的</w:t>
      </w:r>
      <w:r>
        <w:rPr>
          <w:rFonts w:hint="eastAsia" w:ascii="仿宋" w:hAnsi="仿宋" w:eastAsia="仿宋" w:cs="仿宋"/>
          <w:sz w:val="32"/>
          <w:szCs w:val="32"/>
        </w:rPr>
        <w:t>部署要求，</w:t>
      </w:r>
      <w:r>
        <w:rPr>
          <w:rFonts w:hint="eastAsia" w:ascii="仿宋" w:hAnsi="仿宋" w:eastAsia="仿宋" w:cs="仿宋"/>
          <w:sz w:val="32"/>
          <w:szCs w:val="32"/>
          <w:lang w:eastAsia="zh-CN"/>
        </w:rPr>
        <w:t>桓台县人社局存在的问题及改进方向主要有以下</w:t>
      </w:r>
      <w:r>
        <w:rPr>
          <w:rFonts w:hint="eastAsia" w:ascii="仿宋" w:hAnsi="仿宋" w:eastAsia="仿宋" w:cs="仿宋"/>
          <w:sz w:val="32"/>
          <w:szCs w:val="32"/>
        </w:rPr>
        <w:t>三个方面：</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进一步完善机制，提高信息公开质量。不断完善政务信息公开制度，加强中间过程的检查督导工作，促进政务信息公开工作更加规范和完整。对原有的政府信息公开目录进行补充完善，保证公开信息的完整性和准确性。强化责任意识，提高采集业务数据的及时性、准确性，及时更新信息内容、提高信息公开工作质量。</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rPr>
        <w:t>完善目录调整机制，针对社会关注的重点、热点问题，主动做好就业创业、</w:t>
      </w:r>
      <w:r>
        <w:rPr>
          <w:rFonts w:hint="eastAsia" w:ascii="仿宋" w:hAnsi="仿宋" w:eastAsia="仿宋" w:cs="仿宋"/>
          <w:sz w:val="32"/>
          <w:szCs w:val="32"/>
          <w:lang w:eastAsia="zh-CN"/>
        </w:rPr>
        <w:t>社会保险、人才引进、</w:t>
      </w:r>
      <w:r>
        <w:rPr>
          <w:rFonts w:hint="eastAsia" w:ascii="仿宋" w:hAnsi="仿宋" w:eastAsia="仿宋" w:cs="仿宋"/>
          <w:sz w:val="32"/>
          <w:szCs w:val="32"/>
        </w:rPr>
        <w:t>财政预决算等重点领域的信息公开</w:t>
      </w:r>
      <w:r>
        <w:rPr>
          <w:rFonts w:hint="eastAsia" w:ascii="仿宋" w:hAnsi="仿宋" w:eastAsia="仿宋" w:cs="仿宋"/>
          <w:sz w:val="32"/>
          <w:szCs w:val="32"/>
          <w:lang w:eastAsia="zh-CN"/>
        </w:rPr>
        <w:t>。</w:t>
      </w:r>
      <w:r>
        <w:rPr>
          <w:rFonts w:hint="eastAsia" w:ascii="仿宋" w:hAnsi="仿宋" w:eastAsia="仿宋" w:cs="仿宋"/>
          <w:sz w:val="32"/>
          <w:szCs w:val="32"/>
        </w:rPr>
        <w:t>进一步优化网页服务功能，让信息查询更加便利快捷。不断丰富政务信息公开内容，完善信息公开目录，创新公开形式，使公开的信息更加方便群众。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规范信息发布，继续探索政府信息公开与办公信息化建设相结合的有效方式，以信息公开促进群众监督参与，以信息公开促进依法行政水平，不断提高工作和服务质量，切实维护公众的知情权、参与权和监督权。</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0" w:firstLine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4806" w:firstLineChars="1502"/>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2020年1月20日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58"/>
    <w:rsid w:val="00024810"/>
    <w:rsid w:val="000414C6"/>
    <w:rsid w:val="00087FF0"/>
    <w:rsid w:val="00216261"/>
    <w:rsid w:val="00270C0E"/>
    <w:rsid w:val="002A188B"/>
    <w:rsid w:val="002B6F68"/>
    <w:rsid w:val="003D7EB2"/>
    <w:rsid w:val="00405DB6"/>
    <w:rsid w:val="00420F86"/>
    <w:rsid w:val="00481ED7"/>
    <w:rsid w:val="004D2882"/>
    <w:rsid w:val="00697EE4"/>
    <w:rsid w:val="00714451"/>
    <w:rsid w:val="00717EE3"/>
    <w:rsid w:val="00732D81"/>
    <w:rsid w:val="00733F31"/>
    <w:rsid w:val="00741A40"/>
    <w:rsid w:val="00746739"/>
    <w:rsid w:val="007611C0"/>
    <w:rsid w:val="007F43FC"/>
    <w:rsid w:val="00892DC4"/>
    <w:rsid w:val="00920A8C"/>
    <w:rsid w:val="00935E77"/>
    <w:rsid w:val="0096093C"/>
    <w:rsid w:val="00A93492"/>
    <w:rsid w:val="00AC222F"/>
    <w:rsid w:val="00AD49B5"/>
    <w:rsid w:val="00BF42A9"/>
    <w:rsid w:val="00C61A42"/>
    <w:rsid w:val="00C762CA"/>
    <w:rsid w:val="00CA24FE"/>
    <w:rsid w:val="00D201BD"/>
    <w:rsid w:val="00D33F3A"/>
    <w:rsid w:val="00D7673F"/>
    <w:rsid w:val="00DF444D"/>
    <w:rsid w:val="00E03F11"/>
    <w:rsid w:val="00E04258"/>
    <w:rsid w:val="00E82A61"/>
    <w:rsid w:val="00EA3993"/>
    <w:rsid w:val="00FA3378"/>
    <w:rsid w:val="00FE3091"/>
    <w:rsid w:val="08593E26"/>
    <w:rsid w:val="08EA2E6B"/>
    <w:rsid w:val="0A681F82"/>
    <w:rsid w:val="19427845"/>
    <w:rsid w:val="197C4AFF"/>
    <w:rsid w:val="1BF01105"/>
    <w:rsid w:val="1C1070CE"/>
    <w:rsid w:val="1C337EA9"/>
    <w:rsid w:val="1F7B4CD4"/>
    <w:rsid w:val="2394744A"/>
    <w:rsid w:val="25637804"/>
    <w:rsid w:val="26311514"/>
    <w:rsid w:val="26777A37"/>
    <w:rsid w:val="270D7E73"/>
    <w:rsid w:val="2DF5433F"/>
    <w:rsid w:val="2F417B76"/>
    <w:rsid w:val="30423115"/>
    <w:rsid w:val="35D65B22"/>
    <w:rsid w:val="37E513FE"/>
    <w:rsid w:val="389D2393"/>
    <w:rsid w:val="3BE54C38"/>
    <w:rsid w:val="434B1719"/>
    <w:rsid w:val="4AC24AD2"/>
    <w:rsid w:val="4CB339FD"/>
    <w:rsid w:val="4DD0164F"/>
    <w:rsid w:val="4DE93206"/>
    <w:rsid w:val="4ED37510"/>
    <w:rsid w:val="4F895E13"/>
    <w:rsid w:val="540E13DD"/>
    <w:rsid w:val="5A1C0567"/>
    <w:rsid w:val="5C9D4340"/>
    <w:rsid w:val="5EBD3150"/>
    <w:rsid w:val="65E57667"/>
    <w:rsid w:val="6BA728C7"/>
    <w:rsid w:val="74C3330B"/>
    <w:rsid w:val="758D1D2B"/>
    <w:rsid w:val="767B7762"/>
    <w:rsid w:val="77393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before="100" w:beforeAutospacing="1" w:after="120"/>
    </w:pPr>
    <w:rPr>
      <w:rFonts w:eastAsia="宋体"/>
      <w:sz w:val="21"/>
      <w:szCs w:val="21"/>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172</Words>
  <Characters>984</Characters>
  <Lines>8</Lines>
  <Paragraphs>2</Paragraphs>
  <TotalTime>6</TotalTime>
  <ScaleCrop>false</ScaleCrop>
  <LinksUpToDate>false</LinksUpToDate>
  <CharactersWithSpaces>1154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珲</cp:lastModifiedBy>
  <dcterms:modified xsi:type="dcterms:W3CDTF">2021-01-21T02:58:26Z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