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right="0"/>
        <w:jc w:val="center"/>
        <w:rPr>
          <w:rFonts w:hint="eastAsia" w:ascii="宋体" w:hAnsi="宋体" w:eastAsia="宋体" w:cs="宋体"/>
          <w:b/>
          <w:bCs/>
          <w:sz w:val="28"/>
          <w:szCs w:val="28"/>
        </w:rPr>
      </w:pPr>
      <w:r>
        <w:rPr>
          <w:rFonts w:hint="eastAsia" w:ascii="宋体" w:hAnsi="宋体" w:eastAsia="宋体" w:cs="宋体"/>
          <w:b/>
          <w:bCs/>
          <w:sz w:val="28"/>
          <w:szCs w:val="28"/>
        </w:rPr>
        <w:t>桓台县人民政府办公室</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关于加强面向全国知名民营企业</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招商走访工作的通知</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bookmarkStart w:id="0" w:name="_GoBack"/>
      <w:r>
        <w:rPr>
          <w:rFonts w:hint="eastAsia" w:ascii="宋体" w:hAnsi="宋体" w:eastAsia="宋体" w:cs="宋体"/>
          <w:sz w:val="28"/>
          <w:szCs w:val="28"/>
        </w:rPr>
        <w:t>桓政办发〔2014〕</w:t>
      </w:r>
      <w:r>
        <w:rPr>
          <w:rFonts w:hint="eastAsia" w:ascii="宋体" w:hAnsi="宋体" w:eastAsia="宋体" w:cs="宋体"/>
          <w:sz w:val="28"/>
          <w:szCs w:val="28"/>
          <w:lang w:val="en-US" w:eastAsia="zh-CN"/>
        </w:rPr>
        <w:t>12</w:t>
      </w:r>
      <w:r>
        <w:rPr>
          <w:rFonts w:hint="eastAsia" w:ascii="宋体" w:hAnsi="宋体" w:eastAsia="宋体" w:cs="宋体"/>
          <w:sz w:val="28"/>
          <w:szCs w:val="28"/>
        </w:rPr>
        <w:t>号</w:t>
      </w:r>
    </w:p>
    <w:bookmarkEnd w:id="0"/>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p>
    <w:p>
      <w:pPr>
        <w:pStyle w:val="2"/>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2"/>
        <w:keepNext w:val="0"/>
        <w:keepLines w:val="0"/>
        <w:widowControl/>
        <w:suppressLineNumbers w:val="0"/>
        <w:spacing w:before="0" w:beforeAutospacing="1" w:after="0" w:afterAutospacing="1"/>
        <w:ind w:left="0" w:right="0" w:firstLine="640"/>
        <w:rPr>
          <w:rFonts w:hint="eastAsia" w:ascii="宋体" w:hAnsi="宋体" w:eastAsia="宋体" w:cs="宋体"/>
          <w:sz w:val="28"/>
          <w:szCs w:val="28"/>
        </w:rPr>
      </w:pPr>
      <w:r>
        <w:rPr>
          <w:rFonts w:hint="eastAsia" w:ascii="宋体" w:hAnsi="宋体" w:eastAsia="宋体" w:cs="宋体"/>
          <w:sz w:val="28"/>
          <w:szCs w:val="28"/>
        </w:rPr>
        <w:t>全国工商联十一届三次执委会暨全国知名民营企业家助推山东转调创投资洽谈会将于12月份在我省召开，为充分利用这一重要平台，千方百计地引进一批投资规模大，科技含量高，产业带动强的大项目、好项目，切实做好我县面向全国知名民营企业的走访招商工作，现将有关事项通知如下：</w:t>
      </w:r>
    </w:p>
    <w:p>
      <w:pPr>
        <w:pStyle w:val="2"/>
        <w:keepNext w:val="0"/>
        <w:keepLines w:val="0"/>
        <w:widowControl/>
        <w:suppressLineNumbers w:val="0"/>
        <w:spacing w:before="0" w:beforeAutospacing="1" w:after="0" w:afterAutospacing="1"/>
        <w:ind w:left="0" w:right="0"/>
        <w:rPr>
          <w:rFonts w:hint="eastAsia" w:ascii="宋体" w:hAnsi="宋体" w:eastAsia="宋体" w:cs="宋体"/>
          <w:b/>
          <w:bCs/>
          <w:sz w:val="28"/>
          <w:szCs w:val="28"/>
        </w:rPr>
      </w:pPr>
      <w:r>
        <w:rPr>
          <w:rFonts w:hint="eastAsia" w:ascii="宋体" w:hAnsi="宋体" w:eastAsia="宋体" w:cs="宋体"/>
          <w:b/>
          <w:bCs/>
          <w:sz w:val="28"/>
          <w:szCs w:val="28"/>
        </w:rPr>
        <w:t>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一、明确目标</w:t>
      </w:r>
    </w:p>
    <w:p>
      <w:pPr>
        <w:pStyle w:val="2"/>
        <w:keepNext w:val="0"/>
        <w:keepLines w:val="0"/>
        <w:widowControl/>
        <w:suppressLineNumbers w:val="0"/>
        <w:spacing w:before="0" w:beforeAutospacing="1" w:after="0" w:afterAutospacing="1"/>
        <w:ind w:left="0" w:right="0" w:firstLine="640"/>
        <w:rPr>
          <w:rFonts w:hint="eastAsia" w:ascii="宋体" w:hAnsi="宋体" w:eastAsia="宋体" w:cs="宋体"/>
          <w:sz w:val="28"/>
          <w:szCs w:val="28"/>
        </w:rPr>
      </w:pPr>
      <w:r>
        <w:rPr>
          <w:rFonts w:hint="eastAsia" w:ascii="宋体" w:hAnsi="宋体" w:eastAsia="宋体" w:cs="宋体"/>
          <w:sz w:val="28"/>
          <w:szCs w:val="28"/>
        </w:rPr>
        <w:t>各镇（街道）、各部门要结合今年的招商任务和目标，对辖域内企业进行深入调研，根据市政府下达的327家重点对接民营企业，找准结合点、切入点，列出一批拟对接重点民营企业及拟拜访重点企业，每镇（街道）不少于3家。同时，各镇（街道）、各部门要按照转调创的要求，根据自身产业特点认真策划、筛选，着重在现代农业、汽车高端制造业、战略性新兴产业、重点产业园区和重大基础设施项目、文化旅游、健康养生、现代物流、金融服务等方面，确定一批重点对外招商项目，并报县商务局。</w:t>
      </w:r>
    </w:p>
    <w:p>
      <w:pPr>
        <w:pStyle w:val="2"/>
        <w:keepNext w:val="0"/>
        <w:keepLines w:val="0"/>
        <w:widowControl/>
        <w:suppressLineNumbers w:val="0"/>
        <w:spacing w:before="0" w:beforeAutospacing="1" w:after="0" w:afterAutospacing="1"/>
        <w:ind w:left="0" w:right="0" w:firstLine="640"/>
        <w:rPr>
          <w:rFonts w:hint="eastAsia" w:ascii="宋体" w:hAnsi="宋体" w:eastAsia="宋体" w:cs="宋体"/>
          <w:b/>
          <w:bCs/>
          <w:sz w:val="28"/>
          <w:szCs w:val="28"/>
        </w:rPr>
      </w:pPr>
      <w:r>
        <w:rPr>
          <w:rFonts w:hint="eastAsia" w:ascii="宋体" w:hAnsi="宋体" w:eastAsia="宋体" w:cs="宋体"/>
          <w:b/>
          <w:bCs/>
          <w:sz w:val="28"/>
          <w:szCs w:val="28"/>
        </w:rPr>
        <w:t>二、注重实效</w:t>
      </w:r>
    </w:p>
    <w:p>
      <w:pPr>
        <w:pStyle w:val="2"/>
        <w:keepNext w:val="0"/>
        <w:keepLines w:val="0"/>
        <w:widowControl/>
        <w:suppressLineNumbers w:val="0"/>
        <w:spacing w:before="0" w:beforeAutospacing="1" w:after="0" w:afterAutospacing="1"/>
        <w:ind w:left="0" w:right="0" w:firstLine="640"/>
        <w:rPr>
          <w:rFonts w:hint="eastAsia" w:ascii="宋体" w:hAnsi="宋体" w:eastAsia="宋体" w:cs="宋体"/>
          <w:sz w:val="28"/>
          <w:szCs w:val="28"/>
        </w:rPr>
      </w:pPr>
      <w:r>
        <w:rPr>
          <w:rFonts w:hint="eastAsia" w:ascii="宋体" w:hAnsi="宋体" w:eastAsia="宋体" w:cs="宋体"/>
          <w:sz w:val="28"/>
          <w:szCs w:val="28"/>
        </w:rPr>
        <w:t>按照“真情感动、产业互动、政策拉动”的思路，积极推动企业“走出去”进行招商走访。真情感动就是与企业家真心实意交朋友、谈合作，以真情实感打动人、以高效工作感动人；产业互动就是根据对方投资需求和本地区产业发展和产业布局规划，尽最大努力为对方提供产业配套；政策拉动就是坚持互惠互利，在符合法律法规的情况下，拿出最优惠的政策，舍小利得大益。要通过走访考察，深入了解企业的产业发展和产品状况，学习先进管理经验，把握企业战略投资布局，摸清投资能力、方向和重点，切实提高招商引资的针对性。</w:t>
      </w:r>
    </w:p>
    <w:p>
      <w:pPr>
        <w:pStyle w:val="2"/>
        <w:keepNext w:val="0"/>
        <w:keepLines w:val="0"/>
        <w:widowControl/>
        <w:suppressLineNumbers w:val="0"/>
        <w:spacing w:before="0" w:beforeAutospacing="1" w:after="0" w:afterAutospacing="1"/>
        <w:ind w:left="0" w:right="0" w:firstLine="640"/>
        <w:rPr>
          <w:rFonts w:hint="eastAsia" w:ascii="宋体" w:hAnsi="宋体" w:eastAsia="宋体" w:cs="宋体"/>
          <w:b/>
          <w:bCs/>
          <w:sz w:val="28"/>
          <w:szCs w:val="28"/>
        </w:rPr>
      </w:pPr>
      <w:r>
        <w:rPr>
          <w:rFonts w:hint="eastAsia" w:ascii="宋体" w:hAnsi="宋体" w:eastAsia="宋体" w:cs="宋体"/>
          <w:b/>
          <w:bCs/>
          <w:sz w:val="28"/>
          <w:szCs w:val="28"/>
        </w:rPr>
        <w:t>三、加强领导</w:t>
      </w:r>
    </w:p>
    <w:p>
      <w:pPr>
        <w:pStyle w:val="2"/>
        <w:keepNext w:val="0"/>
        <w:keepLines w:val="0"/>
        <w:widowControl/>
        <w:suppressLineNumbers w:val="0"/>
        <w:spacing w:before="0" w:beforeAutospacing="1" w:after="0" w:afterAutospacing="1"/>
        <w:ind w:left="0" w:right="0" w:firstLine="640"/>
        <w:rPr>
          <w:rFonts w:hint="eastAsia" w:ascii="宋体" w:hAnsi="宋体" w:eastAsia="宋体" w:cs="宋体"/>
          <w:sz w:val="28"/>
          <w:szCs w:val="28"/>
        </w:rPr>
      </w:pPr>
      <w:r>
        <w:rPr>
          <w:rFonts w:hint="eastAsia" w:ascii="宋体" w:hAnsi="宋体" w:eastAsia="宋体" w:cs="宋体"/>
          <w:sz w:val="28"/>
          <w:szCs w:val="28"/>
        </w:rPr>
        <w:t>县政府成立桓台县民营经济促进及招商工作领导小组，统筹抓好面向民营企业的招商工作。各镇（街道）、各部门要按照分工要求，尽快制定工作方案，分解目标任务，落实工作责任，确保引进一批大项目、好项目，促进面向民营企业招商取得实实在在的成效。实行全国知名民营企业招商走访工作进展情况定期通报制度，县民营经济促进及招商工作领导小组每月通报一次工作进展情况。加强对面向全国知名民营企业招商走访工作的管理，进一步完善考核措施，通过对各个环节、各个阶段的考核，确保各项工作和技术措施落实到位。 </w:t>
      </w:r>
    </w:p>
    <w:p>
      <w:pPr>
        <w:pStyle w:val="2"/>
        <w:keepNext w:val="0"/>
        <w:keepLines w:val="0"/>
        <w:widowControl/>
        <w:suppressLineNumbers w:val="0"/>
        <w:spacing w:before="0" w:beforeAutospacing="1" w:after="0" w:afterAutospacing="1"/>
        <w:ind w:left="0" w:right="0" w:firstLine="640"/>
        <w:rPr>
          <w:rFonts w:hint="eastAsia" w:ascii="宋体" w:hAnsi="宋体" w:eastAsia="宋体" w:cs="宋体"/>
          <w:sz w:val="28"/>
          <w:szCs w:val="28"/>
        </w:rPr>
      </w:pPr>
      <w:r>
        <w:rPr>
          <w:rFonts w:hint="eastAsia" w:ascii="宋体" w:hAnsi="宋体" w:eastAsia="宋体" w:cs="宋体"/>
          <w:sz w:val="28"/>
          <w:szCs w:val="28"/>
        </w:rPr>
        <w:t>附件：重点对外招商引资项目表</w:t>
      </w:r>
    </w:p>
    <w:p>
      <w:pPr>
        <w:pStyle w:val="2"/>
        <w:keepNext w:val="0"/>
        <w:keepLines w:val="0"/>
        <w:widowControl/>
        <w:suppressLineNumbers w:val="0"/>
        <w:spacing w:before="0" w:beforeAutospacing="1" w:after="0" w:afterAutospacing="1"/>
        <w:ind w:right="0"/>
        <w:rPr>
          <w:rFonts w:hint="eastAsia" w:ascii="宋体" w:hAnsi="宋体" w:eastAsia="宋体" w:cs="宋体"/>
          <w:sz w:val="28"/>
          <w:szCs w:val="28"/>
        </w:rPr>
      </w:pPr>
    </w:p>
    <w:p>
      <w:pPr>
        <w:pStyle w:val="2"/>
        <w:keepNext w:val="0"/>
        <w:keepLines w:val="0"/>
        <w:widowControl/>
        <w:suppressLineNumbers w:val="0"/>
        <w:spacing w:before="0" w:beforeAutospacing="1" w:after="0" w:afterAutospacing="1"/>
        <w:ind w:left="0" w:right="0" w:firstLine="4960"/>
        <w:rPr>
          <w:rFonts w:hint="eastAsia" w:ascii="宋体" w:hAnsi="宋体" w:eastAsia="宋体" w:cs="宋体"/>
          <w:sz w:val="28"/>
          <w:szCs w:val="28"/>
        </w:rPr>
      </w:pPr>
      <w:r>
        <w:rPr>
          <w:rFonts w:hint="eastAsia" w:ascii="宋体" w:hAnsi="宋体" w:eastAsia="宋体" w:cs="宋体"/>
          <w:sz w:val="28"/>
          <w:szCs w:val="28"/>
        </w:rPr>
        <w:t>桓台县人民政府办公室</w:t>
      </w:r>
    </w:p>
    <w:p>
      <w:pPr>
        <w:pStyle w:val="2"/>
        <w:keepNext w:val="0"/>
        <w:keepLines w:val="0"/>
        <w:widowControl/>
        <w:suppressLineNumbers w:val="0"/>
        <w:spacing w:before="0" w:beforeAutospacing="1" w:after="0" w:afterAutospacing="1"/>
        <w:ind w:left="0" w:right="0" w:firstLine="5280"/>
        <w:rPr>
          <w:rFonts w:hint="eastAsia" w:ascii="宋体" w:hAnsi="宋体" w:eastAsia="宋体" w:cs="宋体"/>
          <w:sz w:val="28"/>
          <w:szCs w:val="28"/>
        </w:rPr>
      </w:pPr>
      <w:r>
        <w:rPr>
          <w:rFonts w:hint="eastAsia" w:ascii="宋体" w:hAnsi="宋体" w:eastAsia="宋体" w:cs="宋体"/>
          <w:sz w:val="28"/>
          <w:szCs w:val="28"/>
        </w:rPr>
        <w:t>2014年3月11日</w:t>
      </w:r>
    </w:p>
    <w:p>
      <w:pPr>
        <w:pStyle w:val="2"/>
        <w:keepNext w:val="0"/>
        <w:keepLines w:val="0"/>
        <w:widowControl/>
        <w:suppressLineNumbers w:val="0"/>
        <w:spacing w:before="0" w:beforeAutospacing="1" w:after="0" w:afterAutospacing="1"/>
        <w:ind w:left="0" w:right="0" w:firstLine="64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附件</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重点对外招商引资项目表</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sz w:val="28"/>
          <w:szCs w:val="28"/>
        </w:rPr>
        <w:t> </w:t>
      </w:r>
    </w:p>
    <w:tbl>
      <w:tblPr>
        <w:tblW w:w="8640" w:type="dxa"/>
        <w:tblCellSpacing w:w="1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blCellSpacing w:w="15" w:type="dxa"/>
        </w:trPr>
        <w:tc>
          <w:tcPr>
            <w:tcW w:w="6912" w:type="dxa"/>
            <w:tcBorders>
              <w:top w:val="single" w:color="000000" w:sz="4" w:space="0"/>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15" w:type="dxa"/>
        </w:trPr>
        <w:tc>
          <w:tcPr>
            <w:tcW w:w="6912" w:type="dxa"/>
            <w:tcBorders>
              <w:top w:val="single" w:color="000000" w:sz="4" w:space="0"/>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建设单位名称：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15" w:type="dxa"/>
        </w:trPr>
        <w:tc>
          <w:tcPr>
            <w:tcW w:w="6912" w:type="dxa"/>
            <w:tcBorders>
              <w:top w:val="single" w:color="000000" w:sz="4" w:space="0"/>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建设地址：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15" w:type="dxa"/>
        </w:trPr>
        <w:tc>
          <w:tcPr>
            <w:tcW w:w="6912" w:type="dxa"/>
            <w:tcBorders>
              <w:top w:val="single" w:color="000000" w:sz="4" w:space="0"/>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项目建设规模与主要建设内容：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15" w:type="dxa"/>
        </w:trPr>
        <w:tc>
          <w:tcPr>
            <w:tcW w:w="6912" w:type="dxa"/>
            <w:tcBorders>
              <w:top w:val="single" w:color="000000" w:sz="4" w:space="0"/>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项目总投资：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15" w:type="dxa"/>
        </w:trPr>
        <w:tc>
          <w:tcPr>
            <w:tcW w:w="6912" w:type="dxa"/>
            <w:tcBorders>
              <w:top w:val="single" w:color="000000" w:sz="4" w:space="0"/>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市场前景及效益分析：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15" w:type="dxa"/>
        </w:trPr>
        <w:tc>
          <w:tcPr>
            <w:tcW w:w="6912" w:type="dxa"/>
            <w:tcBorders>
              <w:top w:val="single" w:color="000000" w:sz="4" w:space="0"/>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基础设施配套条件：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15" w:type="dxa"/>
        </w:trPr>
        <w:tc>
          <w:tcPr>
            <w:tcW w:w="6912" w:type="dxa"/>
            <w:tcBorders>
              <w:top w:val="single" w:color="000000" w:sz="4" w:space="0"/>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合作意向（领域、方式、目标等）：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15" w:type="dxa"/>
        </w:trPr>
        <w:tc>
          <w:tcPr>
            <w:tcW w:w="6912" w:type="dxa"/>
            <w:tcBorders>
              <w:top w:val="single" w:color="000000" w:sz="4" w:space="0"/>
              <w:left w:val="single" w:color="000000" w:sz="4" w:space="0"/>
              <w:bottom w:val="single" w:color="000000" w:sz="4" w:space="0"/>
              <w:right w:val="single" w:color="000000" w:sz="4" w:space="0"/>
            </w:tcBorders>
            <w:shd w:val="clear"/>
            <w:vAlign w:val="top"/>
          </w:tcPr>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项目联系人及联系方式：</w:t>
            </w:r>
          </w:p>
        </w:tc>
      </w:tr>
    </w:tbl>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02371DB7"/>
    <w:rsid w:val="02371DB7"/>
    <w:rsid w:val="2ED33660"/>
    <w:rsid w:val="4CD13297"/>
    <w:rsid w:val="6AF36585"/>
    <w:rsid w:val="6D120AFE"/>
    <w:rsid w:val="6F844670"/>
    <w:rsid w:val="7C241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2023-11-10T07:44:00Z</dcterms:created>
  <dc:creator>╆小兔崽儿ゞ</dc:creator>
  <cp:lastModifiedBy>╆小兔崽儿ゞ</cp:lastModifiedBy>
  <dcterms:modified xsi:type="dcterms:W3CDTF">2023-11-10T08:54:28Z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131FDF8785F543949133D0D15BD182C3_13</vt:lpwstr>
  </property>
</Properties>
</file>