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pacing w:val="0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</w:rPr>
        <w:t>关于明确城区供暖价格等有关事项的通知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center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桓政办字〔2023〕22号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left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各镇人民政府，街道办事处，县政府各部门，各有关单位：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为扎实做好城区供暖工作，经县政府同意，现就明确我县城区供暖价格等有关事项通知如下：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spacing w:val="0"/>
          <w:sz w:val="24"/>
          <w:szCs w:val="24"/>
        </w:rPr>
        <w:t>一、供暖价格及供暖期限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（一）按面积收费价格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城区居民供暖价格按套内建筑面积23元/平方米。复式住宅单层安装采暖设施的，按单层面积加收30%供暖费；双层均安装采暖设施的，按全部面积计收供暖费；阁楼安装采暖设施且有房产证的，按房产证注明面积计收供暖费；没有房产证的，按阁楼下层住房面积的50%计收供暖费；地下室、杂物间、车库安装采暖设施的，按居民住宅供暖价格计收供暖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无房产证和有房产证但证上未载明套内面积（或未注明公摊面积）的，按以下比例扣除公用分摊面积后作为计费面积：建筑面积65平方米及以下为10%，65—90（含90）平方米为8%，90—130（含130）平方米为7%，130平方米以上为6%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学校、幼儿园、敬老院、社区居（村）委会等（不包括对外出租及商业经营用房）供暖价格按建筑面积22元/平方米。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非居民采暖（包括学校、幼儿园、敬老院、社区居委会等对外出租及商业经营用房）按建筑面积35元/平方米。楼层高度超过3.5米的，每超过1米加收15%供暖费（不足1米的按1米计算）。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居民家庭安装小型换热设备的，按照每个换热器每供暖季300元收取供暖费。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（二）按热量计量收费价格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居民用户基本热价为6.9元/平方米；计量热价为0.161元/千瓦时。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学校、幼儿园、敬老院、社区居（村）委会等用户基本热价为6.6元/平方米，计量热价为0.161元/千瓦时。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非居民用户基本热价为10.5元/平方米，计量热价为0.245元/千瓦时。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供热计量价格实行两部制热价，即基本热价加计量热价。基本热价按照房屋面积收取。其中，居民住宅按照套内建筑面积收取；非居民住宅按照建筑面积收取。计量热价按计量装置显示数据收取。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计算公式为：用热总费用=基本热费+计量热费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其中：基本热费=基本热价（元/平方米）×计费面积（平方米）；计量热费=计量热价（元/千瓦时）×用热量（千瓦时）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（三）供暖期为135天，自当年的11月8日至次年的3月23日。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（四）社会供热站对用户供暖，按上述规定执行。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（五）城市低保对象每户补贴600元，于每年11月8日前发放完毕。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spacing w:val="0"/>
          <w:sz w:val="24"/>
          <w:szCs w:val="24"/>
        </w:rPr>
        <w:t>二、热源企业民用供热价格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（一）各热源企业供桓台县春源热力公司供热价格为44元/吉焦。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（二）桓台县春源热力公司供社会供热站用于居民、学校、幼儿园、敬老院、社区居（村）委会等取暖的供热价格为46元/吉焦，用于非居民采暖的供热价格为57元/吉焦。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spacing w:val="0"/>
          <w:sz w:val="24"/>
          <w:szCs w:val="24"/>
        </w:rPr>
        <w:t>三、有关要求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城区供暖关系广大群众的切身利益，各有关部门、单位要高度重视，密切配合，认真落实相关政策措施。财政部门负责补贴资金的筹措，及时足额拨付民政部门，并会同审计部门切实加强对资金使用情况的监督检查，确保专款专用；民政部门负责补贴对象资格审定和补贴资金的发放工作，确保补贴对象不重不漏，资金发放准确及时；发改部门负责做好供热价格政策的宣传解释工作；市场监管部门要加强对供暖价格执行情况的监督检查，严肃查处各种违价行为；住建部门负责督促各供热经营企业采取切实可行措施，严格执行居民供暖相关政策，保证供热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城区以外供暖价格可参照本通知规定执行。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本通知自2023年11月8日起执行。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>《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桓台县人民政府办公室关于明确城区供暖价格等有关事项的通知（暂行）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>》（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桓政办字〔2022〕2号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自本通知施行之日起废止。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2023年11月7日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（此件公开发布）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B472"/>
    <w:rsid w:val="52BA7642"/>
    <w:rsid w:val="66FFB472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2023-11-08T00:53:00Z</dcterms:created>
  <dc:creator>msk</dc:creator>
  <cp:lastModifiedBy>msk</cp:lastModifiedBy>
  <dcterms:modified xsi:type="dcterms:W3CDTF">2023-11-07T17:05:49Z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A9A7E507980BBA21F8FA49655796C981</vt:lpwstr>
  </property>
</Properties>
</file>