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HTDR—2020—0020006</w:t>
      </w:r>
      <w:bookmarkStart w:id="0" w:name="_GoBack"/>
      <w:bookmarkEnd w:id="0"/>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textAlignment w:val="auto"/>
        <w:rPr>
          <w:rFonts w:hint="eastAsia" w:eastAsia="宋体"/>
          <w:lang w:eastAsia="zh-CN"/>
        </w:rPr>
      </w:pPr>
      <w:r>
        <w:rPr>
          <w:rFonts w:hint="eastAsia"/>
          <w:lang w:eastAsia="zh-CN"/>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jc w:val="center"/>
        <w:textAlignment w:val="auto"/>
      </w:pPr>
      <w:r>
        <w:rPr>
          <w:rStyle w:val="6"/>
          <w:rFonts w:ascii="微软雅黑" w:hAnsi="微软雅黑" w:eastAsia="微软雅黑" w:cs="微软雅黑"/>
          <w:sz w:val="36"/>
          <w:szCs w:val="36"/>
        </w:rPr>
        <w:t>桓台县人民政府办公室</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jc w:val="center"/>
        <w:textAlignment w:val="auto"/>
        <w:rPr>
          <w:rStyle w:val="6"/>
          <w:rFonts w:hint="eastAsia" w:ascii="微软雅黑" w:hAnsi="微软雅黑" w:eastAsia="微软雅黑" w:cs="微软雅黑"/>
          <w:sz w:val="36"/>
          <w:szCs w:val="36"/>
        </w:rPr>
      </w:pPr>
      <w:r>
        <w:rPr>
          <w:rStyle w:val="6"/>
          <w:rFonts w:hint="eastAsia" w:ascii="微软雅黑" w:hAnsi="微软雅黑" w:eastAsia="微软雅黑" w:cs="微软雅黑"/>
          <w:sz w:val="36"/>
          <w:szCs w:val="36"/>
        </w:rPr>
        <w:t>关于印发《桓台县城区噪声标准适用区域划分</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jc w:val="center"/>
        <w:textAlignment w:val="auto"/>
      </w:pPr>
      <w:r>
        <w:rPr>
          <w:rStyle w:val="6"/>
          <w:rFonts w:hint="eastAsia" w:ascii="微软雅黑" w:hAnsi="微软雅黑" w:eastAsia="微软雅黑" w:cs="微软雅黑"/>
          <w:sz w:val="36"/>
          <w:szCs w:val="36"/>
        </w:rPr>
        <w:t>及管理规定》的通知</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jc w:val="center"/>
        <w:textAlignment w:val="auto"/>
      </w:pPr>
      <w:r>
        <w:rPr>
          <w:rFonts w:hint="eastAsia" w:ascii="微软雅黑" w:hAnsi="微软雅黑" w:eastAsia="微软雅黑" w:cs="微软雅黑"/>
          <w:color w:val="000000"/>
          <w:sz w:val="24"/>
          <w:szCs w:val="24"/>
        </w:rPr>
        <w:t>桓政办字〔</w:t>
      </w:r>
      <w:r>
        <w:rPr>
          <w:rFonts w:hint="eastAsia" w:ascii="微软雅黑" w:hAnsi="微软雅黑" w:eastAsia="微软雅黑" w:cs="微软雅黑"/>
          <w:sz w:val="24"/>
          <w:szCs w:val="24"/>
        </w:rPr>
        <w:t>2020</w:t>
      </w:r>
      <w:r>
        <w:rPr>
          <w:rFonts w:hint="eastAsia" w:ascii="微软雅黑" w:hAnsi="微软雅黑" w:eastAsia="微软雅黑" w:cs="微软雅黑"/>
          <w:color w:val="000000"/>
          <w:sz w:val="24"/>
          <w:szCs w:val="24"/>
        </w:rPr>
        <w:t>〕</w:t>
      </w:r>
      <w:r>
        <w:rPr>
          <w:rFonts w:hint="eastAsia" w:ascii="微软雅黑" w:hAnsi="微软雅黑" w:eastAsia="微软雅黑" w:cs="微软雅黑"/>
          <w:sz w:val="24"/>
          <w:szCs w:val="24"/>
        </w:rPr>
        <w:t>31</w:t>
      </w:r>
      <w:r>
        <w:rPr>
          <w:rFonts w:hint="eastAsia" w:ascii="微软雅黑" w:hAnsi="微软雅黑" w:eastAsia="微软雅黑" w:cs="微软雅黑"/>
          <w:color w:val="000000"/>
          <w:sz w:val="24"/>
          <w:szCs w:val="24"/>
        </w:rPr>
        <w:t>号</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textAlignment w:val="auto"/>
        <w:rPr>
          <w:rFonts w:hint="eastAsia" w:eastAsia="宋体"/>
          <w:lang w:eastAsia="zh-CN"/>
        </w:rPr>
      </w:pPr>
      <w:r>
        <w:rPr>
          <w:rFonts w:hint="eastAsia"/>
          <w:lang w:eastAsia="zh-CN"/>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0"/>
        <w:textAlignment w:val="auto"/>
      </w:pPr>
      <w:r>
        <w:rPr>
          <w:rFonts w:hint="eastAsia" w:ascii="微软雅黑" w:hAnsi="微软雅黑" w:eastAsia="微软雅黑" w:cs="微软雅黑"/>
          <w:sz w:val="24"/>
          <w:szCs w:val="24"/>
        </w:rPr>
        <w:t>各镇人民政府，城区街道办事处，县政府各部门，各有关单位：</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《桓台县城区噪声标准适用区域划分及管理规定》已经县政府同意，现印发给你们，请认真贯彻执行。</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eastAsia="宋体"/>
          <w:lang w:eastAsia="zh-CN"/>
        </w:rPr>
      </w:pPr>
      <w:r>
        <w:rPr>
          <w:rFonts w:hint="eastAsia"/>
          <w:lang w:eastAsia="zh-CN"/>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right"/>
        <w:textAlignment w:val="auto"/>
      </w:pPr>
      <w:r>
        <w:rPr>
          <w:rFonts w:hint="eastAsia" w:ascii="微软雅黑" w:hAnsi="微软雅黑" w:eastAsia="微软雅黑" w:cs="微软雅黑"/>
          <w:sz w:val="24"/>
          <w:szCs w:val="24"/>
          <w:lang w:eastAsia="zh-CN"/>
        </w:rPr>
        <w:t xml:space="preserve">                               </w:t>
      </w:r>
      <w:r>
        <w:rPr>
          <w:rFonts w:hint="eastAsia" w:ascii="微软雅黑" w:hAnsi="微软雅黑" w:eastAsia="微软雅黑" w:cs="微软雅黑"/>
          <w:sz w:val="24"/>
          <w:szCs w:val="24"/>
        </w:rPr>
        <w:t>桓台县人民政府办公室</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right"/>
        <w:textAlignment w:val="auto"/>
      </w:pPr>
      <w:r>
        <w:rPr>
          <w:rFonts w:hint="eastAsia" w:ascii="微软雅黑" w:hAnsi="微软雅黑" w:eastAsia="微软雅黑" w:cs="微软雅黑"/>
          <w:sz w:val="24"/>
          <w:szCs w:val="24"/>
          <w:lang w:eastAsia="zh-CN"/>
        </w:rPr>
        <w:t xml:space="preserve">                                  </w:t>
      </w:r>
      <w:r>
        <w:rPr>
          <w:rFonts w:hint="eastAsia" w:ascii="微软雅黑" w:hAnsi="微软雅黑" w:eastAsia="微软雅黑" w:cs="微软雅黑"/>
          <w:sz w:val="24"/>
          <w:szCs w:val="24"/>
        </w:rPr>
        <w:t>2020年9月7日</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（此件公开发布）</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eastAsia="宋体"/>
          <w:lang w:eastAsia="zh-CN"/>
        </w:rPr>
      </w:pPr>
      <w:r>
        <w:rPr>
          <w:rFonts w:hint="eastAsia"/>
          <w:lang w:eastAsia="zh-CN"/>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pPr>
      <w:r>
        <w:rPr>
          <w:rStyle w:val="6"/>
          <w:rFonts w:hint="eastAsia" w:ascii="微软雅黑" w:hAnsi="微软雅黑" w:eastAsia="微软雅黑" w:cs="微软雅黑"/>
          <w:sz w:val="24"/>
          <w:szCs w:val="24"/>
        </w:rPr>
        <w:t>桓台县城区噪声标准适用区域划分及管理规定</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eastAsia="宋体"/>
          <w:lang w:eastAsia="zh-CN"/>
        </w:rPr>
      </w:pPr>
      <w:r>
        <w:rPr>
          <w:rFonts w:hint="eastAsia"/>
          <w:lang w:eastAsia="zh-CN"/>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为贯彻落实《淄博市人民政府办公室关于印发〈淄博市城区噪声标准适用区域划分及管理规定〉的通知》（淄政办字〔2019〕43号），加强我县区域环境噪声控制，减少噪声污染以有效改善环境质量，根据《中华人民共和国环境噪声污染防治法》、《声环境质量标准》及有关规定，对国家颁布的有关环境噪声标准在我县城区的适用区域及管理问题作出如下规定：</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Style w:val="6"/>
          <w:rFonts w:hint="eastAsia" w:ascii="微软雅黑" w:hAnsi="微软雅黑" w:eastAsia="微软雅黑" w:cs="微软雅黑"/>
          <w:sz w:val="24"/>
          <w:szCs w:val="24"/>
        </w:rPr>
        <w:t>一、区域划分</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将现有城区划分为四类功能区，共25个区域，覆盖面积约75.8平方公里。其中，1类声环境功能区1个，覆盖面积约16.3平方公里；2类声环境功能区2个，覆盖面积约13.1平方公里；3类声环境功能区3个，覆盖面积约43.5平方公里；4类声环境功能区19个，主要为19条交通主干线，覆盖面积约2.9平方公里。（详细情况见附件）。依据国家规定，在不同功能区执行不同的噪声排放标准。</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Style w:val="6"/>
          <w:rFonts w:hint="eastAsia" w:ascii="微软雅黑" w:hAnsi="微软雅黑" w:eastAsia="微软雅黑" w:cs="微软雅黑"/>
          <w:sz w:val="24"/>
          <w:szCs w:val="24"/>
        </w:rPr>
        <w:t>二、管理规定</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一）营业性文化娱乐场所和商业经营活动、建筑施工、工业企业和固定设备，应当按照所在区域的声环境功能区类型，分别执行《社会生活环境噪声排放标准》《工业企业厂界环境噪声排放标准》昼间和夜间噪声排放限值。</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（二）在城市市区噪声敏感建筑物集中区域内，禁止夜间进行产生环境噪声污染的建筑施工作业，但抢修、抢险作业和因生产工艺要求或者特殊需要必须连续作业的除外。</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因特殊需要必须连续作业的，必须有县级以上人民政府或者其有关主管部门的证明。</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前款规定的夜间作业，必须由施工单位提前公告附近居民。</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（三）禁止在商业经营活动中使用高音广播喇叭或者采用其他发出高噪声的方法招揽顾客。禁止任何单位、个人在城市市区噪声敏感建筑物集中区域内使用高音广播喇叭。</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（四）在城市范围内从事生产活动确需排放偶发性强烈噪声的，必须事先向当地公安机关提出申请，经批准后方可进行。当地公安机关应当向社会公告。</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五）对于在噪声敏感建筑物集中区域内造成严重环境噪声污染的企业事业单位，应当实施限期治理。被限期治理的单位必须按期完成治理任务。对经限期治理逾期未完成治理任务的企业事业单位，根据所造成的危害后果依法处以罚款，或者责令停业、搬迁、关闭。</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六）新建、改建、扩建的建设项目，必须遵守国家有关建设项目环境保护管理的规定。建设项目在投入生产或者使用之前，其环境噪声污染防治设施必须按照国家规定的标准和程序进行验收；达不到国家规定要求的，该建设项目不得投入生产或者使用。</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Style w:val="6"/>
          <w:rFonts w:hint="eastAsia" w:ascii="微软雅黑" w:hAnsi="微软雅黑" w:eastAsia="微软雅黑" w:cs="微软雅黑"/>
          <w:sz w:val="24"/>
          <w:szCs w:val="24"/>
        </w:rPr>
        <w:t>三、附则</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本规定由淄博市生态环境局桓台分局负责解释。自2020年10月7日起施行，有效期至2024年10月7日。</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eastAsia="宋体"/>
          <w:lang w:eastAsia="zh-CN"/>
        </w:rPr>
      </w:pPr>
      <w:r>
        <w:rPr>
          <w:rFonts w:hint="eastAsia"/>
          <w:lang w:eastAsia="zh-CN"/>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rPr>
        <w:t>附件：1.桓台县声环境功能区划表</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lang w:eastAsia="zh-CN"/>
        </w:rPr>
        <w:t xml:space="preserve">          </w:t>
      </w:r>
      <w:r>
        <w:rPr>
          <w:rFonts w:hint="eastAsia" w:ascii="微软雅黑" w:hAnsi="微软雅黑" w:eastAsia="微软雅黑" w:cs="微软雅黑"/>
          <w:sz w:val="24"/>
          <w:szCs w:val="24"/>
        </w:rPr>
        <w:t xml:space="preserve"> 2.桓台县城市区域声环境功能区域边界</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pPr>
      <w:r>
        <w:rPr>
          <w:rFonts w:hint="eastAsia" w:ascii="微软雅黑" w:hAnsi="微软雅黑" w:eastAsia="微软雅黑" w:cs="微软雅黑"/>
          <w:sz w:val="24"/>
          <w:szCs w:val="24"/>
          <w:lang w:eastAsia="zh-CN"/>
        </w:rPr>
        <w:t xml:space="preserve">        </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eastAsia="zh-CN"/>
        </w:rPr>
        <w:t xml:space="preserve">  </w:t>
      </w:r>
      <w:r>
        <w:rPr>
          <w:rFonts w:hint="eastAsia" w:ascii="微软雅黑" w:hAnsi="微软雅黑" w:eastAsia="微软雅黑" w:cs="微软雅黑"/>
          <w:sz w:val="24"/>
          <w:szCs w:val="24"/>
        </w:rPr>
        <w:t>3.桓台县声环境功能区划图</w:t>
      </w:r>
    </w:p>
    <w:p>
      <w:pPr>
        <w:pStyle w:val="3"/>
        <w:keepNext w:val="0"/>
        <w:keepLines w:val="0"/>
        <w:widowControl/>
        <w:suppressLineNumbers w:val="0"/>
        <w:rPr>
          <w:rFonts w:hint="eastAsia"/>
          <w:lang w:eastAsia="zh-CN"/>
        </w:rPr>
      </w:pPr>
      <w:r>
        <w:rPr>
          <w:rFonts w:hint="eastAsia"/>
          <w:lang w:eastAsia="zh-CN"/>
        </w:rPr>
        <w:t xml:space="preserve"> </w:t>
      </w: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rPr>
          <w:rFonts w:hint="eastAsia"/>
          <w:lang w:eastAsia="zh-CN"/>
        </w:rPr>
      </w:pPr>
    </w:p>
    <w:p>
      <w:pPr>
        <w:pStyle w:val="3"/>
        <w:keepNext w:val="0"/>
        <w:keepLines w:val="0"/>
        <w:widowControl/>
        <w:suppressLineNumbers w:val="0"/>
      </w:pPr>
      <w:r>
        <w:rPr>
          <w:rFonts w:hint="eastAsia" w:ascii="微软雅黑" w:hAnsi="微软雅黑" w:eastAsia="微软雅黑" w:cs="微软雅黑"/>
        </w:rPr>
        <w:t>附件1</w:t>
      </w:r>
    </w:p>
    <w:p>
      <w:pPr>
        <w:pStyle w:val="3"/>
        <w:keepNext w:val="0"/>
        <w:keepLines w:val="0"/>
        <w:widowControl/>
        <w:suppressLineNumbers w:val="0"/>
        <w:spacing w:before="0" w:beforeAutospacing="0" w:after="0" w:afterAutospacing="0" w:line="560" w:lineRule="atLeast"/>
        <w:jc w:val="center"/>
        <w:rPr>
          <w:rFonts w:hint="eastAsia" w:eastAsia="宋体"/>
          <w:lang w:eastAsia="zh-CN"/>
        </w:rPr>
      </w:pPr>
    </w:p>
    <w:p>
      <w:pPr>
        <w:pStyle w:val="3"/>
        <w:keepNext w:val="0"/>
        <w:keepLines w:val="0"/>
        <w:widowControl/>
        <w:suppressLineNumbers w:val="0"/>
        <w:jc w:val="center"/>
        <w:rPr>
          <w:rStyle w:val="6"/>
          <w:rFonts w:hint="eastAsia" w:ascii="微软雅黑" w:hAnsi="微软雅黑" w:eastAsia="微软雅黑" w:cs="微软雅黑"/>
        </w:rPr>
      </w:pPr>
      <w:r>
        <w:rPr>
          <w:rStyle w:val="6"/>
          <w:rFonts w:hint="eastAsia" w:ascii="微软雅黑" w:hAnsi="微软雅黑" w:eastAsia="微软雅黑" w:cs="微软雅黑"/>
        </w:rPr>
        <w:t>桓台县声环境功能区划表</w:t>
      </w:r>
    </w:p>
    <w:p>
      <w:pPr>
        <w:pStyle w:val="3"/>
        <w:keepNext w:val="0"/>
        <w:keepLines w:val="0"/>
        <w:widowControl/>
        <w:suppressLineNumbers w:val="0"/>
        <w:spacing w:before="0" w:beforeAutospacing="0" w:after="0" w:afterAutospacing="0" w:line="560" w:lineRule="atLeast"/>
        <w:jc w:val="center"/>
        <w:rPr>
          <w:rFonts w:hint="eastAsia" w:eastAsia="宋体"/>
          <w:lang w:eastAsia="zh-CN"/>
        </w:rPr>
      </w:pPr>
      <w:r>
        <w:rPr>
          <w:rFonts w:hint="eastAsia"/>
          <w:lang w:eastAsia="zh-CN"/>
        </w:rPr>
        <w:t xml:space="preserve"> </w:t>
      </w:r>
    </w:p>
    <w:tbl>
      <w:tblP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3033"/>
        <w:gridCol w:w="1742"/>
        <w:gridCol w:w="1985"/>
        <w:gridCol w:w="1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37" w:hRule="atLeast"/>
          <w:jc w:val="center"/>
        </w:trPr>
        <w:tc>
          <w:tcPr>
            <w:tcW w:w="3033" w:type="dxa"/>
            <w:tcBorders>
              <w:top w:val="single" w:color="000000" w:sz="8" w:space="0"/>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功能区类型</w:t>
            </w:r>
          </w:p>
        </w:tc>
        <w:tc>
          <w:tcPr>
            <w:tcW w:w="1742" w:type="dxa"/>
            <w:tcBorders>
              <w:top w:val="single" w:color="auto" w:sz="8" w:space="0"/>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块数</w:t>
            </w:r>
          </w:p>
        </w:tc>
        <w:tc>
          <w:tcPr>
            <w:tcW w:w="1985" w:type="dxa"/>
            <w:tcBorders>
              <w:top w:val="single" w:color="auto" w:sz="8" w:space="0"/>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面积（km</w:t>
            </w:r>
            <w:r>
              <w:rPr>
                <w:rFonts w:hint="eastAsia" w:ascii="微软雅黑" w:hAnsi="微软雅黑" w:eastAsia="微软雅黑" w:cs="微软雅黑"/>
                <w:color w:val="000000"/>
                <w:sz w:val="24"/>
                <w:szCs w:val="24"/>
                <w:bdr w:val="none" w:color="auto" w:sz="0" w:space="0"/>
                <w:vertAlign w:val="superscript"/>
              </w:rPr>
              <w:t>2</w:t>
            </w:r>
            <w:r>
              <w:rPr>
                <w:rFonts w:hint="eastAsia" w:ascii="微软雅黑" w:hAnsi="微软雅黑" w:eastAsia="微软雅黑" w:cs="微软雅黑"/>
                <w:color w:val="000000"/>
                <w:sz w:val="24"/>
                <w:szCs w:val="24"/>
                <w:bdr w:val="none" w:color="auto" w:sz="0" w:space="0"/>
              </w:rPr>
              <w:t>）</w:t>
            </w:r>
          </w:p>
        </w:tc>
        <w:tc>
          <w:tcPr>
            <w:tcW w:w="1985" w:type="dxa"/>
            <w:tcBorders>
              <w:top w:val="single" w:color="auto" w:sz="8" w:space="0"/>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占区划面积比（%）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850" w:hRule="atLeast"/>
          <w:jc w:val="center"/>
        </w:trPr>
        <w:tc>
          <w:tcPr>
            <w:tcW w:w="303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1类声环境功能区</w:t>
            </w:r>
          </w:p>
        </w:tc>
        <w:tc>
          <w:tcPr>
            <w:tcW w:w="1742"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1</w:t>
            </w:r>
          </w:p>
        </w:tc>
        <w:tc>
          <w:tcPr>
            <w:tcW w:w="1985"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16.3</w:t>
            </w:r>
          </w:p>
        </w:tc>
        <w:tc>
          <w:tcPr>
            <w:tcW w:w="1985"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21.50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850" w:hRule="atLeast"/>
          <w:jc w:val="center"/>
        </w:trPr>
        <w:tc>
          <w:tcPr>
            <w:tcW w:w="303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2类声环境功能区</w:t>
            </w:r>
          </w:p>
        </w:tc>
        <w:tc>
          <w:tcPr>
            <w:tcW w:w="1742"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2</w:t>
            </w:r>
          </w:p>
        </w:tc>
        <w:tc>
          <w:tcPr>
            <w:tcW w:w="1985"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13.1</w:t>
            </w:r>
          </w:p>
        </w:tc>
        <w:tc>
          <w:tcPr>
            <w:tcW w:w="1985"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17.28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850" w:hRule="atLeast"/>
          <w:jc w:val="center"/>
        </w:trPr>
        <w:tc>
          <w:tcPr>
            <w:tcW w:w="303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3类声环境功能区</w:t>
            </w:r>
          </w:p>
        </w:tc>
        <w:tc>
          <w:tcPr>
            <w:tcW w:w="1742"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3</w:t>
            </w:r>
          </w:p>
        </w:tc>
        <w:tc>
          <w:tcPr>
            <w:tcW w:w="1985"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43.5</w:t>
            </w:r>
          </w:p>
        </w:tc>
        <w:tc>
          <w:tcPr>
            <w:tcW w:w="1985"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57.39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850" w:hRule="atLeast"/>
          <w:jc w:val="center"/>
        </w:trPr>
        <w:tc>
          <w:tcPr>
            <w:tcW w:w="303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4类声环境功能区</w:t>
            </w:r>
          </w:p>
        </w:tc>
        <w:tc>
          <w:tcPr>
            <w:tcW w:w="1742"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19</w:t>
            </w:r>
          </w:p>
        </w:tc>
        <w:tc>
          <w:tcPr>
            <w:tcW w:w="1985"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2.9</w:t>
            </w:r>
          </w:p>
        </w:tc>
        <w:tc>
          <w:tcPr>
            <w:tcW w:w="1985"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850" w:hRule="atLeast"/>
          <w:jc w:val="center"/>
        </w:trPr>
        <w:tc>
          <w:tcPr>
            <w:tcW w:w="303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合</w:t>
            </w:r>
            <w:r>
              <w:rPr>
                <w:rFonts w:hint="eastAsia" w:ascii="微软雅黑" w:hAnsi="微软雅黑" w:eastAsia="微软雅黑" w:cs="微软雅黑"/>
                <w:color w:val="000000"/>
                <w:sz w:val="24"/>
                <w:szCs w:val="24"/>
                <w:bdr w:val="none" w:color="auto" w:sz="0" w:space="0"/>
                <w:lang w:eastAsia="zh-CN"/>
              </w:rPr>
              <w:t xml:space="preserve">  </w:t>
            </w:r>
            <w:r>
              <w:rPr>
                <w:rFonts w:hint="eastAsia" w:ascii="微软雅黑" w:hAnsi="微软雅黑" w:eastAsia="微软雅黑" w:cs="微软雅黑"/>
                <w:color w:val="000000"/>
                <w:sz w:val="24"/>
                <w:szCs w:val="24"/>
                <w:bdr w:val="none" w:color="auto" w:sz="0" w:space="0"/>
              </w:rPr>
              <w:t>计</w:t>
            </w:r>
          </w:p>
        </w:tc>
        <w:tc>
          <w:tcPr>
            <w:tcW w:w="1742"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25</w:t>
            </w:r>
          </w:p>
        </w:tc>
        <w:tc>
          <w:tcPr>
            <w:tcW w:w="1985"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75.8</w:t>
            </w:r>
          </w:p>
        </w:tc>
        <w:tc>
          <w:tcPr>
            <w:tcW w:w="1985" w:type="dxa"/>
            <w:tcBorders>
              <w:top w:val="nil"/>
              <w:left w:val="nil"/>
              <w:bottom w:val="single" w:color="auto" w:sz="8" w:space="0"/>
              <w:right w:val="single" w:color="auto" w:sz="8"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100</w:t>
            </w:r>
          </w:p>
        </w:tc>
      </w:tr>
    </w:tbl>
    <w:p>
      <w:pPr>
        <w:pStyle w:val="3"/>
        <w:keepNext w:val="0"/>
        <w:keepLines w:val="0"/>
        <w:widowControl/>
        <w:suppressLineNumbers w:val="0"/>
        <w:spacing w:before="0" w:beforeAutospacing="0" w:after="0" w:afterAutospacing="0" w:line="560" w:lineRule="atLeast"/>
        <w:jc w:val="center"/>
        <w:rPr>
          <w:rFonts w:hint="eastAsia" w:eastAsia="宋体"/>
          <w:lang w:eastAsia="zh-CN"/>
        </w:rPr>
      </w:pPr>
      <w:r>
        <w:rPr>
          <w:rFonts w:hint="eastAsia"/>
          <w:lang w:eastAsia="zh-CN"/>
        </w:rPr>
        <w:t xml:space="preserve"> </w:t>
      </w:r>
    </w:p>
    <w:p>
      <w:pPr>
        <w:pStyle w:val="3"/>
        <w:keepNext w:val="0"/>
        <w:keepLines w:val="0"/>
        <w:widowControl/>
        <w:suppressLineNumbers w:val="0"/>
        <w:jc w:val="left"/>
        <w:rPr>
          <w:rFonts w:hint="eastAsia" w:ascii="微软雅黑" w:hAnsi="微软雅黑" w:eastAsia="微软雅黑" w:cs="微软雅黑"/>
        </w:rPr>
      </w:pPr>
    </w:p>
    <w:p>
      <w:pPr>
        <w:pStyle w:val="3"/>
        <w:keepNext w:val="0"/>
        <w:keepLines w:val="0"/>
        <w:widowControl/>
        <w:suppressLineNumbers w:val="0"/>
        <w:jc w:val="left"/>
        <w:rPr>
          <w:rFonts w:hint="eastAsia" w:ascii="微软雅黑" w:hAnsi="微软雅黑" w:eastAsia="微软雅黑" w:cs="微软雅黑"/>
        </w:rPr>
      </w:pPr>
    </w:p>
    <w:p>
      <w:pPr>
        <w:pStyle w:val="3"/>
        <w:keepNext w:val="0"/>
        <w:keepLines w:val="0"/>
        <w:widowControl/>
        <w:suppressLineNumbers w:val="0"/>
        <w:jc w:val="left"/>
        <w:rPr>
          <w:rFonts w:hint="eastAsia" w:ascii="微软雅黑" w:hAnsi="微软雅黑" w:eastAsia="微软雅黑" w:cs="微软雅黑"/>
        </w:rPr>
      </w:pPr>
    </w:p>
    <w:p>
      <w:pPr>
        <w:pStyle w:val="3"/>
        <w:keepNext w:val="0"/>
        <w:keepLines w:val="0"/>
        <w:widowControl/>
        <w:suppressLineNumbers w:val="0"/>
        <w:jc w:val="left"/>
        <w:rPr>
          <w:rFonts w:hint="eastAsia" w:ascii="微软雅黑" w:hAnsi="微软雅黑" w:eastAsia="微软雅黑" w:cs="微软雅黑"/>
        </w:rPr>
      </w:pPr>
    </w:p>
    <w:p>
      <w:pPr>
        <w:pStyle w:val="3"/>
        <w:keepNext w:val="0"/>
        <w:keepLines w:val="0"/>
        <w:widowControl/>
        <w:suppressLineNumbers w:val="0"/>
        <w:jc w:val="left"/>
      </w:pPr>
      <w:r>
        <w:rPr>
          <w:rFonts w:hint="eastAsia" w:ascii="微软雅黑" w:hAnsi="微软雅黑" w:eastAsia="微软雅黑" w:cs="微软雅黑"/>
        </w:rPr>
        <w:t>附件2</w:t>
      </w:r>
    </w:p>
    <w:p>
      <w:pPr>
        <w:pStyle w:val="3"/>
        <w:keepNext w:val="0"/>
        <w:keepLines w:val="0"/>
        <w:widowControl/>
        <w:suppressLineNumbers w:val="0"/>
        <w:jc w:val="center"/>
      </w:pPr>
      <w:r>
        <w:rPr>
          <w:rStyle w:val="6"/>
          <w:rFonts w:hint="eastAsia" w:ascii="微软雅黑" w:hAnsi="微软雅黑" w:eastAsia="微软雅黑" w:cs="微软雅黑"/>
        </w:rPr>
        <w:t>桓台县城市区域声环境功能区域边界</w:t>
      </w:r>
    </w:p>
    <w:p>
      <w:pPr>
        <w:pStyle w:val="3"/>
        <w:keepNext w:val="0"/>
        <w:keepLines w:val="0"/>
        <w:widowControl/>
        <w:suppressLineNumbers w:val="0"/>
        <w:spacing w:before="0" w:beforeAutospacing="0" w:after="0" w:afterAutospacing="0" w:line="560" w:lineRule="atLeast"/>
        <w:jc w:val="center"/>
        <w:rPr>
          <w:rFonts w:hint="eastAsia" w:eastAsia="宋体"/>
          <w:lang w:eastAsia="zh-CN"/>
        </w:rPr>
      </w:pPr>
      <w:r>
        <w:rPr>
          <w:rFonts w:hint="eastAsia"/>
          <w:lang w:eastAsia="zh-CN"/>
        </w:rPr>
        <w:t xml:space="preserve"> </w:t>
      </w:r>
    </w:p>
    <w:tbl>
      <w:tblP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3117"/>
        <w:gridCol w:w="56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728" w:hRule="atLeast"/>
          <w:jc w:val="center"/>
        </w:trPr>
        <w:tc>
          <w:tcPr>
            <w:tcW w:w="3117" w:type="dxa"/>
            <w:tcBorders>
              <w:top w:val="single" w:color="000000" w:sz="8" w:space="0"/>
              <w:left w:val="single" w:color="000000" w:sz="4" w:space="0"/>
              <w:bottom w:val="single" w:color="000000" w:sz="4" w:space="0"/>
              <w:right w:val="single" w:color="000000" w:sz="4"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适用区域名称</w:t>
            </w:r>
          </w:p>
        </w:tc>
        <w:tc>
          <w:tcPr>
            <w:tcW w:w="5610" w:type="dxa"/>
            <w:tcBorders>
              <w:top w:val="single" w:color="auto" w:sz="8" w:space="0"/>
              <w:left w:val="nil"/>
              <w:bottom w:val="single" w:color="auto" w:sz="4" w:space="0"/>
              <w:right w:val="single" w:color="auto" w:sz="4"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560" w:lineRule="atLeast"/>
              <w:jc w:val="center"/>
            </w:pPr>
            <w:r>
              <w:rPr>
                <w:rFonts w:hint="eastAsia" w:ascii="微软雅黑" w:hAnsi="微软雅黑" w:eastAsia="微软雅黑" w:cs="微软雅黑"/>
                <w:color w:val="000000"/>
                <w:sz w:val="24"/>
                <w:szCs w:val="24"/>
                <w:bdr w:val="none" w:color="auto" w:sz="0" w:space="0"/>
              </w:rPr>
              <w:t>区域边界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70" w:hRule="atLeast"/>
          <w:jc w:val="center"/>
        </w:trPr>
        <w:tc>
          <w:tcPr>
            <w:tcW w:w="3117" w:type="dxa"/>
            <w:tcBorders>
              <w:top w:val="single" w:color="000000" w:sz="8" w:space="0"/>
              <w:left w:val="single" w:color="000000" w:sz="4" w:space="0"/>
              <w:bottom w:val="single" w:color="000000" w:sz="4" w:space="0"/>
              <w:right w:val="single" w:color="000000" w:sz="4"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360" w:lineRule="atLeast"/>
              <w:jc w:val="center"/>
            </w:pPr>
            <w:r>
              <w:rPr>
                <w:rFonts w:hint="eastAsia" w:ascii="微软雅黑" w:hAnsi="微软雅黑" w:eastAsia="微软雅黑" w:cs="微软雅黑"/>
                <w:color w:val="000000"/>
                <w:sz w:val="24"/>
                <w:szCs w:val="24"/>
                <w:bdr w:val="none" w:color="auto" w:sz="0" w:space="0"/>
              </w:rPr>
              <w:t>1类标准适用区域</w:t>
            </w:r>
          </w:p>
        </w:tc>
        <w:tc>
          <w:tcPr>
            <w:tcW w:w="5610" w:type="dxa"/>
            <w:tcBorders>
              <w:top w:val="single" w:color="auto" w:sz="8" w:space="0"/>
              <w:left w:val="nil"/>
              <w:bottom w:val="single" w:color="auto" w:sz="4" w:space="0"/>
              <w:right w:val="single" w:color="auto" w:sz="4"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360" w:lineRule="atLeast"/>
              <w:jc w:val="center"/>
            </w:pPr>
            <w:r>
              <w:rPr>
                <w:rFonts w:hint="eastAsia" w:ascii="微软雅黑" w:hAnsi="微软雅黑" w:eastAsia="微软雅黑" w:cs="微软雅黑"/>
                <w:color w:val="000000"/>
                <w:sz w:val="24"/>
                <w:szCs w:val="24"/>
                <w:bdr w:val="none" w:color="auto" w:sz="0" w:space="0"/>
              </w:rPr>
              <w:t>工业街—柳泉北路—建设街—一中西路—桓台大道—唐华路—山深线—果里大道—柳泉北路—山深线—少海路—桓台大道—顺河路—建设街—张北路—工业街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4" w:hRule="atLeast"/>
          <w:jc w:val="center"/>
        </w:trPr>
        <w:tc>
          <w:tcPr>
            <w:tcW w:w="3117" w:type="dxa"/>
            <w:vMerge w:val="restart"/>
            <w:tcBorders>
              <w:top w:val="single" w:color="000000" w:sz="8" w:space="0"/>
              <w:left w:val="single" w:color="000000" w:sz="4" w:space="0"/>
              <w:bottom w:val="single" w:color="000000" w:sz="4" w:space="0"/>
              <w:right w:val="single" w:color="000000" w:sz="4"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360" w:lineRule="atLeast"/>
              <w:jc w:val="center"/>
            </w:pPr>
            <w:r>
              <w:rPr>
                <w:rFonts w:hint="eastAsia" w:ascii="微软雅黑" w:hAnsi="微软雅黑" w:eastAsia="微软雅黑" w:cs="微软雅黑"/>
                <w:color w:val="000000"/>
                <w:sz w:val="24"/>
                <w:szCs w:val="24"/>
                <w:bdr w:val="none" w:color="auto" w:sz="0" w:space="0"/>
              </w:rPr>
              <w:t>2类标准适用区域</w:t>
            </w:r>
          </w:p>
        </w:tc>
        <w:tc>
          <w:tcPr>
            <w:tcW w:w="5610" w:type="dxa"/>
            <w:tcBorders>
              <w:top w:val="single" w:color="auto" w:sz="8" w:space="0"/>
              <w:left w:val="nil"/>
              <w:bottom w:val="single" w:color="auto" w:sz="4" w:space="0"/>
              <w:right w:val="single" w:color="auto" w:sz="4"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360" w:lineRule="atLeast"/>
              <w:jc w:val="center"/>
            </w:pPr>
            <w:r>
              <w:rPr>
                <w:rFonts w:hint="eastAsia" w:ascii="微软雅黑" w:hAnsi="微软雅黑" w:eastAsia="微软雅黑" w:cs="微软雅黑"/>
                <w:color w:val="000000"/>
                <w:sz w:val="24"/>
                <w:szCs w:val="24"/>
                <w:bdr w:val="none" w:color="auto" w:sz="0" w:space="0"/>
              </w:rPr>
              <w:t>张北路—王徐路—唐华路—桓台大道—一中西路—建设街—柳泉北路—工业街—张北路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57" w:hRule="atLeast"/>
          <w:jc w:val="center"/>
        </w:trPr>
        <w:tc>
          <w:tcPr>
            <w:tcW w:w="3117" w:type="dxa"/>
            <w:vMerge w:val="continue"/>
            <w:tcBorders>
              <w:top w:val="single" w:color="000000" w:sz="8" w:space="0"/>
              <w:left w:val="single" w:color="000000" w:sz="4" w:space="0"/>
              <w:bottom w:val="single" w:color="000000" w:sz="4" w:space="0"/>
              <w:right w:val="single" w:color="000000" w:sz="4" w:space="0"/>
            </w:tcBorders>
            <w:shd w:val="clear"/>
            <w:tcMar>
              <w:top w:w="0" w:type="dxa"/>
              <w:left w:w="108" w:type="dxa"/>
              <w:bottom w:w="0" w:type="dxa"/>
              <w:right w:w="108" w:type="dxa"/>
            </w:tcMar>
            <w:vAlign w:val="center"/>
          </w:tcPr>
          <w:p>
            <w:pPr>
              <w:rPr>
                <w:rFonts w:hint="eastAsia" w:ascii="宋体"/>
                <w:sz w:val="24"/>
                <w:szCs w:val="24"/>
              </w:rPr>
            </w:pPr>
          </w:p>
        </w:tc>
        <w:tc>
          <w:tcPr>
            <w:tcW w:w="5610" w:type="dxa"/>
            <w:tcBorders>
              <w:top w:val="single" w:color="auto" w:sz="8" w:space="0"/>
              <w:left w:val="nil"/>
              <w:bottom w:val="single" w:color="auto" w:sz="4" w:space="0"/>
              <w:right w:val="single" w:color="auto" w:sz="4"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360" w:lineRule="atLeast"/>
              <w:jc w:val="center"/>
            </w:pPr>
            <w:r>
              <w:rPr>
                <w:rFonts w:hint="eastAsia" w:ascii="微软雅黑" w:hAnsi="微软雅黑" w:eastAsia="微软雅黑" w:cs="微软雅黑"/>
                <w:color w:val="000000"/>
                <w:sz w:val="24"/>
                <w:szCs w:val="24"/>
                <w:bdr w:val="none" w:color="auto" w:sz="0" w:space="0"/>
              </w:rPr>
              <w:t>张北路—桓台大道—少海路—山深线—柳泉北路—果里大道—张北路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4" w:hRule="atLeast"/>
          <w:jc w:val="center"/>
        </w:trPr>
        <w:tc>
          <w:tcPr>
            <w:tcW w:w="3117" w:type="dxa"/>
            <w:vMerge w:val="restart"/>
            <w:tcBorders>
              <w:top w:val="single" w:color="000000" w:sz="8" w:space="0"/>
              <w:left w:val="single" w:color="000000" w:sz="4" w:space="0"/>
              <w:bottom w:val="single" w:color="000000" w:sz="4" w:space="0"/>
              <w:right w:val="single" w:color="000000" w:sz="4"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360" w:lineRule="atLeast"/>
              <w:jc w:val="center"/>
            </w:pPr>
            <w:r>
              <w:rPr>
                <w:rFonts w:hint="eastAsia" w:ascii="微软雅黑" w:hAnsi="微软雅黑" w:eastAsia="微软雅黑" w:cs="微软雅黑"/>
                <w:color w:val="000000"/>
                <w:sz w:val="24"/>
                <w:szCs w:val="24"/>
                <w:bdr w:val="none" w:color="auto" w:sz="0" w:space="0"/>
              </w:rPr>
              <w:t>3类标准适用区域</w:t>
            </w:r>
          </w:p>
        </w:tc>
        <w:tc>
          <w:tcPr>
            <w:tcW w:w="5610" w:type="dxa"/>
            <w:tcBorders>
              <w:top w:val="single" w:color="auto" w:sz="8" w:space="0"/>
              <w:left w:val="nil"/>
              <w:bottom w:val="single" w:color="auto" w:sz="4" w:space="0"/>
              <w:right w:val="single" w:color="auto" w:sz="4"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360" w:lineRule="atLeast"/>
              <w:jc w:val="center"/>
            </w:pPr>
            <w:r>
              <w:rPr>
                <w:rFonts w:hint="eastAsia" w:ascii="微软雅黑" w:hAnsi="微软雅黑" w:eastAsia="微软雅黑" w:cs="微软雅黑"/>
                <w:color w:val="000000"/>
                <w:sz w:val="24"/>
                <w:szCs w:val="24"/>
                <w:bdr w:val="none" w:color="auto" w:sz="0" w:space="0"/>
              </w:rPr>
              <w:t>东岳化工产业园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0" w:hRule="atLeast"/>
          <w:jc w:val="center"/>
        </w:trPr>
        <w:tc>
          <w:tcPr>
            <w:tcW w:w="3117" w:type="dxa"/>
            <w:vMerge w:val="continue"/>
            <w:tcBorders>
              <w:top w:val="single" w:color="000000" w:sz="8" w:space="0"/>
              <w:left w:val="single" w:color="000000" w:sz="4" w:space="0"/>
              <w:bottom w:val="single" w:color="000000" w:sz="4" w:space="0"/>
              <w:right w:val="single" w:color="000000" w:sz="4" w:space="0"/>
            </w:tcBorders>
            <w:shd w:val="clear"/>
            <w:tcMar>
              <w:top w:w="0" w:type="dxa"/>
              <w:left w:w="108" w:type="dxa"/>
              <w:bottom w:w="0" w:type="dxa"/>
              <w:right w:w="108" w:type="dxa"/>
            </w:tcMar>
            <w:vAlign w:val="center"/>
          </w:tcPr>
          <w:p>
            <w:pPr>
              <w:rPr>
                <w:rFonts w:hint="eastAsia" w:ascii="宋体"/>
                <w:sz w:val="24"/>
                <w:szCs w:val="24"/>
              </w:rPr>
            </w:pPr>
          </w:p>
        </w:tc>
        <w:tc>
          <w:tcPr>
            <w:tcW w:w="5610" w:type="dxa"/>
            <w:tcBorders>
              <w:top w:val="single" w:color="auto" w:sz="8" w:space="0"/>
              <w:left w:val="nil"/>
              <w:bottom w:val="single" w:color="auto" w:sz="4" w:space="0"/>
              <w:right w:val="single" w:color="auto" w:sz="4"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360" w:lineRule="atLeast"/>
              <w:jc w:val="center"/>
            </w:pPr>
            <w:r>
              <w:rPr>
                <w:rFonts w:hint="eastAsia" w:ascii="微软雅黑" w:hAnsi="微软雅黑" w:eastAsia="微软雅黑" w:cs="微软雅黑"/>
                <w:color w:val="000000"/>
                <w:sz w:val="24"/>
                <w:szCs w:val="24"/>
                <w:bdr w:val="none" w:color="auto" w:sz="0" w:space="0"/>
              </w:rPr>
              <w:t>桓台经济开发区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1" w:hRule="atLeast"/>
          <w:jc w:val="center"/>
        </w:trPr>
        <w:tc>
          <w:tcPr>
            <w:tcW w:w="3117" w:type="dxa"/>
            <w:vMerge w:val="continue"/>
            <w:tcBorders>
              <w:top w:val="single" w:color="000000" w:sz="8" w:space="0"/>
              <w:left w:val="single" w:color="000000" w:sz="4" w:space="0"/>
              <w:bottom w:val="single" w:color="000000" w:sz="4" w:space="0"/>
              <w:right w:val="single" w:color="000000" w:sz="4" w:space="0"/>
            </w:tcBorders>
            <w:shd w:val="clear"/>
            <w:tcMar>
              <w:top w:w="0" w:type="dxa"/>
              <w:left w:w="108" w:type="dxa"/>
              <w:bottom w:w="0" w:type="dxa"/>
              <w:right w:w="108" w:type="dxa"/>
            </w:tcMar>
            <w:vAlign w:val="center"/>
          </w:tcPr>
          <w:p>
            <w:pPr>
              <w:rPr>
                <w:rFonts w:hint="eastAsia" w:ascii="宋体"/>
                <w:sz w:val="24"/>
                <w:szCs w:val="24"/>
              </w:rPr>
            </w:pPr>
          </w:p>
        </w:tc>
        <w:tc>
          <w:tcPr>
            <w:tcW w:w="5610" w:type="dxa"/>
            <w:tcBorders>
              <w:top w:val="single" w:color="auto" w:sz="8" w:space="0"/>
              <w:left w:val="nil"/>
              <w:bottom w:val="single" w:color="auto" w:sz="4" w:space="0"/>
              <w:right w:val="single" w:color="auto" w:sz="4"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360" w:lineRule="atLeast"/>
              <w:jc w:val="center"/>
            </w:pPr>
            <w:r>
              <w:rPr>
                <w:rFonts w:hint="eastAsia" w:ascii="微软雅黑" w:hAnsi="微软雅黑" w:eastAsia="微软雅黑" w:cs="微软雅黑"/>
                <w:color w:val="000000"/>
                <w:sz w:val="24"/>
                <w:szCs w:val="24"/>
                <w:bdr w:val="none" w:color="auto" w:sz="0" w:space="0"/>
              </w:rPr>
              <w:t>马桥化工产业园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80" w:hRule="atLeast"/>
          <w:jc w:val="center"/>
        </w:trPr>
        <w:tc>
          <w:tcPr>
            <w:tcW w:w="3117" w:type="dxa"/>
            <w:tcBorders>
              <w:top w:val="single" w:color="000000" w:sz="8" w:space="0"/>
              <w:left w:val="single" w:color="000000" w:sz="4" w:space="0"/>
              <w:bottom w:val="single" w:color="000000" w:sz="4" w:space="0"/>
              <w:right w:val="single" w:color="000000" w:sz="4"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360" w:lineRule="atLeast"/>
              <w:jc w:val="center"/>
            </w:pPr>
            <w:r>
              <w:rPr>
                <w:rFonts w:hint="eastAsia" w:ascii="微软雅黑" w:hAnsi="微软雅黑" w:eastAsia="微软雅黑" w:cs="微软雅黑"/>
                <w:color w:val="000000"/>
                <w:sz w:val="24"/>
                <w:szCs w:val="24"/>
                <w:bdr w:val="none" w:color="auto" w:sz="0" w:space="0"/>
              </w:rPr>
              <w:t>4类标准适用区域</w:t>
            </w:r>
          </w:p>
        </w:tc>
        <w:tc>
          <w:tcPr>
            <w:tcW w:w="5610" w:type="dxa"/>
            <w:tcBorders>
              <w:top w:val="single" w:color="auto" w:sz="8" w:space="0"/>
              <w:left w:val="nil"/>
              <w:bottom w:val="single" w:color="auto" w:sz="4" w:space="0"/>
              <w:right w:val="single" w:color="auto" w:sz="4" w:space="0"/>
            </w:tcBorders>
            <w:shd w:val="clear"/>
            <w:tcMar>
              <w:top w:w="0" w:type="dxa"/>
              <w:left w:w="108" w:type="dxa"/>
              <w:bottom w:w="0" w:type="dxa"/>
              <w:right w:w="108" w:type="dxa"/>
            </w:tcMar>
            <w:vAlign w:val="center"/>
          </w:tcPr>
          <w:p>
            <w:pPr>
              <w:pStyle w:val="3"/>
              <w:keepNext w:val="0"/>
              <w:keepLines w:val="0"/>
              <w:widowControl/>
              <w:suppressLineNumbers w:val="0"/>
              <w:spacing w:before="0" w:beforeAutospacing="0" w:after="0" w:afterAutospacing="0" w:line="360" w:lineRule="atLeast"/>
              <w:jc w:val="center"/>
            </w:pPr>
            <w:r>
              <w:rPr>
                <w:rFonts w:hint="eastAsia" w:ascii="微软雅黑" w:hAnsi="微软雅黑" w:eastAsia="微软雅黑" w:cs="微软雅黑"/>
                <w:color w:val="000000"/>
                <w:sz w:val="24"/>
                <w:szCs w:val="24"/>
                <w:bdr w:val="none" w:color="auto" w:sz="0" w:space="0"/>
              </w:rPr>
              <w:t>王徐路、工业街、建设街、中心大街、镇南大街、渔洋街、桓台大道、赵家南路、寿济路及唐华路、一中西路、柳泉北路、少海路、赵家西路、东岳路、兴桓路、张北路、铁西路两侧建筑物之间地段；铁路场站和铁路两侧建筑物之间地段</w:t>
            </w:r>
          </w:p>
        </w:tc>
      </w:tr>
    </w:tbl>
    <w:p>
      <w:pPr>
        <w:pStyle w:val="3"/>
        <w:keepNext w:val="0"/>
        <w:keepLines w:val="0"/>
        <w:widowControl/>
        <w:suppressLineNumbers w:val="0"/>
        <w:spacing w:before="0" w:beforeAutospacing="0" w:after="0" w:afterAutospacing="0" w:line="560" w:lineRule="atLeast"/>
        <w:jc w:val="both"/>
      </w:pPr>
      <w:r>
        <w:rPr>
          <w:rFonts w:hint="eastAsia" w:ascii="微软雅黑" w:hAnsi="微软雅黑" w:eastAsia="微软雅黑" w:cs="微软雅黑"/>
        </w:rPr>
        <w:t>附件3</w:t>
      </w:r>
    </w:p>
    <w:p>
      <w:pPr>
        <w:pStyle w:val="3"/>
        <w:keepNext w:val="0"/>
        <w:keepLines w:val="0"/>
        <w:widowControl/>
        <w:suppressLineNumbers w:val="0"/>
      </w:pPr>
      <w:r>
        <w:rPr>
          <w:color w:val="auto"/>
          <w:u w:val="none"/>
        </w:rPr>
        <w:drawing>
          <wp:inline distT="0" distB="0" distL="114300" distR="114300">
            <wp:extent cx="6485255" cy="5044440"/>
            <wp:effectExtent l="0" t="0" r="10795" b="3810"/>
            <wp:docPr id="1" name="图片 1" descr="桓政办字〔2020〕31号附件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桓政办字〔2020〕31号附件3.jpg"/>
                    <pic:cNvPicPr>
                      <a:picLocks noChangeAspect="1"/>
                    </pic:cNvPicPr>
                  </pic:nvPicPr>
                  <pic:blipFill>
                    <a:blip r:embed="rId5"/>
                    <a:stretch>
                      <a:fillRect/>
                    </a:stretch>
                  </pic:blipFill>
                  <pic:spPr>
                    <a:xfrm>
                      <a:off x="0" y="0"/>
                      <a:ext cx="6485255" cy="5044440"/>
                    </a:xfrm>
                    <a:prstGeom prst="rect">
                      <a:avLst/>
                    </a:prstGeom>
                    <a:noFill/>
                    <a:ln w="9525">
                      <a:noFill/>
                    </a:ln>
                  </pic:spPr>
                </pic:pic>
              </a:graphicData>
            </a:graphic>
          </wp:inline>
        </w:drawing>
      </w:r>
    </w:p>
    <w:p>
      <w:pPr>
        <w:pStyle w:val="3"/>
        <w:keepNext w:val="0"/>
        <w:keepLines w:val="0"/>
        <w:widowControl/>
        <w:suppressLineNumbers w:val="0"/>
        <w:jc w:val="center"/>
        <w:rPr>
          <w:rFonts w:hint="eastAsia" w:eastAsia="宋体"/>
          <w:lang w:eastAsia="zh-CN"/>
        </w:rPr>
      </w:pPr>
      <w:r>
        <w:rPr>
          <w:rFonts w:hint="eastAsia"/>
          <w:lang w:eastAsia="zh-CN"/>
        </w:rPr>
        <w:t xml:space="preserve"> </w:t>
      </w:r>
    </w:p>
    <w:p>
      <w:pPr>
        <w:pStyle w:val="3"/>
        <w:keepNext w:val="0"/>
        <w:keepLines w:val="0"/>
        <w:widowControl/>
        <w:suppressLineNumbers w:val="0"/>
        <w:jc w:val="center"/>
        <w:rPr>
          <w:rFonts w:hint="eastAsia" w:eastAsia="宋体"/>
          <w:lang w:eastAsia="zh-CN"/>
        </w:rPr>
      </w:pPr>
      <w:r>
        <w:rPr>
          <w:rFonts w:hint="eastAsia"/>
          <w:lang w:eastAsia="zh-CN"/>
        </w:rPr>
        <w:t xml:space="preserve"> </w:t>
      </w:r>
    </w:p>
    <w:p>
      <w:pPr>
        <w:pStyle w:val="3"/>
        <w:keepNext w:val="0"/>
        <w:keepLines w:val="0"/>
        <w:widowControl/>
        <w:suppressLineNumbers w:val="0"/>
        <w:rPr>
          <w:rFonts w:hint="eastAsia" w:eastAsia="宋体"/>
          <w:lang w:eastAsia="zh-CN"/>
        </w:rPr>
      </w:pPr>
      <w:r>
        <w:rPr>
          <w:rFonts w:hint="eastAsia"/>
          <w:lang w:eastAsia="zh-CN"/>
        </w:rPr>
        <w:t xml:space="preserve"> </w:t>
      </w:r>
    </w:p>
    <w:p>
      <w:pPr>
        <w:pStyle w:val="3"/>
        <w:keepNext w:val="0"/>
        <w:keepLines w:val="0"/>
        <w:widowControl/>
        <w:suppressLineNumbers w:val="0"/>
        <w:rPr>
          <w:rFonts w:hint="eastAsia" w:eastAsia="宋体"/>
          <w:lang w:eastAsia="zh-CN"/>
        </w:rPr>
      </w:pPr>
      <w:r>
        <w:rPr>
          <w:rFonts w:hint="eastAsia"/>
          <w:lang w:eastAsia="zh-CN"/>
        </w:rPr>
        <w:t xml:space="preserve"> </w:t>
      </w:r>
    </w:p>
    <w:p/>
    <w:sectPr>
      <w:pgSz w:w="11906" w:h="16838"/>
      <w:pgMar w:top="1928" w:right="1304" w:bottom="1587" w:left="1304" w:header="1247" w:footer="1304"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FC87C2"/>
    <w:rsid w:val="3967833E"/>
    <w:rsid w:val="5FFC87C2"/>
    <w:rsid w:val="6FE8DC02"/>
    <w:rsid w:val="7FFD1194"/>
    <w:rsid w:val="92FB117F"/>
    <w:rsid w:val="DFDD427B"/>
    <w:rsid w:val="FAFF5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32"/>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http://www.huantai.gov.cn/picture/0/f6ed408cfafb46fea4fcc415cdab3599.jpg" TargetMode="Externa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2024-04-18T15:45:00Z</dcterms:created>
  <dc:creator>msk</dc:creator>
  <cp:lastModifiedBy>msk</cp:lastModifiedBy>
  <dcterms:modified xsi:type="dcterms:W3CDTF">2024-04-18T15:53:01Z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2052-11.8.2.1119</vt:lpwstr>
  </property>
  <property fmtid="{D5CDD505-2E9C-101B-9397-08002B2CF9AE}" pid="3" name="ICV">
    <vt:lpwstr>B7ED7E33A441BF9597CF2066E36A56F8</vt:lpwstr>
  </property>
</Properties>
</file>