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2014年度政府信息公开工作情况统计样表</w:t>
      </w:r>
    </w:p>
    <w:p>
      <w:pPr>
        <w:jc w:val="center"/>
        <w:rPr>
          <w:rFonts w:hint="eastAsia" w:ascii="楷体_GB2312" w:hAnsi="楷体_GB2312" w:eastAsia="楷体_GB2312" w:cs="楷体_GB2312"/>
          <w:b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>各区县政府填写</w:t>
      </w:r>
      <w:r>
        <w:rPr>
          <w:rFonts w:hint="eastAsia" w:ascii="楷体_GB2312" w:hAnsi="楷体_GB2312" w:eastAsia="楷体_GB2312" w:cs="楷体_GB2312"/>
          <w:b/>
          <w:sz w:val="28"/>
          <w:szCs w:val="28"/>
        </w:rPr>
        <w:t>）</w:t>
      </w:r>
    </w:p>
    <w:tbl>
      <w:tblPr>
        <w:tblStyle w:val="6"/>
        <w:tblW w:w="945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5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  <w:szCs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（不同渠道和方式公开相同信息计1条）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  <w:szCs w:val="20"/>
              </w:rPr>
              <w:t>　　　　（不同渠道和方式公开相同信息计1条）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4128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其中：主动公开规范性文件数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制发规范性文件总数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487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（二）通过不同渠道和方式公开政府信息的情况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1.政府公报公开政府信息数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193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2.政府网站公开政府信息数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1470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3.政务微博公开政府信息数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4.政务微信公开政府信息数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5.其他方式公开政府信息数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2335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二、回应解读情况（不同方式回应同一热点或舆情计1次）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　　　　 （不同方式回应同一热点或舆情计1次）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（二）通过不同渠道和方式回应解读的情况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1.参加或举办新闻发布会总次数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 其中：主要负责同志参加新闻发布会次数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 其中：主要负责同志参加政府网站在线访谈次数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3.政策解读稿件发布数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4.微博微信回应事件数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5.其他方式回应事件数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01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（一）收到申请数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1.当面申请数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2.传真申请数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3.网络申请数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4.信函申请数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（二）申请办结数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1.按时办结数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2.延期办结数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（三）申请答复数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1.属于已主动公开范围数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3.同意部分公开答复数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4.不同意公开答复数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 　其中：涉及国家秘密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 涉及商业秘密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 涉及个人隐私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 危及国家安全、公共安全、经济安全和社会稳定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 不是《条例》所指政府信息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　　　　 法律法规规定的其他情形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5.不属于本行政机关公开数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6.申请信息不存在数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7.告知作出更改补充数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8.告知通过其他途径办理数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（二）被依法纠错数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（一）维持具体行政行为数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（二）被纠错数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（三）其他情形数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七、向图书馆、档案馆等查阅场所报送信息数</w:t>
            </w:r>
          </w:p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区县政府及其部门网站数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乡镇政府（街道办事处）门户网站数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九、政府公报发行量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1000" w:firstLineChars="500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公报发行期数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 xml:space="preserve">期      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left="-1021" w:leftChars="-319" w:firstLine="1200" w:firstLineChars="500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（二）公报发行总份数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left="-842" w:leftChars="-263" w:firstLine="1000" w:firstLineChars="500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350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十、设置政府信息查阅点数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29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19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十一、查阅点接待人数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663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一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区县政府及其部门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238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乡镇政府（街道办事处）</w:t>
            </w:r>
          </w:p>
        </w:tc>
        <w:tc>
          <w:tcPr>
            <w:tcW w:w="1002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single" w:color="auto" w:sz="4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425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十二、依申请公开信息收取的费用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十三、机构建设和保障经费情况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（一）政府信息公开工作专门机构数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个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二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）从事政府信息公开工作人员数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　　2.兼职人员数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三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）政府信息公开专项经费（不包括用于政府公报编辑管理及政府网站建设维</w:t>
            </w:r>
          </w:p>
          <w:p>
            <w:pPr>
              <w:spacing w:line="300" w:lineRule="exact"/>
              <w:ind w:firstLine="40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　护等方面的经费）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8.21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szCs w:val="20"/>
              </w:rPr>
              <w:t>十四、政府信息公开会议和培训情况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（一）召开政府信息公开工作会议或专题会议数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（二）举办各类培训班数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74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　　（三）接受培训人员数</w:t>
            </w:r>
          </w:p>
        </w:tc>
        <w:tc>
          <w:tcPr>
            <w:tcW w:w="100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10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815</w:t>
            </w:r>
          </w:p>
        </w:tc>
      </w:tr>
    </w:tbl>
    <w:p>
      <w:pPr>
        <w:jc w:val="center"/>
        <w:rPr>
          <w:rFonts w:hint="eastAsia" w:ascii="宋体" w:hAnsi="宋体"/>
          <w:b/>
        </w:rPr>
      </w:pP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34D1B"/>
    <w:rsid w:val="27B34D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ahoma" w:hAnsi="Tahoma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Char Char Char Char"/>
    <w:basedOn w:val="1"/>
    <w:link w:val="3"/>
    <w:uiPriority w:val="0"/>
    <w:rPr>
      <w:rFonts w:ascii="Tahoma" w:hAnsi="Tahoma"/>
      <w:sz w:val="24"/>
      <w:szCs w:val="20"/>
    </w:rPr>
  </w:style>
  <w:style w:type="character" w:styleId="5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2018-12-19T08:42:00Z</dcterms:created>
  <dc:creator>雨落水中</dc:creator>
  <cp:lastModifiedBy>雨落水中</cp:lastModifiedBy>
  <dcterms:modified xsi:type="dcterms:W3CDTF">2018-12-19T08:42:14Z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