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bCs/>
          <w:i w:val="0"/>
          <w:iCs w:val="0"/>
          <w:caps w:val="0"/>
          <w:color w:val="333333"/>
          <w:spacing w:val="0"/>
          <w:sz w:val="44"/>
          <w:szCs w:val="44"/>
        </w:rPr>
        <w:t>关于《</w:t>
      </w:r>
      <w:r>
        <w:rPr>
          <w:rFonts w:hint="eastAsia" w:ascii="方正小标宋简体" w:hAnsi="方正小标宋简体" w:eastAsia="方正小标宋简体" w:cs="方正小标宋简体"/>
          <w:sz w:val="44"/>
          <w:szCs w:val="44"/>
          <w:highlight w:val="none"/>
          <w:lang w:val="en-US" w:eastAsia="zh-CN"/>
        </w:rPr>
        <w:t>桓台县</w:t>
      </w:r>
      <w:r>
        <w:rPr>
          <w:rFonts w:hint="eastAsia" w:ascii="方正小标宋简体" w:hAnsi="方正小标宋简体" w:eastAsia="方正小标宋简体" w:cs="方正小标宋简体"/>
          <w:sz w:val="44"/>
          <w:szCs w:val="44"/>
          <w:highlight w:val="none"/>
        </w:rPr>
        <w:t>国家知识产权强</w:t>
      </w:r>
      <w:r>
        <w:rPr>
          <w:rFonts w:hint="eastAsia" w:ascii="方正小标宋简体" w:hAnsi="方正小标宋简体" w:eastAsia="方正小标宋简体" w:cs="方正小标宋简体"/>
          <w:sz w:val="44"/>
          <w:szCs w:val="44"/>
          <w:highlight w:val="none"/>
          <w:lang w:val="en-US" w:eastAsia="zh-CN"/>
        </w:rPr>
        <w:t>县</w:t>
      </w:r>
      <w:r>
        <w:rPr>
          <w:rFonts w:hint="eastAsia" w:ascii="方正小标宋简体" w:hAnsi="方正小标宋简体" w:eastAsia="方正小标宋简体" w:cs="方正小标宋简体"/>
          <w:sz w:val="44"/>
          <w:szCs w:val="44"/>
          <w:highlight w:val="none"/>
        </w:rPr>
        <w:t>示范</w:t>
      </w:r>
      <w:r>
        <w:rPr>
          <w:rFonts w:hint="eastAsia" w:ascii="方正小标宋简体" w:hAnsi="方正小标宋简体" w:eastAsia="方正小标宋简体" w:cs="方正小标宋简体"/>
          <w:sz w:val="44"/>
          <w:szCs w:val="44"/>
          <w:highlight w:val="none"/>
          <w:lang w:val="en-US" w:eastAsia="zh-CN"/>
        </w:rPr>
        <w:t>县建设</w:t>
      </w:r>
      <w:r>
        <w:rPr>
          <w:rFonts w:hint="eastAsia" w:ascii="方正小标宋简体" w:hAnsi="方正小标宋简体" w:eastAsia="方正小标宋简体" w:cs="方正小标宋简体"/>
          <w:sz w:val="44"/>
          <w:szCs w:val="44"/>
          <w:highlight w:val="none"/>
        </w:rPr>
        <w:t>工作</w:t>
      </w:r>
      <w:r>
        <w:rPr>
          <w:rFonts w:hint="eastAsia" w:ascii="方正小标宋简体" w:hAnsi="方正小标宋简体" w:eastAsia="方正小标宋简体" w:cs="方正小标宋简体"/>
          <w:sz w:val="44"/>
          <w:szCs w:val="44"/>
          <w:highlight w:val="none"/>
          <w:lang w:val="en-US" w:eastAsia="zh-CN"/>
        </w:rPr>
        <w:t>方案（</w:t>
      </w:r>
      <w:r>
        <w:rPr>
          <w:rFonts w:hint="default" w:ascii="Times New Roman" w:hAnsi="Times New Roman" w:eastAsia="方正小标宋简体" w:cs="Times New Roman"/>
          <w:snapToGrid/>
          <w:kern w:val="2"/>
          <w:sz w:val="44"/>
          <w:szCs w:val="44"/>
          <w:highlight w:val="none"/>
        </w:rPr>
        <w:t>20</w:t>
      </w:r>
      <w:r>
        <w:rPr>
          <w:rFonts w:hint="default" w:ascii="Times New Roman" w:hAnsi="Times New Roman" w:eastAsia="方正小标宋简体" w:cs="Times New Roman"/>
          <w:snapToGrid/>
          <w:kern w:val="2"/>
          <w:sz w:val="44"/>
          <w:szCs w:val="44"/>
          <w:highlight w:val="none"/>
          <w:lang w:val="en-US" w:eastAsia="zh-CN"/>
        </w:rPr>
        <w:t>22</w:t>
      </w:r>
      <w:r>
        <w:rPr>
          <w:rFonts w:hint="eastAsia" w:ascii="Times New Roman" w:hAnsi="Times New Roman" w:eastAsia="方正小标宋简体" w:cs="Times New Roman"/>
          <w:snapToGrid/>
          <w:kern w:val="2"/>
          <w:sz w:val="44"/>
          <w:szCs w:val="44"/>
          <w:highlight w:val="none"/>
          <w:lang w:val="en-US" w:eastAsia="zh-CN"/>
        </w:rPr>
        <w:t>—</w:t>
      </w:r>
      <w:r>
        <w:rPr>
          <w:rFonts w:hint="default" w:ascii="Times New Roman" w:hAnsi="Times New Roman" w:eastAsia="方正小标宋简体" w:cs="Times New Roman"/>
          <w:snapToGrid/>
          <w:kern w:val="2"/>
          <w:sz w:val="44"/>
          <w:szCs w:val="44"/>
          <w:highlight w:val="none"/>
        </w:rPr>
        <w:t>20</w:t>
      </w:r>
      <w:r>
        <w:rPr>
          <w:rFonts w:hint="default" w:ascii="Times New Roman" w:hAnsi="Times New Roman" w:eastAsia="方正小标宋简体" w:cs="Times New Roman"/>
          <w:snapToGrid/>
          <w:kern w:val="2"/>
          <w:sz w:val="44"/>
          <w:szCs w:val="44"/>
          <w:highlight w:val="none"/>
          <w:lang w:val="en-US" w:eastAsia="zh-CN"/>
        </w:rPr>
        <w:t>2</w:t>
      </w:r>
      <w:r>
        <w:rPr>
          <w:rFonts w:hint="default" w:ascii="Times New Roman" w:hAnsi="Times New Roman" w:eastAsia="方正小标宋简体" w:cs="Times New Roman"/>
          <w:snapToGrid/>
          <w:kern w:val="2"/>
          <w:sz w:val="44"/>
          <w:szCs w:val="44"/>
          <w:highlight w:val="none"/>
          <w:lang w:val="en" w:eastAsia="zh-CN"/>
        </w:rPr>
        <w:t>5</w:t>
      </w:r>
      <w:r>
        <w:rPr>
          <w:rFonts w:hint="eastAsia" w:ascii="方正小标宋简体" w:hAnsi="方正小标宋简体" w:eastAsia="方正小标宋简体" w:cs="方正小标宋简体"/>
          <w:sz w:val="44"/>
          <w:szCs w:val="44"/>
          <w:highlight w:val="none"/>
          <w:lang w:val="en-US" w:eastAsia="zh-CN"/>
        </w:rPr>
        <w:t>年）</w:t>
      </w:r>
      <w:r>
        <w:rPr>
          <w:rFonts w:hint="eastAsia" w:ascii="方正小标宋简体" w:hAnsi="方正小标宋简体" w:eastAsia="方正小标宋简体" w:cs="方正小标宋简体"/>
          <w:b w:val="0"/>
          <w:bCs w:val="0"/>
          <w:kern w:val="2"/>
          <w:sz w:val="44"/>
          <w:szCs w:val="44"/>
          <w:highlight w:val="none"/>
          <w:lang w:val="en-US" w:eastAsia="zh-CN" w:bidi="ar-SA"/>
        </w:rPr>
        <w:t>》的政策解读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宋体" w:eastAsia="黑体" w:cs="黑体"/>
          <w:i w:val="0"/>
          <w:iCs w:val="0"/>
          <w:caps w:val="0"/>
          <w:color w:val="000000"/>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lang w:val="en-US" w:eastAsia="zh-CN"/>
        </w:rPr>
        <w:t>一、</w:t>
      </w:r>
      <w:r>
        <w:rPr>
          <w:rFonts w:hint="eastAsia" w:ascii="黑体" w:hAnsi="宋体" w:eastAsia="黑体" w:cs="黑体"/>
          <w:i w:val="0"/>
          <w:iCs w:val="0"/>
          <w:caps w:val="0"/>
          <w:color w:val="000000"/>
          <w:spacing w:val="0"/>
          <w:sz w:val="32"/>
          <w:szCs w:val="32"/>
          <w:shd w:val="clear" w:fill="FFFFFF"/>
        </w:rPr>
        <w:t>政策背景</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为全面推进国家知识产权强县建设示范县创建各项工作，有效提升我县知识产权治理效能，增强知识产权对我县创新发展、产业升级的支撑作用，</w:t>
      </w:r>
      <w:r>
        <w:rPr>
          <w:rFonts w:hint="default" w:ascii="仿宋_GB2312" w:hAnsi="仿宋_GB2312" w:eastAsia="仿宋_GB2312" w:cs="仿宋_GB2312"/>
          <w:sz w:val="32"/>
          <w:szCs w:val="32"/>
          <w:highlight w:val="none"/>
          <w:lang w:val="en-US" w:eastAsia="zh-CN"/>
        </w:rPr>
        <w:t>根据《知识产权强国建设纲要（</w:t>
      </w:r>
      <w:r>
        <w:rPr>
          <w:rFonts w:hint="default" w:ascii="Times New Roman" w:hAnsi="Times New Roman" w:eastAsia="仿宋_GB2312" w:cs="Times New Roman"/>
          <w:snapToGrid/>
          <w:kern w:val="2"/>
          <w:sz w:val="32"/>
          <w:szCs w:val="32"/>
          <w:highlight w:val="none"/>
        </w:rPr>
        <w:t>2021</w:t>
      </w:r>
      <w:r>
        <w:rPr>
          <w:rFonts w:hint="eastAsia" w:ascii="Times New Roman" w:hAnsi="Times New Roman" w:eastAsia="仿宋_GB2312" w:cs="Times New Roman"/>
          <w:snapToGrid/>
          <w:kern w:val="2"/>
          <w:sz w:val="32"/>
          <w:szCs w:val="32"/>
          <w:highlight w:val="none"/>
          <w:lang w:eastAsia="zh-CN"/>
        </w:rPr>
        <w:t>—</w:t>
      </w:r>
      <w:r>
        <w:rPr>
          <w:rFonts w:hint="default" w:ascii="Times New Roman" w:hAnsi="Times New Roman" w:eastAsia="仿宋_GB2312" w:cs="Times New Roman"/>
          <w:snapToGrid/>
          <w:kern w:val="2"/>
          <w:sz w:val="32"/>
          <w:szCs w:val="32"/>
          <w:highlight w:val="none"/>
        </w:rPr>
        <w:t>2035</w:t>
      </w:r>
      <w:r>
        <w:rPr>
          <w:rFonts w:hint="default" w:ascii="仿宋_GB2312" w:hAnsi="仿宋_GB2312" w:eastAsia="仿宋_GB2312" w:cs="仿宋_GB2312"/>
          <w:sz w:val="32"/>
          <w:szCs w:val="32"/>
          <w:highlight w:val="none"/>
          <w:lang w:val="en-US" w:eastAsia="zh-CN"/>
        </w:rPr>
        <w:t>年）》《</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十四五</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国家知识产权保护和运用规划》等文件精神，按照《</w:t>
      </w:r>
      <w:r>
        <w:rPr>
          <w:rFonts w:hint="eastAsia" w:ascii="仿宋_GB2312" w:hAnsi="仿宋_GB2312" w:eastAsia="仿宋_GB2312" w:cs="仿宋_GB2312"/>
          <w:sz w:val="32"/>
          <w:szCs w:val="32"/>
          <w:highlight w:val="none"/>
          <w:lang w:val="en-US" w:eastAsia="zh-CN"/>
        </w:rPr>
        <w:t>国家知识产权局关于确定国家知识产权强县建设试点示范县和国家级知识产权强国建设试点示范园区的通知》（</w:t>
      </w:r>
      <w:r>
        <w:rPr>
          <w:rFonts w:hint="default" w:ascii="仿宋_GB2312" w:hAnsi="仿宋_GB2312" w:eastAsia="仿宋_GB2312" w:cs="仿宋_GB2312"/>
          <w:sz w:val="32"/>
          <w:szCs w:val="32"/>
          <w:highlight w:val="none"/>
          <w:lang w:val="en-US" w:eastAsia="zh-CN"/>
        </w:rPr>
        <w:t>国知发运字〔</w:t>
      </w:r>
      <w:r>
        <w:rPr>
          <w:rFonts w:hint="default" w:ascii="Times New Roman" w:hAnsi="Times New Roman" w:eastAsia="仿宋_GB2312" w:cs="Times New Roman"/>
          <w:snapToGrid/>
          <w:kern w:val="2"/>
          <w:sz w:val="32"/>
          <w:szCs w:val="32"/>
          <w:highlight w:val="none"/>
          <w:lang w:val="en-US" w:eastAsia="zh-CN"/>
        </w:rPr>
        <w:t>2022</w:t>
      </w:r>
      <w:r>
        <w:rPr>
          <w:rFonts w:hint="default"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napToGrid/>
          <w:kern w:val="2"/>
          <w:sz w:val="32"/>
          <w:szCs w:val="32"/>
          <w:highlight w:val="none"/>
          <w:lang w:val="en-US" w:eastAsia="zh-CN"/>
        </w:rPr>
        <w:t>131</w:t>
      </w:r>
      <w:r>
        <w:rPr>
          <w:rFonts w:hint="default" w:ascii="仿宋_GB2312" w:hAnsi="仿宋_GB2312" w:eastAsia="仿宋_GB2312" w:cs="仿宋_GB2312"/>
          <w:sz w:val="32"/>
          <w:szCs w:val="32"/>
          <w:highlight w:val="none"/>
          <w:lang w:val="en-US" w:eastAsia="zh-CN"/>
        </w:rPr>
        <w:t>号）</w:t>
      </w:r>
      <w:r>
        <w:rPr>
          <w:rFonts w:hint="eastAsia" w:ascii="仿宋_GB2312" w:hAnsi="仿宋_GB2312" w:eastAsia="仿宋_GB2312" w:cs="仿宋_GB2312"/>
          <w:sz w:val="32"/>
          <w:szCs w:val="32"/>
          <w:highlight w:val="none"/>
          <w:lang w:val="en-US" w:eastAsia="zh-CN"/>
        </w:rPr>
        <w:t>和</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山东省市场监督管理局</w:t>
      </w:r>
      <w:r>
        <w:rPr>
          <w:rFonts w:hint="eastAsia" w:ascii="仿宋_GB2312" w:hAnsi="仿宋_GB2312" w:eastAsia="仿宋_GB2312" w:cs="仿宋_GB2312"/>
          <w:sz w:val="32"/>
          <w:szCs w:val="32"/>
          <w:highlight w:val="none"/>
          <w:lang w:val="en-US" w:eastAsia="zh-CN"/>
        </w:rPr>
        <w:t>关于做好国家知识产权强县建设试点示范县和国家级知识产权强国建设试点示范园区相关工作的通知</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等</w:t>
      </w:r>
      <w:r>
        <w:rPr>
          <w:rFonts w:hint="default" w:ascii="仿宋_GB2312" w:hAnsi="仿宋_GB2312" w:eastAsia="仿宋_GB2312" w:cs="仿宋_GB2312"/>
          <w:sz w:val="32"/>
          <w:szCs w:val="32"/>
          <w:highlight w:val="none"/>
          <w:lang w:val="en-US" w:eastAsia="zh-CN"/>
        </w:rPr>
        <w:t>工作安排，</w:t>
      </w:r>
      <w:r>
        <w:rPr>
          <w:rFonts w:hint="eastAsia" w:ascii="仿宋_GB2312" w:hAnsi="仿宋_GB2312" w:eastAsia="仿宋_GB2312" w:cs="仿宋_GB2312"/>
          <w:sz w:val="32"/>
          <w:szCs w:val="32"/>
          <w:highlight w:val="none"/>
          <w:lang w:val="en-US" w:eastAsia="zh-CN"/>
        </w:rPr>
        <w:t>结合我县实际，特制定本方案。</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决策依据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《知识产权强国建设纲要（</w:t>
      </w:r>
      <w:r>
        <w:rPr>
          <w:rFonts w:hint="default" w:ascii="Times New Roman" w:hAnsi="Times New Roman" w:eastAsia="仿宋_GB2312" w:cs="Times New Roman"/>
          <w:snapToGrid/>
          <w:kern w:val="2"/>
          <w:sz w:val="32"/>
          <w:szCs w:val="32"/>
          <w:highlight w:val="none"/>
        </w:rPr>
        <w:t>2021</w:t>
      </w:r>
      <w:r>
        <w:rPr>
          <w:rFonts w:hint="eastAsia" w:ascii="Times New Roman" w:hAnsi="Times New Roman" w:eastAsia="仿宋_GB2312" w:cs="Times New Roman"/>
          <w:snapToGrid/>
          <w:kern w:val="2"/>
          <w:sz w:val="32"/>
          <w:szCs w:val="32"/>
          <w:highlight w:val="none"/>
          <w:lang w:eastAsia="zh-CN"/>
        </w:rPr>
        <w:t>—</w:t>
      </w:r>
      <w:r>
        <w:rPr>
          <w:rFonts w:hint="default" w:ascii="Times New Roman" w:hAnsi="Times New Roman" w:eastAsia="仿宋_GB2312" w:cs="Times New Roman"/>
          <w:snapToGrid/>
          <w:kern w:val="2"/>
          <w:sz w:val="32"/>
          <w:szCs w:val="32"/>
          <w:highlight w:val="none"/>
        </w:rPr>
        <w:t>2035</w:t>
      </w:r>
      <w:r>
        <w:rPr>
          <w:rFonts w:hint="default" w:ascii="仿宋_GB2312" w:hAnsi="仿宋_GB2312" w:eastAsia="仿宋_GB2312" w:cs="仿宋_GB2312"/>
          <w:sz w:val="32"/>
          <w:szCs w:val="32"/>
          <w:highlight w:val="none"/>
          <w:lang w:val="en-US" w:eastAsia="zh-CN"/>
        </w:rPr>
        <w:t>年）》</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十四五</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国家知识产权保护和运用规划》</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国家知识产权局关于确定国家知识产权强县建设试点示范县和国家级知识产权强国建设试点示范园区的通知》（</w:t>
      </w:r>
      <w:r>
        <w:rPr>
          <w:rFonts w:hint="default" w:ascii="仿宋_GB2312" w:hAnsi="仿宋_GB2312" w:eastAsia="仿宋_GB2312" w:cs="仿宋_GB2312"/>
          <w:sz w:val="32"/>
          <w:szCs w:val="32"/>
          <w:highlight w:val="none"/>
          <w:lang w:val="en-US" w:eastAsia="zh-CN"/>
        </w:rPr>
        <w:t>国知发运字〔</w:t>
      </w:r>
      <w:r>
        <w:rPr>
          <w:rFonts w:hint="default" w:ascii="Times New Roman" w:hAnsi="Times New Roman" w:eastAsia="仿宋_GB2312" w:cs="Times New Roman"/>
          <w:snapToGrid/>
          <w:kern w:val="2"/>
          <w:sz w:val="32"/>
          <w:szCs w:val="32"/>
          <w:highlight w:val="none"/>
          <w:lang w:val="en-US" w:eastAsia="zh-CN"/>
        </w:rPr>
        <w:t>2022</w:t>
      </w:r>
      <w:r>
        <w:rPr>
          <w:rFonts w:hint="default"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napToGrid/>
          <w:kern w:val="2"/>
          <w:sz w:val="32"/>
          <w:szCs w:val="32"/>
          <w:highlight w:val="none"/>
          <w:lang w:val="en-US" w:eastAsia="zh-CN"/>
        </w:rPr>
        <w:t>131</w:t>
      </w:r>
      <w:r>
        <w:rPr>
          <w:rFonts w:hint="default" w:ascii="仿宋_GB2312" w:hAnsi="仿宋_GB2312" w:eastAsia="仿宋_GB2312" w:cs="仿宋_GB2312"/>
          <w:sz w:val="32"/>
          <w:szCs w:val="32"/>
          <w:highlight w:val="none"/>
          <w:lang w:val="en-US" w:eastAsia="zh-CN"/>
        </w:rPr>
        <w:t>号）</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山东省市场监督管理局</w:t>
      </w:r>
      <w:r>
        <w:rPr>
          <w:rFonts w:hint="eastAsia" w:ascii="仿宋_GB2312" w:hAnsi="仿宋_GB2312" w:eastAsia="仿宋_GB2312" w:cs="仿宋_GB2312"/>
          <w:sz w:val="32"/>
          <w:szCs w:val="32"/>
          <w:highlight w:val="none"/>
          <w:lang w:val="en-US" w:eastAsia="zh-CN"/>
        </w:rPr>
        <w:t>关于做好国家知识产权强县建设试点示范县和国家级知识产权强国建设试点示范园区相关工作的通知</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lang w:val="en-US" w:eastAsia="zh-CN"/>
        </w:rPr>
        <w:t>三、</w:t>
      </w:r>
      <w:r>
        <w:rPr>
          <w:rFonts w:hint="eastAsia" w:ascii="黑体" w:hAnsi="宋体" w:eastAsia="黑体" w:cs="黑体"/>
          <w:i w:val="0"/>
          <w:iCs w:val="0"/>
          <w:caps w:val="0"/>
          <w:color w:val="000000"/>
          <w:spacing w:val="0"/>
          <w:sz w:val="32"/>
          <w:szCs w:val="32"/>
          <w:shd w:val="clear" w:fill="FFFFFF"/>
        </w:rPr>
        <w:t>出台目的</w:t>
      </w:r>
    </w:p>
    <w:p>
      <w:pPr>
        <w:keepNext w:val="0"/>
        <w:keepLines w:val="0"/>
        <w:pageBreakBefore w:val="0"/>
        <w:widowControl w:val="0"/>
        <w:kinsoku/>
        <w:wordWrap/>
        <w:overflowPunct/>
        <w:topLinePunct w:val="0"/>
        <w:autoSpaceDE/>
        <w:autoSpaceDN/>
        <w:bidi w:val="0"/>
        <w:adjustRightInd/>
        <w:snapToGrid/>
        <w:spacing w:line="560" w:lineRule="exact"/>
        <w:ind w:firstLine="691"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微软雅黑" w:eastAsia="仿宋_GB2312" w:cs="仿宋_GB2312"/>
          <w:b/>
          <w:bCs/>
          <w:i w:val="0"/>
          <w:iCs w:val="0"/>
          <w:caps w:val="0"/>
          <w:color w:val="000000"/>
          <w:spacing w:val="12"/>
          <w:sz w:val="32"/>
          <w:szCs w:val="32"/>
          <w:shd w:val="clear" w:fill="FFFFFF"/>
        </w:rPr>
        <w:t>发展目标：</w:t>
      </w:r>
      <w:r>
        <w:rPr>
          <w:rFonts w:hint="eastAsia" w:ascii="仿宋_GB2312" w:hAnsi="仿宋_GB2312" w:eastAsia="仿宋_GB2312" w:cs="仿宋_GB2312"/>
          <w:sz w:val="32"/>
          <w:szCs w:val="32"/>
          <w:highlight w:val="none"/>
          <w:lang w:val="en-US" w:eastAsia="zh-CN"/>
        </w:rPr>
        <w:t>国家知识产权强县建设示范县工作期间（</w:t>
      </w:r>
      <w:r>
        <w:rPr>
          <w:rFonts w:hint="default" w:ascii="Times New Roman" w:hAnsi="Times New Roman" w:eastAsia="仿宋_GB2312" w:cs="Times New Roman"/>
          <w:snapToGrid/>
          <w:kern w:val="2"/>
          <w:sz w:val="32"/>
          <w:szCs w:val="32"/>
          <w:highlight w:val="none"/>
          <w:lang w:val="en-US" w:eastAsia="zh-CN"/>
        </w:rPr>
        <w:t>2022</w:t>
      </w:r>
      <w:r>
        <w:rPr>
          <w:rFonts w:hint="eastAsia" w:ascii="Times New Roman" w:hAnsi="Times New Roman" w:eastAsia="仿宋_GB2312" w:cs="Times New Roman"/>
          <w:snapToGrid/>
          <w:kern w:val="2"/>
          <w:sz w:val="32"/>
          <w:szCs w:val="32"/>
          <w:highlight w:val="none"/>
          <w:lang w:val="en-US" w:eastAsia="zh-CN"/>
        </w:rPr>
        <w:t>—</w:t>
      </w:r>
      <w:r>
        <w:rPr>
          <w:rFonts w:hint="default" w:ascii="Times New Roman" w:hAnsi="Times New Roman" w:eastAsia="仿宋_GB2312" w:cs="Times New Roman"/>
          <w:snapToGrid/>
          <w:kern w:val="2"/>
          <w:sz w:val="32"/>
          <w:szCs w:val="32"/>
          <w:highlight w:val="none"/>
          <w:lang w:val="en-US" w:eastAsia="zh-CN"/>
        </w:rPr>
        <w:t>2025</w:t>
      </w:r>
      <w:r>
        <w:rPr>
          <w:rFonts w:hint="eastAsia" w:ascii="Times New Roman" w:hAnsi="Times New Roman" w:eastAsia="仿宋_GB2312" w:cs="Times New Roman"/>
          <w:snapToGrid/>
          <w:kern w:val="2"/>
          <w:sz w:val="32"/>
          <w:szCs w:val="32"/>
          <w:highlight w:val="none"/>
          <w:lang w:val="en-US" w:eastAsia="zh-CN"/>
        </w:rPr>
        <w:t>年），我县推动、协调、管理知识产权的工作绩效显著增强，</w:t>
      </w:r>
      <w:r>
        <w:rPr>
          <w:rFonts w:hint="eastAsia" w:ascii="仿宋_GB2312" w:hAnsi="仿宋_GB2312" w:eastAsia="仿宋_GB2312" w:cs="仿宋_GB2312"/>
          <w:sz w:val="32"/>
          <w:szCs w:val="32"/>
          <w:highlight w:val="none"/>
          <w:lang w:val="en-US" w:eastAsia="zh-CN"/>
        </w:rPr>
        <w:t>企业自主知识产权拥有量和水平有较大幅度的提高，在重点领域和关键技术的自主知识产权方面取得较大突破；培育一批拥有核心技术的自主知识产权经营水平较高、竞争力较强的优势企业，区域科技进步和综合竞争力进一步提升。</w:t>
      </w:r>
    </w:p>
    <w:p>
      <w:pPr>
        <w:keepNext w:val="0"/>
        <w:keepLines w:val="0"/>
        <w:pageBreakBefore w:val="0"/>
        <w:widowControl w:val="0"/>
        <w:kinsoku/>
        <w:wordWrap/>
        <w:overflowPunct/>
        <w:topLinePunct w:val="0"/>
        <w:autoSpaceDE/>
        <w:autoSpaceDN/>
        <w:bidi w:val="0"/>
        <w:adjustRightInd/>
        <w:snapToGrid/>
        <w:spacing w:line="560" w:lineRule="exact"/>
        <w:ind w:firstLine="691" w:firstLineChars="200"/>
        <w:textAlignment w:val="auto"/>
        <w:rPr>
          <w:rFonts w:hint="eastAsia" w:ascii="仿宋_GB2312" w:hAnsi="仿宋_GB2312" w:eastAsia="仿宋_GB2312" w:cs="Times New Roman"/>
          <w:sz w:val="32"/>
          <w:highlight w:val="none"/>
          <w:lang w:val="en-US" w:eastAsia="zh-CN"/>
        </w:rPr>
      </w:pPr>
      <w:r>
        <w:rPr>
          <w:rFonts w:hint="eastAsia" w:ascii="仿宋_GB2312" w:hAnsi="微软雅黑" w:eastAsia="仿宋_GB2312" w:cs="仿宋_GB2312"/>
          <w:b/>
          <w:bCs/>
          <w:i w:val="0"/>
          <w:iCs w:val="0"/>
          <w:caps w:val="0"/>
          <w:color w:val="000000"/>
          <w:spacing w:val="12"/>
          <w:sz w:val="32"/>
          <w:szCs w:val="32"/>
          <w:shd w:val="clear" w:fill="FFFFFF"/>
        </w:rPr>
        <w:t>重点任务：</w:t>
      </w:r>
      <w:r>
        <w:rPr>
          <w:rFonts w:hint="eastAsia" w:ascii="楷体_GB2312" w:hAnsi="楷体_GB2312" w:eastAsia="楷体_GB2312" w:cs="楷体_GB2312"/>
          <w:b w:val="0"/>
          <w:bCs w:val="0"/>
          <w:sz w:val="32"/>
          <w:szCs w:val="32"/>
          <w:highlight w:val="none"/>
        </w:rPr>
        <w:t>（一）健全完善知识产权</w:t>
      </w:r>
      <w:r>
        <w:rPr>
          <w:rFonts w:hint="eastAsia" w:ascii="楷体_GB2312" w:hAnsi="楷体_GB2312" w:eastAsia="楷体_GB2312" w:cs="楷体_GB2312"/>
          <w:b w:val="0"/>
          <w:bCs w:val="0"/>
          <w:sz w:val="32"/>
          <w:szCs w:val="32"/>
          <w:highlight w:val="none"/>
          <w:lang w:val="en-US" w:eastAsia="zh-CN"/>
        </w:rPr>
        <w:t>工作</w:t>
      </w:r>
      <w:r>
        <w:rPr>
          <w:rFonts w:hint="eastAsia" w:ascii="楷体_GB2312" w:hAnsi="楷体_GB2312" w:eastAsia="楷体_GB2312" w:cs="楷体_GB2312"/>
          <w:b w:val="0"/>
          <w:bCs w:val="0"/>
          <w:sz w:val="32"/>
          <w:szCs w:val="32"/>
          <w:highlight w:val="none"/>
        </w:rPr>
        <w:t>体系</w:t>
      </w:r>
      <w:r>
        <w:rPr>
          <w:rFonts w:hint="eastAsia" w:ascii="楷体_GB2312" w:hAnsi="楷体_GB2312" w:eastAsia="楷体_GB2312" w:cs="楷体_GB2312"/>
          <w:b w:val="0"/>
          <w:bCs w:val="0"/>
          <w:sz w:val="32"/>
          <w:szCs w:val="32"/>
          <w:highlight w:val="none"/>
          <w:lang w:eastAsia="zh-CN"/>
        </w:rPr>
        <w:t>。</w:t>
      </w:r>
      <w:r>
        <w:rPr>
          <w:rFonts w:hint="default" w:ascii="Times New Roman" w:hAnsi="Times New Roman" w:eastAsia="仿宋_GB2312" w:cs="Times New Roman"/>
          <w:b w:val="0"/>
          <w:bCs w:val="0"/>
          <w:snapToGrid/>
          <w:kern w:val="2"/>
          <w:sz w:val="32"/>
          <w:szCs w:val="32"/>
          <w:highlight w:val="none"/>
          <w:lang w:val="en-US" w:eastAsia="zh-CN"/>
        </w:rPr>
        <w:t>1</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完善政府知识产权协调机制。</w:t>
      </w:r>
      <w:r>
        <w:rPr>
          <w:rFonts w:hint="eastAsia" w:ascii="仿宋_GB2312" w:hAnsi="仿宋_GB2312" w:eastAsia="仿宋_GB2312" w:cs="仿宋_GB2312"/>
          <w:sz w:val="32"/>
          <w:szCs w:val="32"/>
          <w:highlight w:val="none"/>
          <w:lang w:val="en-US" w:eastAsia="zh-CN"/>
        </w:rPr>
        <w:t>成立</w:t>
      </w:r>
      <w:r>
        <w:rPr>
          <w:rFonts w:hint="default" w:ascii="仿宋_GB2312" w:hAnsi="仿宋_GB2312" w:eastAsia="仿宋_GB2312" w:cs="仿宋_GB2312"/>
          <w:sz w:val="32"/>
          <w:szCs w:val="32"/>
          <w:highlight w:val="none"/>
          <w:lang w:val="en-US" w:eastAsia="zh-CN"/>
        </w:rPr>
        <w:t>国家知识产权强</w:t>
      </w:r>
      <w:r>
        <w:rPr>
          <w:rFonts w:hint="eastAsia" w:ascii="仿宋_GB2312" w:hAnsi="仿宋_GB2312" w:eastAsia="仿宋_GB2312" w:cs="仿宋_GB2312"/>
          <w:sz w:val="32"/>
          <w:szCs w:val="32"/>
          <w:highlight w:val="none"/>
          <w:lang w:val="en-US" w:eastAsia="zh-CN"/>
        </w:rPr>
        <w:t>县建设</w:t>
      </w:r>
      <w:r>
        <w:rPr>
          <w:rFonts w:hint="default" w:ascii="仿宋_GB2312" w:hAnsi="仿宋_GB2312" w:eastAsia="仿宋_GB2312" w:cs="仿宋_GB2312"/>
          <w:sz w:val="32"/>
          <w:szCs w:val="32"/>
          <w:highlight w:val="none"/>
          <w:lang w:val="en-US" w:eastAsia="zh-CN"/>
        </w:rPr>
        <w:t>示范县领导小组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加强对</w:t>
      </w:r>
      <w:r>
        <w:rPr>
          <w:rFonts w:hint="eastAsia" w:ascii="仿宋_GB2312" w:hAnsi="仿宋_GB2312" w:eastAsia="仿宋_GB2312" w:cs="仿宋_GB2312"/>
          <w:sz w:val="32"/>
          <w:szCs w:val="32"/>
          <w:highlight w:val="none"/>
          <w:lang w:val="en-US" w:eastAsia="zh-CN"/>
        </w:rPr>
        <w:t>全县</w:t>
      </w:r>
      <w:r>
        <w:rPr>
          <w:rFonts w:hint="eastAsia" w:ascii="仿宋_GB2312" w:hAnsi="仿宋_GB2312" w:eastAsia="仿宋_GB2312" w:cs="仿宋_GB2312"/>
          <w:sz w:val="32"/>
          <w:szCs w:val="32"/>
          <w:highlight w:val="none"/>
        </w:rPr>
        <w:t>知识产权工作的统筹协调，形成知识产权管理部门与经济、科技、司法等部门协同配合、横向联动的工作机制。</w:t>
      </w:r>
      <w:r>
        <w:rPr>
          <w:rFonts w:hint="default" w:ascii="Times New Roman" w:hAnsi="Times New Roman" w:eastAsia="仿宋_GB2312" w:cs="Times New Roman"/>
          <w:b w:val="0"/>
          <w:bCs w:val="0"/>
          <w:snapToGrid/>
          <w:kern w:val="2"/>
          <w:sz w:val="32"/>
          <w:szCs w:val="32"/>
          <w:highlight w:val="none"/>
          <w:lang w:val="en-US" w:eastAsia="zh-CN"/>
        </w:rPr>
        <w:t>2</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健全知识产权管理机构。</w:t>
      </w:r>
      <w:r>
        <w:rPr>
          <w:rFonts w:hint="eastAsia" w:ascii="仿宋_GB2312" w:hAnsi="仿宋_GB2312" w:eastAsia="仿宋_GB2312" w:cs="仿宋_GB2312"/>
          <w:sz w:val="32"/>
          <w:szCs w:val="32"/>
          <w:highlight w:val="none"/>
        </w:rPr>
        <w:t>进一步加强知识产权部门建设，配强领导力量和工作人员，建设适应新的经济建设要求的高素质知识产权干部队伍和人才队伍；推进</w:t>
      </w:r>
      <w:r>
        <w:rPr>
          <w:rFonts w:hint="eastAsia" w:ascii="仿宋" w:hAnsi="仿宋" w:eastAsia="仿宋" w:cs="仿宋"/>
          <w:sz w:val="32"/>
          <w:szCs w:val="32"/>
          <w:highlight w:val="none"/>
          <w:lang w:val="en-US" w:eastAsia="zh-CN"/>
        </w:rPr>
        <w:t>城区街道、各镇</w:t>
      </w:r>
      <w:r>
        <w:rPr>
          <w:rFonts w:hint="eastAsia" w:ascii="仿宋_GB2312" w:hAnsi="仿宋_GB2312" w:eastAsia="仿宋_GB2312" w:cs="仿宋_GB2312"/>
          <w:sz w:val="32"/>
          <w:szCs w:val="32"/>
          <w:highlight w:val="none"/>
        </w:rPr>
        <w:t>知识产权管理机构建设，建立健全工作机构，落实专职人员和工作经费。</w:t>
      </w:r>
      <w:r>
        <w:rPr>
          <w:rFonts w:hint="default" w:ascii="Times New Roman" w:hAnsi="Times New Roman" w:eastAsia="仿宋_GB2312" w:cs="Times New Roman"/>
          <w:b w:val="0"/>
          <w:bCs w:val="0"/>
          <w:snapToGrid/>
          <w:kern w:val="2"/>
          <w:sz w:val="32"/>
          <w:szCs w:val="32"/>
          <w:highlight w:val="none"/>
          <w:lang w:val="en-US" w:eastAsia="zh-CN"/>
        </w:rPr>
        <w:t>3</w:t>
      </w:r>
      <w:r>
        <w:rPr>
          <w:rFonts w:hint="eastAsia" w:ascii="仿宋_GB2312" w:hAnsi="仿宋_GB2312" w:eastAsia="仿宋_GB2312" w:cs="仿宋_GB2312"/>
          <w:b w:val="0"/>
          <w:bCs w:val="0"/>
          <w:sz w:val="32"/>
          <w:szCs w:val="32"/>
          <w:highlight w:val="none"/>
          <w:lang w:val="en-US" w:eastAsia="zh-CN"/>
        </w:rPr>
        <w:t>.完善知识产权运营体系。</w:t>
      </w:r>
      <w:r>
        <w:rPr>
          <w:rFonts w:hint="eastAsia" w:ascii="仿宋_GB2312" w:hAnsi="仿宋_GB2312" w:eastAsia="仿宋_GB2312" w:cs="仿宋_GB2312"/>
          <w:sz w:val="32"/>
          <w:szCs w:val="32"/>
          <w:highlight w:val="none"/>
          <w:lang w:val="en-US" w:eastAsia="zh-CN"/>
        </w:rPr>
        <w:t>以桓台县创智谷为核心，打造创新平台、产业平台、服务平台，集聚形成智慧产业集聚区、高科技人才创业中心、技术成果转化基地，充分利用淄博市知识产权公共服务平台，为知识产权产生、维权、转化提供及时全面的信息网络服务；指导企业构建专利池。根据我县产业结构调整方向，积极推动有利于我县经济社会长远发展，具有市场前景的专利技术进行技术转化和产业化，促进知识产权转化为现实生产力。</w:t>
      </w:r>
      <w:r>
        <w:rPr>
          <w:rFonts w:hint="default"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val="en-US" w:eastAsia="zh-CN"/>
        </w:rPr>
        <w:t>.健全绩效考核体系</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把知识产权主要指标纳入对</w:t>
      </w:r>
      <w:r>
        <w:rPr>
          <w:rFonts w:hint="eastAsia" w:ascii="仿宋" w:hAnsi="仿宋" w:eastAsia="仿宋" w:cs="仿宋"/>
          <w:sz w:val="32"/>
          <w:szCs w:val="32"/>
          <w:highlight w:val="none"/>
          <w:lang w:val="en-US" w:eastAsia="zh-CN"/>
        </w:rPr>
        <w:t>城区街道、各镇的目标绩效考核，上下联动，部门协同，共同推进知识产权工作的发展。</w:t>
      </w:r>
      <w:r>
        <w:rPr>
          <w:rFonts w:hint="default"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.建立知识产权发展专项资金。</w:t>
      </w:r>
      <w:r>
        <w:rPr>
          <w:rFonts w:hint="eastAsia" w:ascii="仿宋" w:hAnsi="仿宋" w:eastAsia="仿宋" w:cs="仿宋"/>
          <w:color w:val="auto"/>
          <w:sz w:val="32"/>
          <w:szCs w:val="32"/>
          <w:highlight w:val="none"/>
          <w:lang w:val="en-US" w:eastAsia="zh-CN"/>
        </w:rPr>
        <w:t>加大县级财政扶持力度，建立知识产权发展专项资金，</w:t>
      </w:r>
      <w:r>
        <w:rPr>
          <w:rFonts w:hint="eastAsia" w:ascii="仿宋_GB2312" w:hAnsi="仿宋_GB2312" w:eastAsia="仿宋_GB2312" w:cs="仿宋_GB2312"/>
          <w:color w:val="auto"/>
          <w:sz w:val="32"/>
          <w:szCs w:val="32"/>
          <w:highlight w:val="none"/>
        </w:rPr>
        <w:t>资金专项用于知识产权宣传培训、试点示范、表彰奖励、行政执法、知识</w:t>
      </w:r>
      <w:r>
        <w:rPr>
          <w:rFonts w:hint="eastAsia" w:ascii="仿宋_GB2312" w:hAnsi="仿宋_GB2312" w:eastAsia="仿宋_GB2312" w:cs="仿宋_GB2312"/>
          <w:sz w:val="32"/>
          <w:szCs w:val="32"/>
          <w:highlight w:val="none"/>
        </w:rPr>
        <w:t>产权维权、专利授权资助、专利转化实施及产业化资助等</w:t>
      </w:r>
      <w:r>
        <w:rPr>
          <w:rFonts w:hint="eastAsia" w:ascii="仿宋_GB2312" w:hAnsi="仿宋_GB2312" w:eastAsia="仿宋_GB2312" w:cs="仿宋_GB2312"/>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（二）推进企业知识产权工作能力建设。</w:t>
      </w: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.实施中小企业知识产权战略。</w:t>
      </w:r>
      <w:r>
        <w:rPr>
          <w:rFonts w:hint="eastAsia" w:ascii="仿宋_GB2312" w:hAnsi="仿宋_GB2312" w:eastAsia="仿宋_GB2312"/>
          <w:sz w:val="32"/>
          <w:highlight w:val="none"/>
          <w:lang w:val="en-US"/>
        </w:rPr>
        <w:t>强化企业创新主体地位，大力实施知识产权优势企业培育工作，推动一批条件成熟、具有核心竞争力的高新技术企业、“专精特新”企业创建知识产权优势企业。引导企业高质量贯彻实施知识产权管理规范，进一步增强全</w:t>
      </w:r>
      <w:r>
        <w:rPr>
          <w:rFonts w:hint="eastAsia" w:ascii="仿宋_GB2312" w:hAnsi="仿宋_GB2312" w:eastAsia="仿宋_GB2312"/>
          <w:sz w:val="32"/>
          <w:highlight w:val="none"/>
          <w:lang w:val="en-US" w:eastAsia="zh-CN"/>
        </w:rPr>
        <w:t>县</w:t>
      </w:r>
      <w:r>
        <w:rPr>
          <w:rFonts w:hint="eastAsia" w:ascii="仿宋_GB2312" w:hAnsi="仿宋_GB2312" w:eastAsia="仿宋_GB2312"/>
          <w:sz w:val="32"/>
          <w:highlight w:val="none"/>
          <w:lang w:val="en-US"/>
        </w:rPr>
        <w:t>知识产权</w:t>
      </w:r>
      <w:r>
        <w:rPr>
          <w:rFonts w:hint="eastAsia" w:ascii="仿宋_GB2312" w:hAnsi="仿宋_GB2312" w:eastAsia="仿宋_GB2312"/>
          <w:sz w:val="32"/>
          <w:highlight w:val="none"/>
          <w:lang w:val="en-US" w:eastAsia="zh-CN"/>
        </w:rPr>
        <w:t>优势</w:t>
      </w:r>
      <w:r>
        <w:rPr>
          <w:rFonts w:hint="eastAsia" w:ascii="仿宋_GB2312" w:hAnsi="仿宋_GB2312" w:eastAsia="仿宋_GB2312"/>
          <w:sz w:val="32"/>
          <w:highlight w:val="none"/>
          <w:lang w:val="en-US"/>
        </w:rPr>
        <w:t>企业的创造质量，加强产业核心技术专利的引进、消化、吸收和再创新，在关键技术环节形成专利储备、强化专利保护，引导传统产业向产业链、价值链高端攀升，创造一批带动产业转型升级发展的专利技术。</w:t>
      </w:r>
      <w:r>
        <w:rPr>
          <w:rFonts w:hint="default"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.着力提高授权专利数量和质量。充分运用知识产权制度提高企业科技创新、品牌创新的产权化程度和水平，增强企业引进、消化、吸收、再创新能力；提高各大产业中优势技术的知识产权保护水平，形成</w:t>
      </w:r>
      <w:r>
        <w:rPr>
          <w:rFonts w:hint="eastAsia" w:ascii="仿宋_GB2312" w:eastAsia="仿宋_GB2312"/>
          <w:sz w:val="32"/>
          <w:szCs w:val="32"/>
          <w:highlight w:val="none"/>
        </w:rPr>
        <w:t>一批技术创新度高、保护范围合理稳定、市场发展前景好、竞争力强的高价值专利和专利组合，为产业转型发展提供引领和支撑。</w:t>
      </w:r>
      <w:r>
        <w:rPr>
          <w:rFonts w:hint="default" w:ascii="Times New Roman" w:hAnsi="Times New Roman" w:eastAsia="仿宋_GB2312" w:cs="Times New Roman"/>
          <w:kern w:val="2"/>
          <w:sz w:val="32"/>
          <w:szCs w:val="32"/>
          <w:highlight w:val="none"/>
          <w:lang w:val="en-US" w:eastAsia="zh-CN" w:bidi="ar-SA"/>
        </w:rPr>
        <w:t>3</w:t>
      </w:r>
      <w:r>
        <w:rPr>
          <w:rFonts w:hint="eastAsia" w:ascii="仿宋_GB2312" w:hAnsi="仿宋_GB2312" w:eastAsia="仿宋_GB2312" w:cs="仿宋_GB2312"/>
          <w:kern w:val="2"/>
          <w:sz w:val="32"/>
          <w:szCs w:val="32"/>
          <w:highlight w:val="none"/>
          <w:lang w:val="en-US" w:eastAsia="zh-CN" w:bidi="ar-SA"/>
        </w:rPr>
        <w:t>.积极实施品牌、标准战略。</w:t>
      </w:r>
      <w:r>
        <w:rPr>
          <w:rFonts w:hint="eastAsia" w:ascii="仿宋_GB2312" w:hAnsi="仿宋_GB2312" w:eastAsia="仿宋_GB2312" w:cs="仿宋_GB2312"/>
          <w:sz w:val="32"/>
          <w:szCs w:val="32"/>
          <w:highlight w:val="none"/>
          <w:lang w:val="en-US" w:eastAsia="zh-CN"/>
        </w:rPr>
        <w:t>加</w:t>
      </w:r>
      <w:r>
        <w:rPr>
          <w:rFonts w:hint="eastAsia" w:ascii="仿宋_GB2312" w:hAnsi="Calibri" w:eastAsia="仿宋_GB2312" w:cs="Times New Roman"/>
          <w:kern w:val="2"/>
          <w:sz w:val="32"/>
          <w:szCs w:val="32"/>
          <w:highlight w:val="none"/>
          <w:lang w:val="en-US" w:eastAsia="zh-CN" w:bidi="ar-SA"/>
        </w:rPr>
        <w:t>大对驰名商标、名牌</w:t>
      </w:r>
      <w:r>
        <w:rPr>
          <w:rFonts w:hint="eastAsia" w:ascii="仿宋_GB2312" w:hAnsi="仿宋_GB2312" w:eastAsia="仿宋_GB2312" w:cs="仿宋_GB2312"/>
          <w:sz w:val="32"/>
          <w:szCs w:val="32"/>
          <w:highlight w:val="none"/>
          <w:lang w:val="en-US" w:eastAsia="zh-CN"/>
        </w:rPr>
        <w:t>产品的支持力度；鼓励农业科技创新成果申请动、植物新品种保护，特色农产品申请地理标志保护；鼓励企业参与标准制定，不断提升品牌、商标、标准等知识产权要素对社会经济发展的支撑作用。</w:t>
      </w:r>
      <w:r>
        <w:rPr>
          <w:rFonts w:hint="default" w:ascii="Times New Roman" w:hAnsi="Times New Roman" w:eastAsia="仿宋_GB2312" w:cs="Times New Roman"/>
          <w:kern w:val="2"/>
          <w:sz w:val="32"/>
          <w:szCs w:val="32"/>
          <w:highlight w:val="none"/>
          <w:lang w:val="en-US" w:eastAsia="zh-CN" w:bidi="ar-SA"/>
        </w:rPr>
        <w:t>4</w:t>
      </w:r>
      <w:r>
        <w:rPr>
          <w:rFonts w:hint="eastAsia" w:ascii="仿宋_GB2312" w:hAnsi="仿宋_GB2312" w:eastAsia="仿宋_GB2312" w:cs="仿宋_GB2312"/>
          <w:kern w:val="2"/>
          <w:sz w:val="32"/>
          <w:szCs w:val="32"/>
          <w:highlight w:val="none"/>
          <w:lang w:val="en-US" w:eastAsia="zh-CN" w:bidi="ar-SA"/>
        </w:rPr>
        <w:t>.推进自主知识产权技术实施与产业化。</w:t>
      </w:r>
      <w:r>
        <w:rPr>
          <w:rFonts w:hint="eastAsia" w:ascii="仿宋_GB2312" w:hAnsi="仿宋_GB2312" w:eastAsia="仿宋_GB2312" w:cs="仿宋_GB2312"/>
          <w:sz w:val="32"/>
          <w:szCs w:val="32"/>
          <w:highlight w:val="none"/>
          <w:lang w:val="en-US" w:eastAsia="zh-CN"/>
        </w:rPr>
        <w:t>围绕我县支柱产业和高新技术产业，扶持一批拥有自主知识产权的项目实施产业化；加强与金融机构联系，鼓励金融机构以专利权、商标权或驰名商标所有权等为质押物给予优先贷款，解决企业融资难题。</w:t>
      </w:r>
      <w:r>
        <w:rPr>
          <w:rFonts w:hint="eastAsia" w:ascii="楷体_GB2312" w:hAnsi="楷体_GB2312" w:eastAsia="楷体_GB2312" w:cs="楷体_GB2312"/>
          <w:b w:val="0"/>
          <w:bCs w:val="0"/>
          <w:sz w:val="32"/>
          <w:szCs w:val="32"/>
          <w:highlight w:val="none"/>
          <w:lang w:val="en-US" w:eastAsia="zh-CN"/>
        </w:rPr>
        <w:t>（三）进一步完善知识产权保护体制。</w:t>
      </w:r>
      <w:r>
        <w:rPr>
          <w:rFonts w:hint="default" w:ascii="Times New Roman" w:hAnsi="Times New Roman" w:eastAsia="仿宋_GB2312" w:cs="Times New Roman"/>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en-US" w:eastAsia="zh-CN" w:bidi="ar-SA"/>
        </w:rPr>
        <w:t>.完善行政执法和司法保护机制。</w:t>
      </w:r>
      <w:r>
        <w:rPr>
          <w:rFonts w:hint="eastAsia" w:ascii="仿宋_GB2312" w:hAnsi="仿宋_GB2312" w:eastAsia="仿宋_GB2312" w:cs="仿宋_GB2312"/>
          <w:color w:val="auto"/>
          <w:sz w:val="32"/>
          <w:szCs w:val="32"/>
          <w:highlight w:val="none"/>
          <w:lang w:val="en-US" w:eastAsia="zh-CN"/>
        </w:rPr>
        <w:t>加</w:t>
      </w:r>
      <w:r>
        <w:rPr>
          <w:rFonts w:hint="eastAsia" w:ascii="仿宋_GB2312" w:hAnsi="仿宋_GB2312" w:eastAsia="仿宋_GB2312" w:cs="仿宋_GB2312"/>
          <w:color w:val="auto"/>
          <w:sz w:val="32"/>
          <w:szCs w:val="32"/>
          <w:highlight w:val="none"/>
        </w:rPr>
        <w:t>强知识产权行政执法能力建设，充实行政执法力量和知识产权司法队伍。强化行政执法、司法保护部门合作，建立健全重大案件会商通报制度、案件移送制度，及时维护权利人的合法权益，有效制止知识产权滥用行为。</w:t>
      </w:r>
      <w:r>
        <w:rPr>
          <w:rFonts w:hint="default" w:ascii="Times New Roman" w:hAnsi="Times New Roman" w:eastAsia="仿宋_GB2312" w:cs="Times New Roman"/>
          <w:kern w:val="2"/>
          <w:sz w:val="32"/>
          <w:szCs w:val="32"/>
          <w:highlight w:val="none"/>
          <w:lang w:val="en-US" w:eastAsia="zh-CN" w:bidi="ar-SA"/>
        </w:rPr>
        <w:t>2</w:t>
      </w:r>
      <w:r>
        <w:rPr>
          <w:rFonts w:hint="eastAsia" w:ascii="仿宋_GB2312" w:hAnsi="仿宋_GB2312" w:eastAsia="仿宋_GB2312" w:cs="仿宋_GB2312"/>
          <w:kern w:val="2"/>
          <w:sz w:val="32"/>
          <w:szCs w:val="32"/>
          <w:highlight w:val="none"/>
          <w:lang w:val="en-US" w:eastAsia="zh-CN" w:bidi="ar-SA"/>
        </w:rPr>
        <w:t>.加强知识产权维权援助工作。</w:t>
      </w:r>
      <w:r>
        <w:rPr>
          <w:rFonts w:hint="eastAsia" w:ascii="仿宋_GB2312" w:hAnsi="仿宋_GB2312" w:eastAsia="仿宋_GB2312" w:cs="仿宋_GB2312"/>
          <w:sz w:val="32"/>
          <w:szCs w:val="32"/>
          <w:highlight w:val="none"/>
          <w:lang w:val="en-US" w:eastAsia="zh-CN"/>
        </w:rPr>
        <w:t>调动知识产权代理机构、律师事务所、行业协会、社会公众等社会力量参与知识产权保护的积极性，鼓励行业协会等建立知识产权保护联盟或知识产权保护工作站，加强知识产权社会共治。积极推进“知识产权公益服务进企业”活动，邀请有关专家在专利申请等知识产权保护方面为企业答疑解惑，针对企业的需求提供相关知识产权保护建议和方案。</w:t>
      </w:r>
      <w:r>
        <w:rPr>
          <w:rFonts w:hint="eastAsia" w:ascii="仿宋_GB2312" w:hAnsi="仿宋_GB2312" w:eastAsia="仿宋_GB2312" w:cs="仿宋_GB2312"/>
          <w:color w:val="auto"/>
          <w:sz w:val="32"/>
          <w:szCs w:val="32"/>
          <w:highlight w:val="none"/>
          <w:lang w:val="en-US" w:eastAsia="zh-CN"/>
        </w:rPr>
        <w:t>同时，</w:t>
      </w:r>
      <w:r>
        <w:rPr>
          <w:rFonts w:hint="eastAsia" w:ascii="仿宋_GB2312" w:hAnsi="仿宋_GB2312" w:eastAsia="仿宋_GB2312" w:cs="仿宋_GB2312"/>
          <w:color w:val="auto"/>
          <w:sz w:val="32"/>
          <w:szCs w:val="32"/>
          <w:highlight w:val="none"/>
        </w:rPr>
        <w:t>发挥好中国（淄博）知识产权维权援助中心</w:t>
      </w:r>
      <w:r>
        <w:rPr>
          <w:rFonts w:hint="eastAsia" w:ascii="仿宋_GB2312" w:hAnsi="仿宋_GB2312" w:eastAsia="仿宋_GB2312" w:cs="仿宋_GB2312"/>
          <w:color w:val="auto"/>
          <w:sz w:val="32"/>
          <w:szCs w:val="32"/>
          <w:highlight w:val="none"/>
          <w:lang w:val="en-US" w:eastAsia="zh-CN"/>
        </w:rPr>
        <w:t>桓台分中心</w:t>
      </w:r>
      <w:r>
        <w:rPr>
          <w:rFonts w:hint="eastAsia" w:ascii="仿宋_GB2312" w:hAnsi="仿宋_GB2312" w:eastAsia="仿宋_GB2312" w:cs="仿宋_GB2312"/>
          <w:color w:val="auto"/>
          <w:sz w:val="32"/>
          <w:szCs w:val="32"/>
          <w:highlight w:val="none"/>
        </w:rPr>
        <w:t>暨知识产权维权援助与举报投诉公益热线“</w:t>
      </w:r>
      <w:r>
        <w:rPr>
          <w:rFonts w:hint="default" w:ascii="Times New Roman" w:hAnsi="Times New Roman" w:eastAsia="仿宋_GB2312" w:cs="Times New Roman"/>
          <w:snapToGrid/>
          <w:kern w:val="2"/>
          <w:sz w:val="32"/>
          <w:szCs w:val="32"/>
          <w:highlight w:val="none"/>
          <w:lang w:val="en-US" w:eastAsia="zh-CN"/>
        </w:rPr>
        <w:t>12330</w:t>
      </w:r>
      <w:r>
        <w:rPr>
          <w:rFonts w:hint="eastAsia" w:ascii="仿宋_GB2312" w:hAnsi="仿宋_GB2312" w:eastAsia="仿宋_GB2312" w:cs="仿宋_GB2312"/>
          <w:color w:val="auto"/>
          <w:sz w:val="32"/>
          <w:szCs w:val="32"/>
          <w:highlight w:val="none"/>
        </w:rPr>
        <w:t>”的作用，</w:t>
      </w:r>
      <w:r>
        <w:rPr>
          <w:rFonts w:hint="eastAsia" w:ascii="仿宋_GB2312" w:hAnsi="仿宋_GB2312" w:eastAsia="仿宋_GB2312" w:cs="仿宋_GB2312"/>
          <w:color w:val="auto"/>
          <w:sz w:val="32"/>
          <w:szCs w:val="32"/>
          <w:highlight w:val="none"/>
          <w:lang w:val="en-US" w:eastAsia="zh-CN"/>
        </w:rPr>
        <w:t>及时将举报投诉件转交给相关知识产权行政管理机构。</w:t>
      </w:r>
      <w:r>
        <w:rPr>
          <w:rFonts w:hint="default" w:ascii="Times New Roman" w:hAnsi="Times New Roman" w:eastAsia="仿宋_GB2312" w:cs="Times New Roman"/>
          <w:kern w:val="2"/>
          <w:sz w:val="32"/>
          <w:szCs w:val="32"/>
          <w:highlight w:val="none"/>
          <w:lang w:val="en-US" w:eastAsia="zh-CN" w:bidi="ar-SA"/>
        </w:rPr>
        <w:t>3</w:t>
      </w:r>
      <w:r>
        <w:rPr>
          <w:rFonts w:hint="eastAsia" w:ascii="仿宋_GB2312" w:hAnsi="仿宋_GB2312" w:eastAsia="仿宋_GB2312" w:cs="仿宋_GB2312"/>
          <w:kern w:val="2"/>
          <w:sz w:val="32"/>
          <w:szCs w:val="32"/>
          <w:highlight w:val="none"/>
          <w:lang w:val="en-US" w:eastAsia="zh-CN" w:bidi="ar-SA"/>
        </w:rPr>
        <w:t>.加大对知识产权违法案件的打击力度。</w:t>
      </w:r>
      <w:r>
        <w:rPr>
          <w:rFonts w:hint="eastAsia" w:ascii="仿宋_GB2312" w:hAnsi="仿宋_GB2312" w:eastAsia="仿宋_GB2312" w:cs="仿宋_GB2312"/>
          <w:sz w:val="32"/>
          <w:szCs w:val="32"/>
          <w:highlight w:val="none"/>
          <w:lang w:val="en-US" w:eastAsia="zh-CN"/>
        </w:rPr>
        <w:t>围绕与民生密切相关的“衣食住行”领域，强化对驰名商标、涉农地理标志的保护。针对食品、化妆品、防疫用品、农资、汽车配件、家用电器、装修装饰材料、服装等重点商品，以集贸市场、批发市场、商场、超市、商品展销会和商标印制企业等为重点场所和重点对象，加大执法监管保护力度，严厉查处假冒注册商标、违规印制注册商标标识等违法行为，重点加大对严重侵权、重复侵权、群体侵权等行为的惩处力度，切实提高违法成本，形成震慑作用；开展专利真实性检查，以食品药品、环保、安全生产及高新技术等有关产品为关键领域，重点查处在未被授予专利的产品或者其包装上标注专利标识，专利权被宣告无效后继续在产品或者其包装上标注专利标识，或者未经许可在产品或者产品包装上标注他人的专利号等违法行为。</w:t>
      </w:r>
      <w:r>
        <w:rPr>
          <w:rFonts w:hint="default" w:ascii="Times New Roman" w:hAnsi="Times New Roman" w:eastAsia="仿宋_GB2312" w:cs="Times New Roman"/>
          <w:kern w:val="2"/>
          <w:sz w:val="32"/>
          <w:szCs w:val="32"/>
          <w:highlight w:val="none"/>
          <w:lang w:val="en-US" w:eastAsia="zh-CN" w:bidi="ar-SA"/>
        </w:rPr>
        <w:t>4</w:t>
      </w:r>
      <w:r>
        <w:rPr>
          <w:rFonts w:hint="eastAsia" w:ascii="仿宋_GB2312" w:hAnsi="仿宋_GB2312" w:eastAsia="仿宋_GB2312" w:cs="仿宋_GB2312"/>
          <w:kern w:val="2"/>
          <w:sz w:val="32"/>
          <w:szCs w:val="32"/>
          <w:highlight w:val="none"/>
          <w:lang w:val="en-US" w:eastAsia="zh-CN" w:bidi="ar-SA"/>
        </w:rPr>
        <w:t>.强化电子商务领域知识产权保护。</w:t>
      </w:r>
      <w:r>
        <w:rPr>
          <w:rFonts w:hint="eastAsia" w:ascii="仿宋_GB2312" w:hAnsi="仿宋_GB2312" w:eastAsia="仿宋_GB2312" w:cs="仿宋_GB2312"/>
          <w:sz w:val="32"/>
          <w:szCs w:val="32"/>
          <w:highlight w:val="none"/>
          <w:lang w:val="en-US" w:eastAsia="zh-CN"/>
        </w:rPr>
        <w:t>做好线上线下案件的衔接工作，推进线上线下一体化监管执法。主动对接本地区电商交易平台，向电商平台经营者推广《电商平台知识产权保护管理》国家标准。对电商领域举报投诉的案件要依法及时查处。</w:t>
      </w:r>
      <w:r>
        <w:rPr>
          <w:rFonts w:hint="eastAsia" w:ascii="楷体_GB2312" w:hAnsi="楷体_GB2312" w:eastAsia="楷体_GB2312" w:cs="楷体_GB2312"/>
          <w:b w:val="0"/>
          <w:bCs w:val="0"/>
          <w:sz w:val="32"/>
          <w:highlight w:val="none"/>
          <w:lang w:val="en-US"/>
        </w:rPr>
        <w:t>（</w:t>
      </w:r>
      <w:r>
        <w:rPr>
          <w:rFonts w:hint="eastAsia" w:ascii="楷体_GB2312" w:hAnsi="楷体_GB2312" w:eastAsia="楷体_GB2312" w:cs="楷体_GB2312"/>
          <w:b w:val="0"/>
          <w:bCs w:val="0"/>
          <w:sz w:val="32"/>
          <w:highlight w:val="none"/>
          <w:lang w:val="en-US" w:eastAsia="zh-CN"/>
        </w:rPr>
        <w:t>四</w:t>
      </w:r>
      <w:r>
        <w:rPr>
          <w:rFonts w:hint="eastAsia" w:ascii="楷体_GB2312" w:hAnsi="楷体_GB2312" w:eastAsia="楷体_GB2312" w:cs="楷体_GB2312"/>
          <w:b w:val="0"/>
          <w:bCs w:val="0"/>
          <w:sz w:val="32"/>
          <w:highlight w:val="none"/>
          <w:lang w:val="en-US"/>
        </w:rPr>
        <w:t>）</w:t>
      </w:r>
      <w:r>
        <w:rPr>
          <w:rFonts w:hint="eastAsia" w:ascii="楷体_GB2312" w:hAnsi="楷体_GB2312" w:eastAsia="楷体_GB2312" w:cs="楷体_GB2312"/>
          <w:b w:val="0"/>
          <w:bCs w:val="0"/>
          <w:color w:val="auto"/>
          <w:sz w:val="32"/>
          <w:highlight w:val="none"/>
          <w:lang w:val="en-US" w:eastAsia="zh-CN"/>
        </w:rPr>
        <w:t>加大</w:t>
      </w:r>
      <w:r>
        <w:rPr>
          <w:rFonts w:hint="eastAsia" w:ascii="楷体_GB2312" w:hAnsi="楷体_GB2312" w:eastAsia="楷体_GB2312" w:cs="楷体_GB2312"/>
          <w:b w:val="0"/>
          <w:bCs w:val="0"/>
          <w:color w:val="auto"/>
          <w:sz w:val="32"/>
          <w:highlight w:val="none"/>
          <w:lang w:val="en-US"/>
        </w:rPr>
        <w:t>知识产权</w:t>
      </w:r>
      <w:r>
        <w:rPr>
          <w:rFonts w:hint="eastAsia" w:ascii="楷体_GB2312" w:hAnsi="楷体_GB2312" w:eastAsia="楷体_GB2312" w:cs="楷体_GB2312"/>
          <w:b w:val="0"/>
          <w:bCs w:val="0"/>
          <w:color w:val="auto"/>
          <w:sz w:val="32"/>
          <w:highlight w:val="none"/>
          <w:lang w:val="en-US" w:eastAsia="zh-CN"/>
        </w:rPr>
        <w:t>公共</w:t>
      </w:r>
      <w:r>
        <w:rPr>
          <w:rFonts w:hint="eastAsia" w:ascii="楷体_GB2312" w:hAnsi="楷体_GB2312" w:eastAsia="楷体_GB2312" w:cs="楷体_GB2312"/>
          <w:b w:val="0"/>
          <w:bCs w:val="0"/>
          <w:color w:val="auto"/>
          <w:sz w:val="32"/>
          <w:highlight w:val="none"/>
          <w:lang w:val="en-US"/>
        </w:rPr>
        <w:t>服务</w:t>
      </w:r>
      <w:r>
        <w:rPr>
          <w:rFonts w:hint="eastAsia" w:ascii="楷体_GB2312" w:hAnsi="楷体_GB2312" w:eastAsia="楷体_GB2312" w:cs="楷体_GB2312"/>
          <w:b w:val="0"/>
          <w:bCs w:val="0"/>
          <w:color w:val="auto"/>
          <w:sz w:val="32"/>
          <w:highlight w:val="none"/>
          <w:lang w:val="en-US" w:eastAsia="zh-CN"/>
        </w:rPr>
        <w:t>。</w:t>
      </w:r>
      <w:r>
        <w:rPr>
          <w:rFonts w:hint="default" w:ascii="Times New Roman" w:hAnsi="Times New Roman" w:eastAsia="仿宋_GB2312" w:cs="Times New Roman"/>
          <w:kern w:val="2"/>
          <w:sz w:val="32"/>
          <w:szCs w:val="32"/>
          <w:highlight w:val="none"/>
          <w:lang w:val="en-US" w:eastAsia="zh-CN" w:bidi="ar-SA"/>
        </w:rPr>
        <w:t>1</w:t>
      </w:r>
      <w:r>
        <w:rPr>
          <w:rFonts w:hint="eastAsia" w:ascii="仿宋_GB2312" w:hAnsi="仿宋_GB2312" w:eastAsia="仿宋_GB2312" w:cs="仿宋_GB2312"/>
          <w:kern w:val="2"/>
          <w:sz w:val="32"/>
          <w:szCs w:val="32"/>
          <w:highlight w:val="none"/>
          <w:lang w:val="en-US" w:eastAsia="zh-CN" w:bidi="ar-SA"/>
        </w:rPr>
        <w:t>.强化知识产权金融服务。</w:t>
      </w:r>
      <w:r>
        <w:rPr>
          <w:rFonts w:hint="eastAsia" w:ascii="仿宋_GB2312" w:hAnsi="仿宋_GB2312" w:eastAsia="仿宋_GB2312" w:cs="Times New Roman"/>
          <w:color w:val="auto"/>
          <w:sz w:val="32"/>
          <w:highlight w:val="none"/>
          <w:lang w:val="en-US"/>
        </w:rPr>
        <w:t>按照“政府引导、市场运作、专业管理、防范风险”的原则，通过股权投资等方式，支持知识产权运营机构和企业开展知识产权转移转化和产业化。充分发挥市知识产权质押融资联盟作用，优化知识产权质押融资服务机制，实现知识产权质押融资服务普遍化、常态化和规模化。扩大专利执行保险、知识产权海外侵权责任保险和专利被侵权损失保险等业务企业投保覆盖面。鼓励保险公司开发设计满足企业需求的知识产权保险产品，提升服务能力。推动知识产权金融创新，鼓励金融机构推出符合知识产权特点和企业融资需求的知识产权金融产品和服务。建立完善知识产权金融服务标准。支持引导金融机构开展知识产权证券化工作，</w:t>
      </w:r>
      <w:r>
        <w:rPr>
          <w:rFonts w:hint="eastAsia" w:ascii="仿宋_GB2312" w:hAnsi="仿宋_GB2312" w:eastAsia="仿宋_GB2312" w:cs="Times New Roman"/>
          <w:color w:val="auto"/>
          <w:sz w:val="32"/>
          <w:highlight w:val="none"/>
          <w:lang w:val="en-US" w:eastAsia="zh-CN"/>
        </w:rPr>
        <w:t>探索开展</w:t>
      </w:r>
      <w:r>
        <w:rPr>
          <w:rFonts w:hint="eastAsia" w:ascii="仿宋_GB2312" w:hAnsi="仿宋_GB2312" w:eastAsia="仿宋_GB2312" w:cs="Times New Roman"/>
          <w:color w:val="auto"/>
          <w:sz w:val="32"/>
          <w:highlight w:val="none"/>
          <w:lang w:val="en-US"/>
        </w:rPr>
        <w:t>专利许可收益权质押融资等服务新模式，为市场主体提供多样化的知识产权金融服务。</w:t>
      </w:r>
      <w:r>
        <w:rPr>
          <w:rFonts w:hint="default" w:ascii="Times New Roman" w:hAnsi="Times New Roman" w:eastAsia="仿宋_GB2312" w:cs="Times New Roman"/>
          <w:kern w:val="2"/>
          <w:sz w:val="32"/>
          <w:szCs w:val="32"/>
          <w:highlight w:val="none"/>
          <w:lang w:val="en-US" w:eastAsia="zh-CN" w:bidi="ar-SA"/>
        </w:rPr>
        <w:t>2</w:t>
      </w:r>
      <w:r>
        <w:rPr>
          <w:rFonts w:hint="eastAsia" w:ascii="仿宋_GB2312" w:hAnsi="仿宋_GB2312" w:eastAsia="仿宋_GB2312" w:cs="仿宋_GB2312"/>
          <w:kern w:val="2"/>
          <w:sz w:val="32"/>
          <w:szCs w:val="32"/>
          <w:highlight w:val="none"/>
          <w:lang w:val="en-US" w:eastAsia="zh-CN" w:bidi="ar-SA"/>
        </w:rPr>
        <w:t>.促进知识产权服务业发展。</w:t>
      </w:r>
      <w:r>
        <w:rPr>
          <w:rFonts w:hint="eastAsia" w:ascii="仿宋_GB2312" w:hAnsi="仿宋_GB2312" w:eastAsia="仿宋_GB2312" w:cs="Times New Roman"/>
          <w:color w:val="auto"/>
          <w:sz w:val="32"/>
          <w:highlight w:val="none"/>
          <w:lang w:val="en-US" w:eastAsia="zh-CN"/>
        </w:rPr>
        <w:t>大力引进知识产权服务机构，引</w:t>
      </w:r>
      <w:r>
        <w:rPr>
          <w:rFonts w:hint="eastAsia" w:ascii="仿宋_GB2312" w:hAnsi="仿宋_GB2312" w:eastAsia="仿宋_GB2312" w:cs="Times New Roman"/>
          <w:color w:val="auto"/>
          <w:sz w:val="32"/>
          <w:highlight w:val="none"/>
          <w:lang w:val="en-US"/>
        </w:rPr>
        <w:t>导和培育知识产权服务业集聚发展，推动知识产权与产业、科技和经济的深入融合。引导服务机构加大对中小微企业知识产权服务，促进中小企业创新发展。</w:t>
      </w:r>
      <w:r>
        <w:rPr>
          <w:rFonts w:hint="eastAsia" w:ascii="仿宋_GB2312" w:hAnsi="仿宋_GB2312" w:eastAsia="仿宋_GB2312" w:cs="Times New Roman"/>
          <w:color w:val="auto"/>
          <w:sz w:val="32"/>
          <w:highlight w:val="none"/>
          <w:lang w:val="en-US" w:eastAsia="zh-CN"/>
        </w:rPr>
        <w:t>鼓励</w:t>
      </w:r>
      <w:r>
        <w:rPr>
          <w:rFonts w:hint="eastAsia" w:ascii="仿宋_GB2312" w:hAnsi="仿宋_GB2312" w:eastAsia="仿宋_GB2312" w:cs="Times New Roman"/>
          <w:color w:val="auto"/>
          <w:sz w:val="32"/>
          <w:highlight w:val="none"/>
          <w:lang w:val="en-US"/>
        </w:rPr>
        <w:t>支持知识产权服务机构积极参与知识产权质押融资联盟,发挥专业高效服务优势, 创新工作模式,拓展融资渠道</w:t>
      </w:r>
      <w:r>
        <w:rPr>
          <w:rFonts w:hint="eastAsia" w:ascii="仿宋_GB2312" w:hAnsi="仿宋_GB2312" w:eastAsia="仿宋_GB2312" w:cs="Times New Roman"/>
          <w:color w:val="auto"/>
          <w:sz w:val="32"/>
          <w:highlight w:val="none"/>
          <w:lang w:val="en-US" w:eastAsia="zh-CN"/>
        </w:rPr>
        <w:t>。</w:t>
      </w:r>
      <w:r>
        <w:rPr>
          <w:rFonts w:hint="default" w:ascii="Times New Roman" w:hAnsi="Times New Roman" w:eastAsia="仿宋_GB2312" w:cs="Times New Roman"/>
          <w:kern w:val="2"/>
          <w:sz w:val="32"/>
          <w:szCs w:val="32"/>
          <w:highlight w:val="none"/>
          <w:lang w:val="en-US" w:eastAsia="zh-CN" w:bidi="ar-SA"/>
        </w:rPr>
        <w:t>3</w:t>
      </w:r>
      <w:r>
        <w:rPr>
          <w:rFonts w:hint="eastAsia" w:ascii="仿宋_GB2312" w:hAnsi="仿宋_GB2312" w:eastAsia="仿宋_GB2312" w:cs="仿宋_GB2312"/>
          <w:kern w:val="2"/>
          <w:sz w:val="32"/>
          <w:szCs w:val="32"/>
          <w:highlight w:val="none"/>
          <w:lang w:val="en-US" w:eastAsia="zh-CN" w:bidi="ar-SA"/>
        </w:rPr>
        <w:t>.加强知识产权人才队伍建设。</w:t>
      </w:r>
      <w:r>
        <w:rPr>
          <w:rFonts w:hint="eastAsia" w:ascii="仿宋_GB2312" w:hAnsi="仿宋_GB2312" w:eastAsia="仿宋_GB2312" w:cs="Times New Roman"/>
          <w:sz w:val="32"/>
          <w:highlight w:val="none"/>
          <w:lang w:val="en-US"/>
        </w:rPr>
        <w:t>实施知识产权人才培养工程，培养高素质的知识产权服务人才、管理人才和知识产权管理运用能力强的企业知识产权工程师，以适应知识产权管理与服务需求。建立长效培训机制，加大对领导干部、企业家和各类创新人才</w:t>
      </w:r>
      <w:r>
        <w:rPr>
          <w:rFonts w:hint="eastAsia" w:ascii="仿宋_GB2312" w:hAnsi="仿宋_GB2312" w:eastAsia="仿宋_GB2312" w:cs="Times New Roman"/>
          <w:sz w:val="32"/>
          <w:highlight w:val="none"/>
          <w:lang w:val="en-US" w:eastAsia="zh-CN"/>
        </w:rPr>
        <w:t>的</w:t>
      </w:r>
      <w:r>
        <w:rPr>
          <w:rFonts w:hint="eastAsia" w:ascii="仿宋_GB2312" w:hAnsi="仿宋_GB2312" w:eastAsia="仿宋_GB2312" w:cs="Times New Roman"/>
          <w:sz w:val="32"/>
          <w:highlight w:val="none"/>
          <w:lang w:val="en-US"/>
        </w:rPr>
        <w:t>培训力度，对知识产权管理、服务及企事业单位工作人员实施分类培训。充实知识产权管理队伍，建立知识产权行政部门与司法部门学习交流机制，打造适应新时代</w:t>
      </w:r>
      <w:r>
        <w:rPr>
          <w:rFonts w:hint="eastAsia" w:ascii="仿宋_GB2312" w:hAnsi="仿宋_GB2312" w:eastAsia="仿宋_GB2312" w:cs="Times New Roman"/>
          <w:sz w:val="32"/>
          <w:highlight w:val="none"/>
          <w:lang w:val="en-US" w:eastAsia="zh-CN"/>
        </w:rPr>
        <w:t>具有较高</w:t>
      </w:r>
      <w:r>
        <w:rPr>
          <w:rFonts w:hint="eastAsia" w:ascii="仿宋_GB2312" w:hAnsi="仿宋_GB2312" w:eastAsia="仿宋_GB2312" w:cs="Times New Roman"/>
          <w:sz w:val="32"/>
          <w:highlight w:val="none"/>
          <w:lang w:val="en-US"/>
        </w:rPr>
        <w:t>知识产权治理能力和治理水平的干部队伍。深入开展知识产权宣传，提升全社会知识产权意识，营造“尊重知识、崇尚创新、诚实守信”的氛围。</w:t>
      </w:r>
      <w:r>
        <w:rPr>
          <w:rFonts w:hint="default" w:ascii="Times New Roman" w:hAnsi="Times New Roman" w:eastAsia="仿宋_GB2312" w:cs="Times New Roman"/>
          <w:b w:val="0"/>
          <w:bCs w:val="0"/>
          <w:snapToGrid/>
          <w:kern w:val="2"/>
          <w:sz w:val="32"/>
          <w:szCs w:val="32"/>
          <w:highlight w:val="none"/>
          <w:lang w:val="en-US" w:eastAsia="zh-CN" w:bidi="ar-SA"/>
        </w:rPr>
        <w:t>4</w:t>
      </w:r>
      <w:r>
        <w:rPr>
          <w:rFonts w:hint="eastAsia" w:ascii="仿宋_GB2312" w:hAnsi="仿宋_GB2312" w:eastAsia="仿宋_GB2312" w:cs="Times New Roman"/>
          <w:b w:val="0"/>
          <w:bCs w:val="0"/>
          <w:sz w:val="32"/>
          <w:highlight w:val="none"/>
          <w:lang w:val="en-US" w:eastAsia="zh-CN"/>
        </w:rPr>
        <w:t>.加大</w:t>
      </w:r>
      <w:r>
        <w:rPr>
          <w:rFonts w:hint="eastAsia" w:ascii="仿宋_GB2312" w:hAnsi="仿宋_GB2312" w:eastAsia="仿宋_GB2312" w:cs="Times New Roman"/>
          <w:b w:val="0"/>
          <w:bCs w:val="0"/>
          <w:sz w:val="32"/>
          <w:highlight w:val="none"/>
          <w:lang w:val="en-US"/>
        </w:rPr>
        <w:t>知识产权宣传培训</w:t>
      </w:r>
      <w:r>
        <w:rPr>
          <w:rFonts w:hint="eastAsia" w:ascii="仿宋_GB2312" w:hAnsi="仿宋_GB2312" w:eastAsia="仿宋_GB2312" w:cs="Times New Roman"/>
          <w:b w:val="0"/>
          <w:bCs w:val="0"/>
          <w:sz w:val="32"/>
          <w:highlight w:val="none"/>
          <w:lang w:val="en-US" w:eastAsia="zh-CN"/>
        </w:rPr>
        <w:t>力度。</w:t>
      </w:r>
      <w:r>
        <w:rPr>
          <w:rFonts w:hint="eastAsia" w:ascii="仿宋_GB2312" w:hAnsi="仿宋_GB2312" w:eastAsia="仿宋_GB2312" w:cs="Times New Roman"/>
          <w:sz w:val="32"/>
          <w:highlight w:val="none"/>
          <w:lang w:val="en-US" w:eastAsia="zh-CN"/>
        </w:rPr>
        <w:t>围绕知识产权强县示范县建设，统</w:t>
      </w:r>
      <w:r>
        <w:rPr>
          <w:rFonts w:hint="eastAsia" w:ascii="仿宋_GB2312" w:hAnsi="仿宋_GB2312" w:eastAsia="仿宋_GB2312" w:cs="Times New Roman"/>
          <w:sz w:val="32"/>
          <w:highlight w:val="none"/>
          <w:lang w:val="en-US"/>
        </w:rPr>
        <w:t>筹传统媒体与新兴媒体，</w:t>
      </w:r>
      <w:r>
        <w:rPr>
          <w:rFonts w:hint="eastAsia" w:ascii="仿宋_GB2312" w:hAnsi="仿宋_GB2312" w:eastAsia="仿宋_GB2312" w:cs="Times New Roman"/>
          <w:sz w:val="32"/>
          <w:highlight w:val="none"/>
          <w:lang w:val="en-US" w:eastAsia="zh-CN"/>
        </w:rPr>
        <w:t>将</w:t>
      </w:r>
      <w:r>
        <w:rPr>
          <w:rFonts w:hint="eastAsia" w:ascii="仿宋_GB2312" w:hAnsi="仿宋_GB2312" w:eastAsia="仿宋_GB2312" w:cs="Times New Roman"/>
          <w:sz w:val="32"/>
          <w:highlight w:val="none"/>
          <w:lang w:val="en-US"/>
        </w:rPr>
        <w:t>知识产权工作</w:t>
      </w:r>
      <w:r>
        <w:rPr>
          <w:rFonts w:hint="eastAsia" w:ascii="仿宋_GB2312" w:hAnsi="仿宋_GB2312" w:eastAsia="仿宋_GB2312" w:cs="Times New Roman"/>
          <w:sz w:val="32"/>
          <w:highlight w:val="none"/>
          <w:lang w:val="en-US" w:eastAsia="zh-CN"/>
        </w:rPr>
        <w:t>的新形势、新动态、新政策，及时向全社会公布</w:t>
      </w:r>
      <w:r>
        <w:rPr>
          <w:rFonts w:hint="eastAsia" w:ascii="仿宋_GB2312" w:hAnsi="仿宋_GB2312" w:eastAsia="仿宋_GB2312" w:cs="Times New Roman"/>
          <w:sz w:val="32"/>
          <w:highlight w:val="none"/>
          <w:lang w:val="en-US"/>
        </w:rPr>
        <w:t>。建立健全政府活动宣传、媒体传播报道、</w:t>
      </w:r>
      <w:r>
        <w:rPr>
          <w:rFonts w:hint="eastAsia" w:ascii="仿宋_GB2312" w:hAnsi="仿宋_GB2312" w:eastAsia="仿宋_GB2312" w:cs="Times New Roman"/>
          <w:sz w:val="32"/>
          <w:highlight w:val="none"/>
          <w:lang w:val="en-US" w:eastAsia="zh-CN"/>
        </w:rPr>
        <w:t>政企</w:t>
      </w:r>
      <w:r>
        <w:rPr>
          <w:rFonts w:hint="eastAsia" w:ascii="仿宋_GB2312" w:hAnsi="仿宋_GB2312" w:eastAsia="仿宋_GB2312" w:cs="Times New Roman"/>
          <w:sz w:val="32"/>
          <w:highlight w:val="none"/>
          <w:lang w:val="en-US"/>
        </w:rPr>
        <w:t>文化交流相互促进的知识产权</w:t>
      </w:r>
      <w:r>
        <w:rPr>
          <w:rFonts w:hint="eastAsia" w:ascii="仿宋_GB2312" w:hAnsi="仿宋_GB2312" w:eastAsia="仿宋_GB2312" w:cs="Times New Roman"/>
          <w:sz w:val="32"/>
          <w:highlight w:val="none"/>
          <w:lang w:val="en-US" w:eastAsia="zh-CN"/>
        </w:rPr>
        <w:t>宣传体系</w:t>
      </w:r>
      <w:r>
        <w:rPr>
          <w:rFonts w:hint="eastAsia" w:ascii="仿宋_GB2312" w:hAnsi="仿宋_GB2312" w:eastAsia="仿宋_GB2312" w:cs="Times New Roman"/>
          <w:sz w:val="32"/>
          <w:highlight w:val="none"/>
          <w:lang w:val="en-US"/>
        </w:rPr>
        <w:t>。持续做好知识产权宣传周、</w:t>
      </w:r>
      <w:r>
        <w:rPr>
          <w:rFonts w:hint="eastAsia" w:ascii="仿宋_GB2312" w:hAnsi="仿宋_GB2312" w:eastAsia="仿宋_GB2312" w:cs="Times New Roman"/>
          <w:sz w:val="32"/>
          <w:highlight w:val="none"/>
          <w:lang w:val="en-US" w:eastAsia="zh-CN"/>
        </w:rPr>
        <w:t>知识产权服务万里行</w:t>
      </w:r>
      <w:r>
        <w:rPr>
          <w:rFonts w:hint="eastAsia" w:ascii="仿宋_GB2312" w:hAnsi="仿宋_GB2312" w:eastAsia="仿宋_GB2312" w:cs="Times New Roman"/>
          <w:sz w:val="32"/>
          <w:highlight w:val="none"/>
          <w:lang w:val="en-US"/>
        </w:rPr>
        <w:t>等</w:t>
      </w:r>
      <w:r>
        <w:rPr>
          <w:rFonts w:hint="eastAsia" w:ascii="仿宋_GB2312" w:hAnsi="仿宋_GB2312" w:eastAsia="仿宋_GB2312" w:cs="Times New Roman"/>
          <w:sz w:val="32"/>
          <w:highlight w:val="none"/>
          <w:lang w:val="en-US" w:eastAsia="zh-CN"/>
        </w:rPr>
        <w:t>系列</w:t>
      </w:r>
      <w:r>
        <w:rPr>
          <w:rFonts w:hint="eastAsia" w:ascii="仿宋_GB2312" w:hAnsi="仿宋_GB2312" w:eastAsia="仿宋_GB2312" w:cs="Times New Roman"/>
          <w:sz w:val="32"/>
          <w:highlight w:val="none"/>
          <w:lang w:val="en-US"/>
        </w:rPr>
        <w:t>宣传活动。</w:t>
      </w:r>
      <w:r>
        <w:rPr>
          <w:rFonts w:hint="eastAsia" w:ascii="仿宋_GB2312" w:hAnsi="仿宋_GB2312" w:eastAsia="仿宋_GB2312" w:cs="Times New Roman"/>
          <w:sz w:val="32"/>
          <w:highlight w:val="none"/>
          <w:lang w:val="en-US" w:eastAsia="zh-CN"/>
        </w:rPr>
        <w:t>以案释法，增强全社会尊重和保护知识</w:t>
      </w:r>
      <w:r>
        <w:rPr>
          <w:rFonts w:hint="eastAsia" w:ascii="Times New Roman" w:hAnsi="Times New Roman" w:eastAsia="仿宋_GB2312" w:cs="Times New Roman"/>
          <w:b w:val="0"/>
          <w:bCs w:val="0"/>
          <w:snapToGrid/>
          <w:kern w:val="2"/>
          <w:sz w:val="32"/>
          <w:szCs w:val="32"/>
          <w:highlight w:val="none"/>
          <w:lang w:val="en-US" w:eastAsia="zh-CN" w:bidi="ar-SA"/>
        </w:rPr>
        <w:t>产权的意识，同时大力宣传锐意创新和诚信经营的典型企业，</w:t>
      </w:r>
      <w:r>
        <w:rPr>
          <w:rFonts w:hint="eastAsia" w:ascii="仿宋_GB2312" w:hAnsi="仿宋_GB2312" w:eastAsia="仿宋_GB2312" w:cs="Times New Roman"/>
          <w:sz w:val="32"/>
          <w:highlight w:val="none"/>
          <w:lang w:val="en-US" w:eastAsia="zh-CN"/>
        </w:rPr>
        <w:t>引导企业自觉履行尊重和保护知识产权的社会责任。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sz w:val="24"/>
          <w:szCs w:val="24"/>
        </w:rPr>
      </w:pPr>
      <w:r>
        <w:rPr>
          <w:rFonts w:hint="eastAsia" w:ascii="黑体" w:hAnsi="宋体" w:eastAsia="黑体" w:cs="黑体"/>
          <w:i w:val="0"/>
          <w:iCs w:val="0"/>
          <w:caps w:val="0"/>
          <w:color w:val="000000"/>
          <w:spacing w:val="0"/>
          <w:sz w:val="32"/>
          <w:szCs w:val="32"/>
          <w:shd w:val="clear" w:fill="FFFFFF"/>
          <w:lang w:val="en-US" w:eastAsia="zh-CN"/>
        </w:rPr>
        <w:t>四、</w:t>
      </w:r>
      <w:r>
        <w:rPr>
          <w:rFonts w:hint="eastAsia" w:ascii="黑体" w:hAnsi="宋体" w:eastAsia="黑体" w:cs="黑体"/>
          <w:i w:val="0"/>
          <w:iCs w:val="0"/>
          <w:caps w:val="0"/>
          <w:color w:val="000000"/>
          <w:spacing w:val="0"/>
          <w:sz w:val="32"/>
          <w:szCs w:val="32"/>
          <w:shd w:val="clear" w:fill="FFFFFF"/>
        </w:rPr>
        <w:t>重要举措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napToGrid/>
          <w:kern w:val="2"/>
          <w:sz w:val="32"/>
          <w:szCs w:val="32"/>
          <w:highlight w:val="none"/>
          <w:lang w:val="en-US" w:eastAsia="zh-CN" w:bidi="ar-SA"/>
        </w:rPr>
      </w:pPr>
      <w:r>
        <w:rPr>
          <w:rFonts w:hint="eastAsia" w:ascii="Times New Roman" w:hAnsi="Times New Roman" w:eastAsia="仿宋_GB2312" w:cs="Times New Roman"/>
          <w:b w:val="0"/>
          <w:bCs w:val="0"/>
          <w:snapToGrid/>
          <w:kern w:val="2"/>
          <w:sz w:val="32"/>
          <w:szCs w:val="32"/>
          <w:highlight w:val="none"/>
          <w:lang w:val="en-US" w:eastAsia="zh-CN" w:bidi="ar-SA"/>
        </w:rPr>
        <w:t>11月份，县政府正式印发《桓台县国家知识产权强县示范县建设工作方案（</w:t>
      </w:r>
      <w:r>
        <w:rPr>
          <w:rFonts w:hint="default" w:ascii="Times New Roman" w:hAnsi="Times New Roman" w:eastAsia="仿宋_GB2312" w:cs="Times New Roman"/>
          <w:b w:val="0"/>
          <w:bCs w:val="0"/>
          <w:snapToGrid/>
          <w:kern w:val="2"/>
          <w:sz w:val="32"/>
          <w:szCs w:val="32"/>
          <w:highlight w:val="none"/>
          <w:lang w:val="en-US" w:eastAsia="zh-CN" w:bidi="ar-SA"/>
        </w:rPr>
        <w:t>2022</w:t>
      </w:r>
      <w:r>
        <w:rPr>
          <w:rFonts w:hint="eastAsia" w:ascii="Times New Roman" w:hAnsi="Times New Roman" w:eastAsia="仿宋_GB2312" w:cs="Times New Roman"/>
          <w:b w:val="0"/>
          <w:bCs w:val="0"/>
          <w:snapToGrid/>
          <w:kern w:val="2"/>
          <w:sz w:val="32"/>
          <w:szCs w:val="32"/>
          <w:highlight w:val="none"/>
          <w:lang w:val="en-US" w:eastAsia="zh-CN" w:bidi="ar-SA"/>
        </w:rPr>
        <w:t>—</w:t>
      </w:r>
      <w:r>
        <w:rPr>
          <w:rFonts w:hint="default" w:ascii="Times New Roman" w:hAnsi="Times New Roman" w:eastAsia="仿宋_GB2312" w:cs="Times New Roman"/>
          <w:b w:val="0"/>
          <w:bCs w:val="0"/>
          <w:snapToGrid/>
          <w:kern w:val="2"/>
          <w:sz w:val="32"/>
          <w:szCs w:val="32"/>
          <w:highlight w:val="none"/>
          <w:lang w:val="en-US" w:eastAsia="zh-CN" w:bidi="ar-SA"/>
        </w:rPr>
        <w:t>202</w:t>
      </w:r>
      <w:r>
        <w:rPr>
          <w:rFonts w:hint="default" w:ascii="Times New Roman" w:hAnsi="Times New Roman" w:eastAsia="仿宋_GB2312" w:cs="Times New Roman"/>
          <w:b w:val="0"/>
          <w:bCs w:val="0"/>
          <w:snapToGrid/>
          <w:kern w:val="2"/>
          <w:sz w:val="32"/>
          <w:szCs w:val="32"/>
          <w:highlight w:val="none"/>
          <w:lang w:val="en" w:eastAsia="zh-CN" w:bidi="ar-SA"/>
        </w:rPr>
        <w:t>5</w:t>
      </w:r>
      <w:r>
        <w:rPr>
          <w:rFonts w:hint="eastAsia" w:ascii="Times New Roman" w:hAnsi="Times New Roman" w:eastAsia="仿宋_GB2312" w:cs="Times New Roman"/>
          <w:b w:val="0"/>
          <w:bCs w:val="0"/>
          <w:snapToGrid/>
          <w:kern w:val="2"/>
          <w:sz w:val="32"/>
          <w:szCs w:val="32"/>
          <w:highlight w:val="none"/>
          <w:lang w:val="en-US" w:eastAsia="zh-CN" w:bidi="ar-SA"/>
        </w:rPr>
        <w:t>年）》。</w:t>
      </w:r>
      <w:bookmarkStart w:id="0" w:name="_GoBack"/>
      <w:bookmarkEnd w:id="0"/>
    </w:p>
    <w:p>
      <w:pPr>
        <w:pStyle w:val="2"/>
        <w:rPr>
          <w:rFonts w:hint="eastAsia" w:ascii="仿宋_GB2312" w:hAnsi="微软雅黑" w:eastAsia="仿宋_GB2312" w:cs="仿宋_GB2312"/>
          <w:i w:val="0"/>
          <w:iCs w:val="0"/>
          <w:caps w:val="0"/>
          <w:color w:val="000000"/>
          <w:spacing w:val="12"/>
          <w:sz w:val="32"/>
          <w:szCs w:val="32"/>
          <w:shd w:val="clear" w:fill="FFFFFF"/>
        </w:rPr>
      </w:pPr>
    </w:p>
    <w:p>
      <w:pPr>
        <w:pStyle w:val="2"/>
        <w:rPr>
          <w:rFonts w:hint="eastAsia" w:ascii="仿宋_GB2312" w:hAnsi="微软雅黑" w:eastAsia="仿宋_GB2312" w:cs="仿宋_GB2312"/>
          <w:i w:val="0"/>
          <w:iCs w:val="0"/>
          <w:caps w:val="0"/>
          <w:color w:val="000000"/>
          <w:spacing w:val="12"/>
          <w:sz w:val="32"/>
          <w:szCs w:val="32"/>
          <w:shd w:val="clear" w:fill="FFFFFF"/>
        </w:rPr>
      </w:pPr>
    </w:p>
    <w:p>
      <w:pPr>
        <w:pStyle w:val="2"/>
        <w:jc w:val="right"/>
        <w:rPr>
          <w:rFonts w:hint="eastAsia" w:ascii="仿宋_GB2312" w:hAnsi="微软雅黑" w:eastAsia="仿宋_GB2312" w:cs="仿宋_GB2312"/>
          <w:i w:val="0"/>
          <w:iCs w:val="0"/>
          <w:caps w:val="0"/>
          <w:color w:val="000000"/>
          <w:spacing w:val="12"/>
          <w:sz w:val="32"/>
          <w:szCs w:val="32"/>
          <w:shd w:val="clear" w:fill="FFFFFF"/>
          <w:lang w:val="en-US" w:eastAsia="zh-CN"/>
        </w:rPr>
      </w:pPr>
      <w:r>
        <w:rPr>
          <w:rFonts w:hint="eastAsia" w:ascii="Times New Roman" w:hAnsi="Times New Roman" w:eastAsia="仿宋_GB2312" w:cs="Times New Roman"/>
          <w:b w:val="0"/>
          <w:bCs w:val="0"/>
          <w:snapToGrid/>
          <w:kern w:val="2"/>
          <w:sz w:val="32"/>
          <w:szCs w:val="32"/>
          <w:highlight w:val="none"/>
          <w:lang w:val="en-US" w:eastAsia="zh-CN" w:bidi="ar-SA"/>
        </w:rPr>
        <w:t>桓台县</w:t>
      </w:r>
      <w:r>
        <w:rPr>
          <w:rFonts w:hint="eastAsia" w:ascii="仿宋_GB2312" w:hAnsi="微软雅黑" w:eastAsia="仿宋_GB2312" w:cs="仿宋_GB2312"/>
          <w:i w:val="0"/>
          <w:iCs w:val="0"/>
          <w:caps w:val="0"/>
          <w:color w:val="000000"/>
          <w:spacing w:val="12"/>
          <w:sz w:val="32"/>
          <w:szCs w:val="32"/>
          <w:shd w:val="clear" w:fill="FFFFFF"/>
          <w:lang w:val="en-US" w:eastAsia="zh-CN"/>
        </w:rPr>
        <w:t>市场监督管理局</w:t>
      </w:r>
    </w:p>
    <w:p>
      <w:pPr>
        <w:pStyle w:val="2"/>
        <w:jc w:val="right"/>
        <w:rPr>
          <w:rFonts w:hint="default" w:ascii="Times New Roman" w:hAnsi="Times New Roman" w:eastAsia="仿宋_GB2312" w:cs="Times New Roman"/>
          <w:b w:val="0"/>
          <w:bCs w:val="0"/>
          <w:snapToGrid/>
          <w:kern w:val="2"/>
          <w:sz w:val="32"/>
          <w:szCs w:val="32"/>
          <w:highlight w:val="none"/>
          <w:lang w:val="en-US" w:eastAsia="zh-CN" w:bidi="ar-SA"/>
        </w:rPr>
      </w:pPr>
      <w:r>
        <w:rPr>
          <w:rFonts w:hint="eastAsia" w:ascii="Times New Roman" w:hAnsi="Times New Roman" w:eastAsia="仿宋_GB2312" w:cs="Times New Roman"/>
          <w:b w:val="0"/>
          <w:bCs w:val="0"/>
          <w:snapToGrid/>
          <w:kern w:val="2"/>
          <w:sz w:val="32"/>
          <w:szCs w:val="32"/>
          <w:highlight w:val="none"/>
          <w:lang w:val="en-US" w:eastAsia="zh-CN" w:bidi="ar-SA"/>
        </w:rPr>
        <w:t>2022年11月29日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5C184"/>
    <w:multiLevelType w:val="singleLevel"/>
    <w:tmpl w:val="C0C5C18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EyMWM3ODRlOTAyOWNhNzQ4NzdmMzFkNDlmMTIifQ=="/>
  </w:docVars>
  <w:rsids>
    <w:rsidRoot w:val="772E1883"/>
    <w:rsid w:val="251E36C6"/>
    <w:rsid w:val="772E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3611</Words>
  <Characters>3678</Characters>
  <Lines>0</Lines>
  <Paragraphs>0</Paragraphs>
  <TotalTime>3</TotalTime>
  <ScaleCrop>false</ScaleCrop>
  <LinksUpToDate>false</LinksUpToDate>
  <CharactersWithSpaces>3679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2022-11-29T08:05:00Z</dcterms:created>
  <dc:creator>轩之雨</dc:creator>
  <cp:lastModifiedBy>轩之雨</cp:lastModifiedBy>
  <dcterms:modified xsi:type="dcterms:W3CDTF">2022-11-30T02:57:35Z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536AA6F2599D4D6D8E572FEC5DBB5F79</vt:lpwstr>
  </property>
</Properties>
</file>