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E0" w:rsidRDefault="004A51E0" w:rsidP="004A51E0">
      <w:pPr>
        <w:pStyle w:val="1"/>
        <w:spacing w:before="1020" w:beforeAutospacing="0" w:after="390" w:afterAutospacing="0"/>
        <w:jc w:val="center"/>
        <w:rPr>
          <w:rFonts w:ascii="微软雅黑" w:eastAsia="微软雅黑" w:hAnsi="微软雅黑"/>
          <w:color w:val="333333"/>
          <w:sz w:val="42"/>
          <w:szCs w:val="42"/>
        </w:rPr>
      </w:pPr>
      <w:r>
        <w:rPr>
          <w:rFonts w:ascii="微软雅黑" w:eastAsia="微软雅黑" w:hAnsi="微软雅黑" w:hint="eastAsia"/>
          <w:color w:val="333333"/>
          <w:sz w:val="42"/>
          <w:szCs w:val="42"/>
        </w:rPr>
        <w:t>桓台县工商行政管理局2013年度政府信息公开工作年度报告</w:t>
      </w:r>
    </w:p>
    <w:p w:rsidR="004A51E0" w:rsidRDefault="004A51E0" w:rsidP="004A51E0">
      <w:pPr>
        <w:pStyle w:val="a3"/>
        <w:spacing w:before="0" w:beforeAutospacing="0" w:after="0" w:afterAutospacing="0"/>
        <w:ind w:firstLine="640"/>
        <w:rPr>
          <w:rFonts w:ascii="微软雅黑" w:eastAsia="微软雅黑" w:hAnsi="微软雅黑"/>
          <w:color w:val="000000"/>
          <w:sz w:val="27"/>
          <w:szCs w:val="27"/>
        </w:rPr>
      </w:pPr>
      <w:bookmarkStart w:id="0" w:name="_GoBack"/>
      <w:bookmarkEnd w:id="0"/>
      <w:r>
        <w:rPr>
          <w:rFonts w:ascii="仿宋_GB2312" w:eastAsia="仿宋_GB2312" w:hAnsi="微软雅黑" w:hint="eastAsia"/>
          <w:color w:val="000000"/>
          <w:sz w:val="32"/>
          <w:szCs w:val="32"/>
        </w:rPr>
        <w:t>本报告根据《中华人民共和国政府信息公开条例》的规定，由桓台县工商局编制。全文包括：政府信息公开工作概述、主动公开信息的情况、依申请公开政府信息办理情况、政府信息公开收费及减免情况、因政府信息公开申请行政复议和提起行政诉讼的情况、政府信息公开工作存在的主要问题和改进情况等。统计数据的时限自2013年1月1日至2013年12月31日。</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一、概述</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2013年，桓台县工商局按照上级要求扎实推进政府信息公开工作，形成了从上至下、从内到外的政务公开机制，构建了全方位、多层次的政府信息公开体系，政务公开工作取得良好成效。</w:t>
      </w:r>
    </w:p>
    <w:p w:rsidR="004A51E0" w:rsidRDefault="004A51E0" w:rsidP="004A51E0">
      <w:pPr>
        <w:pStyle w:val="a3"/>
        <w:spacing w:before="0" w:beforeAutospacing="0" w:after="0" w:afterAutospacing="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w:t>
      </w:r>
      <w:r>
        <w:rPr>
          <w:rFonts w:ascii="仿宋_GB2312" w:eastAsia="仿宋_GB2312" w:hAnsi="微软雅黑" w:hint="eastAsia"/>
          <w:color w:val="000000"/>
          <w:sz w:val="32"/>
          <w:szCs w:val="32"/>
        </w:rPr>
        <w:lastRenderedPageBreak/>
        <w:t>范，对政府信息公开保密审查、澄清、主动公开、依申请公开的内容和程序进行了全面细致的规定，增强了公开制度的可操作性，实现公开工作规范化管理。</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全年共开办培训班3期，培训干部职工125人次。</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lastRenderedPageBreak/>
        <w:t>（四）注重审查保密。根据上级相关保密文件精神，桓台县工商局多次开展全系统主动公开政府信息保密审查和自查。通过保密审查，没有发现有涉密的信息被公开，各单位通过多次的信息梳理，增强了保密工作的自觉性。</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二、主动公开政府信息的情况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桓台县工商局坚持丰富公开形式，拓宽公开渠道，</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2013年主动公开政府信息38条，确保社会公众及时全面获取信息。一是在县局、工商所登记注册窗口设置办事公示栏，主动公开相关政府信息。二是在综合服务厅向公众免费发放登记指南，指南详细载明了核名、设立、登记、变更、注销等登记流程，以及应提交的文件证件、工作时限、收费标准等，使公众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三、依申请公开政府信息情况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w:t>
      </w:r>
      <w:r>
        <w:rPr>
          <w:rFonts w:ascii="仿宋_GB2312" w:eastAsia="仿宋_GB2312" w:hAnsi="微软雅黑" w:hint="eastAsia"/>
          <w:color w:val="000000"/>
          <w:sz w:val="32"/>
          <w:szCs w:val="32"/>
        </w:rPr>
        <w:lastRenderedPageBreak/>
        <w:t>提高服务质量。2013年度，我局未收到政府信息公开申请。</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四、政府信息公开的收费及减免情况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为切实减轻小型企业负担，促进小</w:t>
      </w:r>
      <w:proofErr w:type="gramStart"/>
      <w:r>
        <w:rPr>
          <w:rFonts w:ascii="仿宋_GB2312" w:eastAsia="仿宋_GB2312" w:hAnsi="微软雅黑" w:hint="eastAsia"/>
          <w:color w:val="000000"/>
          <w:sz w:val="32"/>
          <w:szCs w:val="32"/>
        </w:rPr>
        <w:t>微企业</w:t>
      </w:r>
      <w:proofErr w:type="gramEnd"/>
      <w:r>
        <w:rPr>
          <w:rFonts w:ascii="仿宋_GB2312" w:eastAsia="仿宋_GB2312" w:hAnsi="微软雅黑" w:hint="eastAsia"/>
          <w:color w:val="000000"/>
          <w:sz w:val="32"/>
          <w:szCs w:val="32"/>
        </w:rPr>
        <w:t>的健康、快速发展，根据省财政厅、省物价局《转发&lt;财政部 国家发改委关于免征小型微型企业部分行政性收费的通知&gt;的通知》和《关于印发中小型企业划型标准规定的通知》要求，对划定为小型微型的企业及个体工商户，自2012年1月1日起至2014年12月31日</w:t>
      </w:r>
      <w:proofErr w:type="gramStart"/>
      <w:r>
        <w:rPr>
          <w:rFonts w:ascii="仿宋_GB2312" w:eastAsia="仿宋_GB2312" w:hAnsi="微软雅黑" w:hint="eastAsia"/>
          <w:color w:val="000000"/>
          <w:sz w:val="32"/>
          <w:szCs w:val="32"/>
        </w:rPr>
        <w:t>止</w:t>
      </w:r>
      <w:proofErr w:type="gramEnd"/>
      <w:r>
        <w:rPr>
          <w:rFonts w:ascii="仿宋_GB2312" w:eastAsia="仿宋_GB2312" w:hAnsi="微软雅黑" w:hint="eastAsia"/>
          <w:color w:val="000000"/>
          <w:sz w:val="32"/>
          <w:szCs w:val="32"/>
        </w:rPr>
        <w:t>免征下列行政事业性收费：</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1.企业注册登记费：包括开业注册登记费、变更登记费、年度检验费、补证换照及领取执照副本费。</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2.著名商标评审费、公告费。</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2013年，桓台县工商局严格按照文件要求落实减免政策，共减免上述行政事业性收费43万余元。</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五、因政府信息公开申请行政复议、提起行政诉讼的情况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w:t>
      </w:r>
      <w:r>
        <w:rPr>
          <w:rFonts w:ascii="仿宋_GB2312" w:eastAsia="仿宋_GB2312" w:hAnsi="微软雅黑" w:hint="eastAsia"/>
          <w:color w:val="000000"/>
          <w:sz w:val="32"/>
          <w:szCs w:val="32"/>
        </w:rPr>
        <w:lastRenderedPageBreak/>
        <w:t>违反《条例》的要求，侵犯其合法权益，可以依法申请行政复议或提起行政诉讼；认为桓台县工商局的具体行政行为违反《条例》的要求，并造成其经济损失的，可以依法请求赔偿。</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2013年我局未发生因违反政府信息公开工作规定而出现的行政复议和行政诉讼情况。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黑体" w:eastAsia="黑体" w:hAnsi="黑体" w:hint="eastAsia"/>
          <w:color w:val="000000"/>
          <w:sz w:val="32"/>
          <w:szCs w:val="32"/>
        </w:rPr>
        <w:t>六、政府信息公开工作存在的主要问题及改进情况</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4A51E0" w:rsidRDefault="004A51E0" w:rsidP="004A51E0">
      <w:pPr>
        <w:pStyle w:val="a3"/>
        <w:spacing w:before="0" w:beforeAutospacing="0" w:after="0" w:afterAutospacing="0"/>
        <w:ind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w:t>
      </w:r>
      <w:r>
        <w:rPr>
          <w:rFonts w:ascii="仿宋_GB2312" w:eastAsia="仿宋_GB2312" w:hAnsi="微软雅黑" w:hint="eastAsia"/>
          <w:color w:val="000000"/>
          <w:sz w:val="32"/>
          <w:szCs w:val="32"/>
        </w:rPr>
        <w:lastRenderedPageBreak/>
        <w:t>常化、制度化、信息化。建立更新维护、监督检查、工作年报等工作制度，完善信息公开审查制度，深入、持续、高效地开展政府信息公开工作。</w:t>
      </w:r>
    </w:p>
    <w:p w:rsidR="00CF4DCE" w:rsidRPr="004A51E0" w:rsidRDefault="00CF4DCE" w:rsidP="004A51E0"/>
    <w:sectPr w:rsidR="00CF4DCE" w:rsidRPr="004A51E0"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245CF4"/>
    <w:rsid w:val="004735E3"/>
    <w:rsid w:val="004A51E0"/>
    <w:rsid w:val="006B0388"/>
    <w:rsid w:val="006B4684"/>
    <w:rsid w:val="00716970"/>
    <w:rsid w:val="0086257B"/>
    <w:rsid w:val="00972003"/>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2020-12-09T05:27:00Z</dcterms:created>
  <dcterms:modified xsi:type="dcterms:W3CDTF">2020-12-09T05:27:00Z</dcterms:modified>
</cp:coreProperties>
</file>