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桓台县水利局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1</w:t>
      </w:r>
      <w:r>
        <w:rPr>
          <w:rFonts w:hint="eastAsia" w:ascii="方正小标宋简体" w:hAnsi="方正小标宋简体" w:eastAsia="方正小标宋简体" w:cs="方正小标宋简体"/>
          <w:color w:val="auto"/>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b w:val="0"/>
          <w:i w:val="0"/>
          <w:caps w:val="0"/>
          <w:color w:val="000000"/>
          <w:spacing w:val="0"/>
          <w:kern w:val="0"/>
          <w:sz w:val="32"/>
          <w:szCs w:val="32"/>
          <w:lang w:val="en-US" w:eastAsia="zh-CN" w:bidi="ar"/>
        </w:rPr>
      </w:pPr>
      <w:r>
        <w:rPr>
          <w:rFonts w:hint="default" w:ascii="仿宋_GB2312" w:hAnsi="宋体" w:eastAsia="仿宋_GB2312" w:cs="仿宋_GB2312"/>
          <w:b w:val="0"/>
          <w:i w:val="0"/>
          <w:caps w:val="0"/>
          <w:color w:val="000000"/>
          <w:spacing w:val="0"/>
          <w:kern w:val="0"/>
          <w:sz w:val="32"/>
          <w:szCs w:val="32"/>
          <w:lang w:val="en-US" w:eastAsia="zh-CN" w:bidi="ar"/>
        </w:rPr>
        <w:t>202</w:t>
      </w:r>
      <w:r>
        <w:rPr>
          <w:rFonts w:hint="eastAsia" w:ascii="仿宋_GB2312" w:hAnsi="宋体" w:eastAsia="仿宋_GB2312" w:cs="仿宋_GB2312"/>
          <w:b w:val="0"/>
          <w:i w:val="0"/>
          <w:caps w:val="0"/>
          <w:color w:val="000000"/>
          <w:spacing w:val="0"/>
          <w:kern w:val="0"/>
          <w:sz w:val="32"/>
          <w:szCs w:val="32"/>
          <w:lang w:val="en-US" w:eastAsia="zh-CN" w:bidi="ar"/>
        </w:rPr>
        <w:t>1年县水利局在县委、县政府的正确领导下，坚持以习近平新时代中国特色社会主义思想为指导，认真贯彻落实《国务院办公厅政府信息与政务公开办公室关于政府信息公开工作年度报告有关事项的通知》(国办公开办函〔2019〕60号)的规定及相关文件精神，积极履行推进、指导、协调、监督职责，扎实推进政府信息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b w:val="0"/>
          <w:i w:val="0"/>
          <w:caps w:val="0"/>
          <w:color w:val="000000"/>
          <w:spacing w:val="0"/>
          <w:kern w:val="0"/>
          <w:sz w:val="32"/>
          <w:szCs w:val="32"/>
          <w:lang w:val="en-US" w:eastAsia="zh-CN" w:bidi="ar"/>
        </w:rPr>
      </w:pPr>
      <w:r>
        <w:rPr>
          <w:rFonts w:hint="eastAsia" w:ascii="仿宋_GB2312" w:hAnsi="宋体" w:eastAsia="仿宋_GB2312" w:cs="仿宋_GB2312"/>
          <w:b w:val="0"/>
          <w:i w:val="0"/>
          <w:caps w:val="0"/>
          <w:color w:val="000000"/>
          <w:spacing w:val="0"/>
          <w:kern w:val="0"/>
          <w:sz w:val="32"/>
          <w:szCs w:val="32"/>
          <w:lang w:val="en-US" w:eastAsia="zh-CN" w:bidi="ar"/>
        </w:rPr>
        <w:t>本年度（2021年1月1日至2021年12月31日）报告内容由总体情况、主动公开、依申请公开、政府信息管理、平台建设、监督保障等方面。如对本报告有疑问，请与桓台县水利局办公室联系(地址:桓台县槐荫路344号，电话:0533-8210526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Autospacing="0" w:after="0" w:afterAutospacing="0" w:line="560" w:lineRule="exact"/>
        <w:ind w:left="0" w:right="0" w:firstLine="640"/>
        <w:textAlignment w:val="auto"/>
        <w:rPr>
          <w:rFonts w:hint="eastAsia" w:ascii="黑体" w:hAnsi="黑体" w:eastAsia="黑体" w:cs="黑体"/>
          <w:b w:val="0"/>
          <w:i w:val="0"/>
          <w:caps w:val="0"/>
          <w:color w:val="000000"/>
          <w:spacing w:val="0"/>
          <w:kern w:val="0"/>
          <w:sz w:val="32"/>
          <w:szCs w:val="32"/>
          <w:lang w:val="en-US" w:eastAsia="zh-CN" w:bidi="ar"/>
        </w:rPr>
      </w:pPr>
      <w:r>
        <w:rPr>
          <w:rFonts w:hint="eastAsia" w:ascii="黑体" w:hAnsi="黑体" w:eastAsia="黑体" w:cs="黑体"/>
          <w:b w:val="0"/>
          <w:i w:val="0"/>
          <w:caps w:val="0"/>
          <w:color w:val="000000"/>
          <w:spacing w:val="0"/>
          <w:kern w:val="0"/>
          <w:sz w:val="32"/>
          <w:szCs w:val="32"/>
          <w:lang w:val="en-US" w:eastAsia="zh-CN" w:bidi="ar"/>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楷体_GB2312" w:hAnsi="楷体_GB2312" w:eastAsia="楷体_GB2312" w:cs="楷体_GB2312"/>
          <w:b w:val="0"/>
          <w:i w:val="0"/>
          <w:caps w:val="0"/>
          <w:color w:val="000000"/>
          <w:spacing w:val="0"/>
          <w:sz w:val="32"/>
          <w:szCs w:val="32"/>
          <w:lang w:val="en-US" w:eastAsia="zh-CN"/>
        </w:rPr>
      </w:pPr>
      <w:r>
        <w:rPr>
          <w:rFonts w:hint="eastAsia" w:ascii="楷体_GB2312" w:hAnsi="楷体_GB2312" w:eastAsia="楷体_GB2312" w:cs="楷体_GB2312"/>
          <w:b w:val="0"/>
          <w:i w:val="0"/>
          <w:caps w:val="0"/>
          <w:color w:val="000000"/>
          <w:spacing w:val="0"/>
          <w:sz w:val="32"/>
          <w:szCs w:val="32"/>
          <w:lang w:val="en-US" w:eastAsia="zh-CN"/>
        </w:rPr>
        <w:t>（一）主动公开情况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仿宋_GB2312"/>
          <w:b w:val="0"/>
          <w:i w:val="0"/>
          <w:caps w:val="0"/>
          <w:color w:val="000000"/>
          <w:spacing w:val="0"/>
          <w:sz w:val="32"/>
          <w:szCs w:val="32"/>
          <w:lang w:val="en-US" w:eastAsia="zh-CN"/>
        </w:rPr>
      </w:pPr>
      <w:r>
        <w:rPr>
          <w:rFonts w:hint="eastAsia" w:ascii="仿宋_GB2312" w:hAnsi="宋体" w:eastAsia="仿宋_GB2312" w:cs="仿宋_GB2312"/>
          <w:b w:val="0"/>
          <w:i w:val="0"/>
          <w:caps w:val="0"/>
          <w:color w:val="000000"/>
          <w:spacing w:val="0"/>
          <w:sz w:val="32"/>
          <w:szCs w:val="32"/>
          <w:lang w:val="en-US" w:eastAsia="zh-CN"/>
        </w:rPr>
        <w:t>依托县政府网站及桓台水利微信公众号新媒体，做好政务信息的发布工作。主动公开本单位机构设置、领导履历及分工、财务信息、政策文件及解读、部门会议、重点工作进展、重大建设项目批准实施、建议提案办理等信息。2021年，通过政府门户网站发布信息139条，通过桓台水利微信公众号发布信息82条。以文字、图片、视频等形式，及时发布重大政策和相关政策解读及全县水利系统重点工作开展情况，积极回应社会关切，得到了广大群众的极大认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b w:val="0"/>
          <w:i w:val="0"/>
          <w:caps w:val="0"/>
          <w:color w:val="000000"/>
          <w:spacing w:val="0"/>
          <w:sz w:val="32"/>
          <w:szCs w:val="32"/>
          <w:lang w:val="en-US" w:eastAsia="zh-CN"/>
        </w:rPr>
      </w:pPr>
      <w:r>
        <w:rPr>
          <w:rFonts w:hint="eastAsia" w:ascii="楷体_GB2312" w:hAnsi="楷体_GB2312" w:eastAsia="楷体_GB2312" w:cs="楷体_GB2312"/>
          <w:b w:val="0"/>
          <w:i w:val="0"/>
          <w:caps w:val="0"/>
          <w:color w:val="000000"/>
          <w:spacing w:val="0"/>
          <w:sz w:val="32"/>
          <w:szCs w:val="32"/>
          <w:lang w:val="en-US" w:eastAsia="zh-CN"/>
        </w:rPr>
        <w:t>（二）依申请公开情况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宋体" w:eastAsia="仿宋_GB2312" w:cs="仿宋_GB2312"/>
                <w:b w:val="0"/>
                <w:i w:val="0"/>
                <w:caps w:val="0"/>
                <w:color w:val="000000"/>
                <w:spacing w:val="0"/>
                <w:sz w:val="32"/>
                <w:szCs w:val="32"/>
                <w:shd w:val="clear" w:fill="FFFFFF"/>
                <w:vertAlign w:val="baseline"/>
                <w:lang w:eastAsia="zh-CN"/>
              </w:rPr>
            </w:pPr>
            <w:r>
              <w:rPr>
                <w:rFonts w:hint="eastAsia" w:ascii="仿宋_GB2312" w:hAnsi="宋体" w:eastAsia="仿宋_GB2312" w:cs="仿宋_GB2312"/>
                <w:b w:val="0"/>
                <w:i w:val="0"/>
                <w:caps w:val="0"/>
                <w:color w:val="000000"/>
                <w:spacing w:val="0"/>
                <w:sz w:val="32"/>
                <w:szCs w:val="32"/>
                <w:shd w:val="clear" w:fill="FFFFFF"/>
                <w:vertAlign w:val="baseline"/>
                <w:lang w:eastAsia="zh-CN"/>
              </w:rPr>
              <w:t>年度</w:t>
            </w:r>
          </w:p>
        </w:tc>
        <w:tc>
          <w:tcPr>
            <w:tcW w:w="2841"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2020年度</w:t>
            </w:r>
          </w:p>
        </w:tc>
        <w:tc>
          <w:tcPr>
            <w:tcW w:w="2841"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ascii="仿宋_GB2312" w:hAnsi="宋体" w:eastAsia="仿宋_GB2312" w:cs="仿宋_GB2312"/>
                <w:b w:val="0"/>
                <w:i w:val="0"/>
                <w:caps w:val="0"/>
                <w:color w:val="000000"/>
                <w:spacing w:val="0"/>
                <w:sz w:val="32"/>
                <w:szCs w:val="32"/>
                <w:shd w:val="clear" w:fill="FFFFFF"/>
                <w:vertAlign w:val="baseline"/>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ascii="仿宋_GB2312" w:hAnsi="宋体" w:eastAsia="仿宋_GB2312" w:cs="仿宋_GB2312"/>
                <w:b w:val="0"/>
                <w:i w:val="0"/>
                <w:caps w:val="0"/>
                <w:color w:val="000000"/>
                <w:spacing w:val="0"/>
                <w:sz w:val="32"/>
                <w:szCs w:val="32"/>
                <w:shd w:val="clear" w:fill="FFFFFF"/>
                <w:vertAlign w:val="baseline"/>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依申请公开数量</w:t>
            </w:r>
          </w:p>
        </w:tc>
        <w:tc>
          <w:tcPr>
            <w:tcW w:w="2841"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1</w:t>
            </w:r>
          </w:p>
        </w:tc>
        <w:tc>
          <w:tcPr>
            <w:tcW w:w="2841"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b w:val="0"/>
          <w:i w:val="0"/>
          <w:caps w:val="0"/>
          <w:color w:val="000000"/>
          <w:spacing w:val="0"/>
          <w:sz w:val="32"/>
          <w:szCs w:val="32"/>
          <w:lang w:val="en-US" w:eastAsia="zh-CN"/>
        </w:rPr>
      </w:pPr>
      <w:r>
        <w:rPr>
          <w:rFonts w:hint="eastAsia" w:ascii="楷体_GB2312" w:hAnsi="楷体_GB2312" w:eastAsia="楷体_GB2312" w:cs="楷体_GB2312"/>
          <w:b w:val="0"/>
          <w:i w:val="0"/>
          <w:caps w:val="0"/>
          <w:color w:val="000000"/>
          <w:spacing w:val="0"/>
          <w:sz w:val="32"/>
          <w:szCs w:val="32"/>
          <w:lang w:val="en-US" w:eastAsia="zh-CN"/>
        </w:rPr>
        <w:t>（三）政府信息管理情况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宋体" w:eastAsia="仿宋_GB2312" w:cs="仿宋_GB2312"/>
          <w:b w:val="0"/>
          <w:i w:val="0"/>
          <w:caps w:val="0"/>
          <w:color w:val="000000"/>
          <w:spacing w:val="0"/>
          <w:sz w:val="32"/>
          <w:szCs w:val="32"/>
          <w:lang w:val="en-US" w:eastAsia="zh-CN"/>
        </w:rPr>
      </w:pPr>
      <w:r>
        <w:rPr>
          <w:rFonts w:hint="eastAsia" w:ascii="仿宋_GB2312" w:hAnsi="宋体" w:eastAsia="仿宋_GB2312" w:cs="仿宋_GB2312"/>
          <w:b w:val="0"/>
          <w:i w:val="0"/>
          <w:caps w:val="0"/>
          <w:color w:val="000000"/>
          <w:spacing w:val="0"/>
          <w:sz w:val="32"/>
          <w:szCs w:val="32"/>
          <w:lang w:val="en-US" w:eastAsia="zh-CN"/>
        </w:rPr>
        <w:t>坚持主要领导审核把关制，政府信息公开由主要负责人亲自审核把关，确保信息的准确性。分管领导亲自抓协调制，由分管领导负责协调局内各科室办理政务的决策、执行、过程、结果等资料信息汇总到办公室。具体经办人及时公开制，由具体经办人员负责及时将全局政务信息公开。在政府信息公开工作推进过程中，突出重点，创新形式，不断提高政府信息公开工作水平，不断深化和丰富公开内容，主动向社会公开各类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b w:val="0"/>
          <w:i w:val="0"/>
          <w:caps w:val="0"/>
          <w:color w:val="000000"/>
          <w:spacing w:val="0"/>
          <w:sz w:val="32"/>
          <w:szCs w:val="32"/>
          <w:lang w:val="en-US" w:eastAsia="zh-CN"/>
        </w:rPr>
      </w:pPr>
      <w:r>
        <w:rPr>
          <w:rFonts w:hint="default" w:ascii="楷体_GB2312" w:hAnsi="楷体_GB2312" w:eastAsia="楷体_GB2312" w:cs="楷体_GB2312"/>
          <w:b w:val="0"/>
          <w:i w:val="0"/>
          <w:caps w:val="0"/>
          <w:color w:val="000000"/>
          <w:spacing w:val="0"/>
          <w:sz w:val="32"/>
          <w:szCs w:val="32"/>
          <w:lang w:val="en-US" w:eastAsia="zh-CN"/>
        </w:rPr>
        <w:t>（四）平台建设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宋体" w:eastAsia="仿宋_GB2312" w:cs="仿宋_GB2312"/>
          <w:b w:val="0"/>
          <w:i w:val="0"/>
          <w:caps w:val="0"/>
          <w:color w:val="000000"/>
          <w:spacing w:val="0"/>
          <w:sz w:val="32"/>
          <w:szCs w:val="32"/>
          <w:lang w:val="en-US" w:eastAsia="zh-CN"/>
        </w:rPr>
      </w:pPr>
      <w:r>
        <w:rPr>
          <w:rFonts w:hint="eastAsia" w:ascii="仿宋_GB2312" w:hAnsi="宋体" w:eastAsia="仿宋_GB2312" w:cs="仿宋_GB2312"/>
          <w:b w:val="0"/>
          <w:i w:val="0"/>
          <w:caps w:val="0"/>
          <w:color w:val="000000"/>
          <w:spacing w:val="0"/>
          <w:sz w:val="32"/>
          <w:szCs w:val="32"/>
          <w:lang w:val="en-US" w:eastAsia="zh-CN"/>
        </w:rPr>
        <w:t>按照县政府办的统一要求，对照县政府信息主动公开基本目录规范，编制更新信息公开目录，补充完善各个栏目；编制主动公开目录。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宋体" w:eastAsia="仿宋_GB2312" w:cs="仿宋_GB2312"/>
          <w:b w:val="0"/>
          <w:i w:val="0"/>
          <w:caps w:val="0"/>
          <w:color w:val="000000"/>
          <w:spacing w:val="0"/>
          <w:sz w:val="32"/>
          <w:szCs w:val="32"/>
          <w:lang w:eastAsia="zh-CN"/>
        </w:rPr>
      </w:pPr>
      <w:r>
        <w:rPr>
          <w:rFonts w:hint="eastAsia" w:ascii="仿宋_GB2312" w:hAnsi="宋体" w:eastAsia="仿宋_GB2312" w:cs="仿宋_GB2312"/>
          <w:b w:val="0"/>
          <w:i w:val="0"/>
          <w:caps w:val="0"/>
          <w:color w:val="000000"/>
          <w:spacing w:val="0"/>
          <w:sz w:val="32"/>
          <w:szCs w:val="32"/>
          <w:lang w:eastAsia="zh-CN"/>
        </w:rPr>
        <w:drawing>
          <wp:anchor distT="0" distB="0" distL="114300" distR="114300" simplePos="0" relativeHeight="251659264" behindDoc="0" locked="0" layoutInCell="1" allowOverlap="1">
            <wp:simplePos x="0" y="0"/>
            <wp:positionH relativeFrom="column">
              <wp:posOffset>616585</wp:posOffset>
            </wp:positionH>
            <wp:positionV relativeFrom="paragraph">
              <wp:posOffset>226060</wp:posOffset>
            </wp:positionV>
            <wp:extent cx="4301490" cy="1800225"/>
            <wp:effectExtent l="0" t="0" r="11430" b="13335"/>
            <wp:wrapSquare wrapText="bothSides"/>
            <wp:docPr id="7" name="图片 7" descr="QQ截图2022011714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截图20220117140913"/>
                    <pic:cNvPicPr>
                      <a:picLocks noChangeAspect="1"/>
                    </pic:cNvPicPr>
                  </pic:nvPicPr>
                  <pic:blipFill>
                    <a:blip r:embed="rId4"/>
                    <a:stretch>
                      <a:fillRect/>
                    </a:stretch>
                  </pic:blipFill>
                  <pic:spPr>
                    <a:xfrm>
                      <a:off x="0" y="0"/>
                      <a:ext cx="4301490" cy="1800225"/>
                    </a:xfrm>
                    <a:prstGeom prst="rect">
                      <a:avLst/>
                    </a:prstGeom>
                  </pic:spPr>
                </pic:pic>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b w:val="0"/>
          <w:i w:val="0"/>
          <w:caps w:val="0"/>
          <w:color w:val="000000"/>
          <w:spacing w:val="0"/>
          <w:sz w:val="32"/>
          <w:szCs w:val="32"/>
          <w:lang w:val="en-US" w:eastAsia="zh-CN"/>
        </w:rPr>
      </w:pPr>
      <w:r>
        <w:rPr>
          <w:rFonts w:hint="eastAsia" w:ascii="楷体_GB2312" w:hAnsi="楷体_GB2312" w:eastAsia="楷体_GB2312" w:cs="楷体_GB2312"/>
          <w:b w:val="0"/>
          <w:i w:val="0"/>
          <w:caps w:val="0"/>
          <w:color w:val="000000"/>
          <w:spacing w:val="0"/>
          <w:sz w:val="32"/>
          <w:szCs w:val="32"/>
          <w:lang w:val="en-US" w:eastAsia="zh-CN"/>
        </w:rPr>
        <w:t>（五）监督保障情况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宋体" w:eastAsia="仿宋_GB2312" w:cs="仿宋_GB2312"/>
          <w:b w:val="0"/>
          <w:i w:val="0"/>
          <w:caps w:val="0"/>
          <w:color w:val="000000"/>
          <w:spacing w:val="0"/>
          <w:sz w:val="32"/>
          <w:szCs w:val="32"/>
          <w:lang w:val="en-US" w:eastAsia="zh-CN"/>
        </w:rPr>
      </w:pPr>
      <w:r>
        <w:rPr>
          <w:rFonts w:hint="eastAsia" w:ascii="仿宋_GB2312" w:hAnsi="宋体" w:eastAsia="仿宋_GB2312" w:cs="仿宋_GB2312"/>
          <w:b w:val="0"/>
          <w:i w:val="0"/>
          <w:caps w:val="0"/>
          <w:color w:val="000000"/>
          <w:spacing w:val="0"/>
          <w:sz w:val="32"/>
          <w:szCs w:val="32"/>
          <w:lang w:val="en-US" w:eastAsia="zh-CN"/>
        </w:rPr>
        <w:t>为保证我局政府信息公开工作的有效实施，加强对政府信息公开工作的领导，及时调整了政府信息公开工作领导小组成员，安排部署政府信息公开工作，健全了由主要领导负总责，分管领导主抓，办公室具体负责，专人处理政府信息文件的分工及工作机制。进一步完善信息公开机制，建立健全长效管理机制，围绕中心工作，及时、准确填报应公开的信息，重点做好社会关注、群众关心信息的公开，方便群众网上查看。严格遵守信息保密审查制度，确保涉密信息不公开，公开信息不涉密。同时，强化监督检查工作，实行定期检查与不定期检查相结合，鼓励广大干部、群众积极参与监督，积极反映公开过程中存在的突出问题，使公开工作更加扎实、有序开展。</w:t>
      </w:r>
    </w:p>
    <w:p>
      <w:pPr>
        <w:keepNext w:val="0"/>
        <w:keepLines w:val="0"/>
        <w:pageBreakBefore w:val="0"/>
        <w:kinsoku/>
        <w:wordWrap/>
        <w:overflowPunct/>
        <w:topLinePunct w:val="0"/>
        <w:autoSpaceDE/>
        <w:autoSpaceDN/>
        <w:bidi w:val="0"/>
        <w:adjustRightInd/>
        <w:snapToGrid/>
        <w:spacing w:line="7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9740" w:type="dxa"/>
            <w:gridSpan w:val="4"/>
            <w:tcBorders>
              <w:top w:val="single" w:color="auto" w:sz="8" w:space="0"/>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2435"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本年制发件数</w:t>
            </w:r>
          </w:p>
        </w:tc>
        <w:tc>
          <w:tcPr>
            <w:tcW w:w="2435"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本年废止件数</w:t>
            </w:r>
          </w:p>
        </w:tc>
        <w:tc>
          <w:tcPr>
            <w:tcW w:w="2435"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规章</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行政规范性文件</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8"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行政许可</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7305" w:type="dxa"/>
            <w:gridSpan w:val="3"/>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行政处罚</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行政强制</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7305" w:type="dxa"/>
            <w:gridSpan w:val="3"/>
            <w:tcBorders>
              <w:top w:val="nil"/>
              <w:left w:val="nil"/>
              <w:bottom w:val="single" w:color="auto" w:sz="8" w:space="0"/>
              <w:right w:val="single" w:color="000000"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行政事业性收费</w:t>
            </w:r>
          </w:p>
        </w:tc>
        <w:tc>
          <w:tcPr>
            <w:tcW w:w="7305" w:type="dxa"/>
            <w:gridSpan w:val="3"/>
            <w:tcBorders>
              <w:top w:val="nil"/>
              <w:left w:val="nil"/>
              <w:bottom w:val="single" w:color="auto" w:sz="8" w:space="0"/>
              <w:right w:val="single" w:color="000000"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700" w:lineRule="exact"/>
        <w:textAlignment w:val="auto"/>
        <w:rPr>
          <w:rFonts w:hint="eastAsia"/>
          <w:b/>
          <w:sz w:val="24"/>
          <w:szCs w:val="24"/>
        </w:rPr>
      </w:pPr>
    </w:p>
    <w:p>
      <w:pPr>
        <w:keepNext w:val="0"/>
        <w:keepLines w:val="0"/>
        <w:pageBreakBefore w:val="0"/>
        <w:numPr>
          <w:ilvl w:val="0"/>
          <w:numId w:val="1"/>
        </w:numPr>
        <w:kinsoku/>
        <w:wordWrap/>
        <w:overflowPunct/>
        <w:topLinePunct w:val="0"/>
        <w:autoSpaceDE/>
        <w:autoSpaceDN/>
        <w:bidi w:val="0"/>
        <w:adjustRightInd/>
        <w:snapToGrid/>
        <w:spacing w:line="7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收到和处理政府信息公开申请情况</w:t>
      </w:r>
    </w:p>
    <w:tbl>
      <w:tblPr>
        <w:tblStyle w:val="4"/>
        <w:tblpPr w:leftFromText="180" w:rightFromText="180" w:vertAnchor="text" w:horzAnchor="page" w:tblpX="1363" w:tblpY="621"/>
        <w:tblOverlap w:val="never"/>
        <w:tblW w:w="1013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65"/>
        <w:gridCol w:w="1694"/>
        <w:gridCol w:w="3363"/>
        <w:gridCol w:w="576"/>
        <w:gridCol w:w="621"/>
        <w:gridCol w:w="634"/>
        <w:gridCol w:w="634"/>
        <w:gridCol w:w="841"/>
        <w:gridCol w:w="684"/>
        <w:gridCol w:w="62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vMerge w:val="restart"/>
            <w:tcBorders>
              <w:top w:val="single" w:color="auto" w:sz="8" w:space="0"/>
              <w:left w:val="single" w:color="auto" w:sz="8" w:space="0"/>
              <w:bottom w:val="outset"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rPr>
            </w:pPr>
            <w:r>
              <w:rPr>
                <w:rFonts w:hint="eastAsia" w:ascii="楷体" w:hAnsi="楷体" w:eastAsia="楷体" w:cs="楷体"/>
                <w:sz w:val="24"/>
                <w:szCs w:val="24"/>
              </w:rPr>
              <w:t>（本列数据的勾稽关系为：第一项加第二项之和，等于第三项加第四项之和）</w:t>
            </w:r>
          </w:p>
        </w:tc>
        <w:tc>
          <w:tcPr>
            <w:tcW w:w="4617" w:type="dxa"/>
            <w:gridSpan w:val="7"/>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vMerge w:val="continue"/>
            <w:tcBorders>
              <w:top w:val="single" w:color="auto" w:sz="8" w:space="0"/>
              <w:left w:val="single" w:color="auto" w:sz="8" w:space="0"/>
              <w:bottom w:val="outset"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rPr>
            </w:pPr>
          </w:p>
        </w:tc>
        <w:tc>
          <w:tcPr>
            <w:tcW w:w="576" w:type="dxa"/>
            <w:vMerge w:val="restart"/>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自然人</w:t>
            </w:r>
          </w:p>
        </w:tc>
        <w:tc>
          <w:tcPr>
            <w:tcW w:w="3414" w:type="dxa"/>
            <w:gridSpan w:val="5"/>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法人或其他组织</w:t>
            </w:r>
          </w:p>
        </w:tc>
        <w:tc>
          <w:tcPr>
            <w:tcW w:w="627" w:type="dxa"/>
            <w:vMerge w:val="restart"/>
            <w:tcBorders>
              <w:top w:val="single"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vMerge w:val="continue"/>
            <w:tcBorders>
              <w:top w:val="single" w:color="auto" w:sz="8" w:space="0"/>
              <w:left w:val="single" w:color="auto" w:sz="8" w:space="0"/>
              <w:bottom w:val="outset"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rPr>
            </w:pPr>
          </w:p>
        </w:tc>
        <w:tc>
          <w:tcPr>
            <w:tcW w:w="576" w:type="dxa"/>
            <w:vMerge w:val="continue"/>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商业</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企业</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科研</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机构</w:t>
            </w:r>
          </w:p>
        </w:tc>
        <w:tc>
          <w:tcPr>
            <w:tcW w:w="634"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社会公益组织</w:t>
            </w:r>
          </w:p>
        </w:tc>
        <w:tc>
          <w:tcPr>
            <w:tcW w:w="841"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法律服务机构</w:t>
            </w:r>
          </w:p>
        </w:tc>
        <w:tc>
          <w:tcPr>
            <w:tcW w:w="684"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其他</w:t>
            </w:r>
          </w:p>
        </w:tc>
        <w:tc>
          <w:tcPr>
            <w:tcW w:w="627" w:type="dxa"/>
            <w:vMerge w:val="continue"/>
            <w:tcBorders>
              <w:top w:val="single"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一、本年新收政府信息公开申请数量</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二、上年结转政府信息公开申请数量</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restart"/>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三</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w:t>
            </w:r>
          </w:p>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本年度办理结果</w:t>
            </w:r>
          </w:p>
        </w:tc>
        <w:tc>
          <w:tcPr>
            <w:tcW w:w="5057" w:type="dxa"/>
            <w:gridSpan w:val="2"/>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（一）予以公开</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5057" w:type="dxa"/>
            <w:gridSpan w:val="2"/>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（二）部分公开（区分处理的，只计这一情形，不计其他情形）</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黑体" w:hAnsi="黑体" w:eastAsia="黑体" w:cs="黑体"/>
                <w:sz w:val="24"/>
                <w:szCs w:val="24"/>
              </w:rPr>
              <w:t>（三）不予公开</w:t>
            </w: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1.属于国家秘密</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2.其他法律行政法规禁止公开</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3.危及“三安全一稳定”</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4.保护第三方合法权益</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5.属于三类内部事务信息</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6.属于四类过程性信息</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7.属于行政执法案卷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8.属于行政查询事项</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黑体" w:hAnsi="黑体" w:eastAsia="黑体" w:cs="黑体"/>
                <w:sz w:val="24"/>
                <w:szCs w:val="24"/>
              </w:rPr>
              <w:t>（四）无法提供</w:t>
            </w: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1.本机关不掌握相关政府信息</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2.没有现成信息需要另行制作</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3.补正后申请内容仍不明确</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（五）不予处理</w:t>
            </w: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1.信访举报投诉类申请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2.重复申请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3.要求提供公开出版物</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4.无正当理由大量反复申请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3363" w:type="dxa"/>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5.要求行政机关确认或重新出具已获取信息</w:t>
            </w:r>
          </w:p>
        </w:tc>
        <w:tc>
          <w:tcPr>
            <w:tcW w:w="576" w:type="dxa"/>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outset"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op w:val="outset"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（六）其他处理</w:t>
            </w: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1.申请人无正当理由逾期不补正、行政机关不再处理其政府信息公开申请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outset"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2.申请人逾期未按收费通知要求缴纳费用、行政机关不再处理其政府信息公开申请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outset"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3.其他</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5057" w:type="dxa"/>
            <w:gridSpan w:val="2"/>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（七）总计</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四、结转下年度继续办理</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spacing w:line="700" w:lineRule="exact"/>
        <w:textAlignment w:val="auto"/>
        <w:rPr>
          <w:rFonts w:hint="eastAsia" w:ascii="黑体" w:hAnsi="黑体" w:eastAsia="黑体" w:cs="黑体"/>
          <w:b/>
          <w:sz w:val="32"/>
          <w:szCs w:val="32"/>
        </w:rPr>
      </w:pPr>
    </w:p>
    <w:p>
      <w:pPr>
        <w:keepNext w:val="0"/>
        <w:keepLines w:val="0"/>
        <w:pageBreakBefore w:val="0"/>
        <w:kinsoku/>
        <w:wordWrap/>
        <w:overflowPunct/>
        <w:topLinePunct w:val="0"/>
        <w:autoSpaceDE/>
        <w:autoSpaceDN/>
        <w:bidi w:val="0"/>
        <w:adjustRightInd/>
        <w:snapToGrid/>
        <w:spacing w:line="7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四．政府信息公开行政复议、行政诉讼情况</w:t>
      </w:r>
    </w:p>
    <w:tbl>
      <w:tblPr>
        <w:tblStyle w:val="5"/>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582"/>
        <w:gridCol w:w="582"/>
        <w:gridCol w:w="560"/>
        <w:gridCol w:w="494"/>
        <w:gridCol w:w="582"/>
        <w:gridCol w:w="582"/>
        <w:gridCol w:w="582"/>
        <w:gridCol w:w="582"/>
        <w:gridCol w:w="472"/>
        <w:gridCol w:w="700"/>
        <w:gridCol w:w="534"/>
        <w:gridCol w:w="630"/>
        <w:gridCol w:w="582"/>
        <w:gridCol w:w="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800" w:type="dxa"/>
            <w:gridSpan w:val="5"/>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行政复议</w:t>
            </w:r>
          </w:p>
        </w:tc>
        <w:tc>
          <w:tcPr>
            <w:tcW w:w="5600" w:type="dxa"/>
            <w:gridSpan w:val="10"/>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82" w:type="dxa"/>
            <w:vMerge w:val="restart"/>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结果维持</w:t>
            </w:r>
          </w:p>
        </w:tc>
        <w:tc>
          <w:tcPr>
            <w:tcW w:w="582" w:type="dxa"/>
            <w:vMerge w:val="restart"/>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结果纠正</w:t>
            </w:r>
          </w:p>
        </w:tc>
        <w:tc>
          <w:tcPr>
            <w:tcW w:w="582" w:type="dxa"/>
            <w:vMerge w:val="restart"/>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其他结果</w:t>
            </w:r>
          </w:p>
        </w:tc>
        <w:tc>
          <w:tcPr>
            <w:tcW w:w="560" w:type="dxa"/>
            <w:vMerge w:val="restart"/>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尚未审结</w:t>
            </w:r>
          </w:p>
        </w:tc>
        <w:tc>
          <w:tcPr>
            <w:tcW w:w="494" w:type="dxa"/>
            <w:vMerge w:val="restart"/>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总计</w:t>
            </w:r>
          </w:p>
        </w:tc>
        <w:tc>
          <w:tcPr>
            <w:tcW w:w="2800" w:type="dxa"/>
            <w:gridSpan w:val="5"/>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未经复议直接起诉</w:t>
            </w:r>
          </w:p>
        </w:tc>
        <w:tc>
          <w:tcPr>
            <w:tcW w:w="2800" w:type="dxa"/>
            <w:gridSpan w:val="5"/>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82" w:type="dxa"/>
            <w:vMerge w:val="continue"/>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 w:val="18"/>
                <w:szCs w:val="18"/>
              </w:rPr>
            </w:pPr>
          </w:p>
        </w:tc>
        <w:tc>
          <w:tcPr>
            <w:tcW w:w="582" w:type="dxa"/>
            <w:vMerge w:val="continue"/>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 w:val="18"/>
                <w:szCs w:val="18"/>
              </w:rPr>
            </w:pPr>
          </w:p>
        </w:tc>
        <w:tc>
          <w:tcPr>
            <w:tcW w:w="582" w:type="dxa"/>
            <w:vMerge w:val="continue"/>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 w:val="18"/>
                <w:szCs w:val="18"/>
              </w:rPr>
            </w:pPr>
          </w:p>
        </w:tc>
        <w:tc>
          <w:tcPr>
            <w:tcW w:w="560" w:type="dxa"/>
            <w:vMerge w:val="continue"/>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p>
        </w:tc>
        <w:tc>
          <w:tcPr>
            <w:tcW w:w="494" w:type="dxa"/>
            <w:vMerge w:val="continue"/>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p>
        </w:tc>
        <w:tc>
          <w:tcPr>
            <w:tcW w:w="582" w:type="dxa"/>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结果维持</w:t>
            </w:r>
          </w:p>
        </w:tc>
        <w:tc>
          <w:tcPr>
            <w:tcW w:w="582" w:type="dxa"/>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结果纠正</w:t>
            </w:r>
          </w:p>
        </w:tc>
        <w:tc>
          <w:tcPr>
            <w:tcW w:w="582" w:type="dxa"/>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其他结果</w:t>
            </w:r>
          </w:p>
        </w:tc>
        <w:tc>
          <w:tcPr>
            <w:tcW w:w="582" w:type="dxa"/>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尚未审结</w:t>
            </w:r>
          </w:p>
        </w:tc>
        <w:tc>
          <w:tcPr>
            <w:tcW w:w="472" w:type="dxa"/>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总计</w:t>
            </w:r>
          </w:p>
        </w:tc>
        <w:tc>
          <w:tcPr>
            <w:tcW w:w="700" w:type="dxa"/>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结果维持</w:t>
            </w:r>
          </w:p>
        </w:tc>
        <w:tc>
          <w:tcPr>
            <w:tcW w:w="534" w:type="dxa"/>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结果纠正</w:t>
            </w:r>
          </w:p>
        </w:tc>
        <w:tc>
          <w:tcPr>
            <w:tcW w:w="630" w:type="dxa"/>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其他结果</w:t>
            </w:r>
          </w:p>
        </w:tc>
        <w:tc>
          <w:tcPr>
            <w:tcW w:w="582" w:type="dxa"/>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尚未审结</w:t>
            </w:r>
          </w:p>
        </w:tc>
        <w:tc>
          <w:tcPr>
            <w:tcW w:w="354" w:type="dxa"/>
            <w:vAlign w:val="center"/>
          </w:tcPr>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82" w:type="dxa"/>
            <w:vAlign w:val="center"/>
          </w:tcPr>
          <w:p>
            <w:pPr>
              <w:keepNext w:val="0"/>
              <w:keepLines w:val="0"/>
              <w:pageBreakBefore w:val="0"/>
              <w:kinsoku/>
              <w:wordWrap/>
              <w:overflowPunct/>
              <w:topLinePunct w:val="0"/>
              <w:autoSpaceDE/>
              <w:autoSpaceDN/>
              <w:bidi w:val="0"/>
              <w:adjustRightInd/>
              <w:snapToGrid/>
              <w:spacing w:line="700" w:lineRule="exact"/>
              <w:textAlignment w:val="auto"/>
              <w:rPr>
                <w:rFonts w:hint="eastAsia" w:eastAsiaTheme="minorEastAsia"/>
                <w:sz w:val="18"/>
                <w:szCs w:val="18"/>
                <w:lang w:val="en-US" w:eastAsia="zh-CN"/>
              </w:rPr>
            </w:pPr>
            <w:r>
              <w:rPr>
                <w:rFonts w:hint="eastAsia"/>
                <w:sz w:val="18"/>
                <w:szCs w:val="18"/>
                <w:lang w:val="en-US" w:eastAsia="zh-CN"/>
              </w:rPr>
              <w:t>0</w:t>
            </w:r>
          </w:p>
        </w:tc>
        <w:tc>
          <w:tcPr>
            <w:tcW w:w="582" w:type="dxa"/>
            <w:vAlign w:val="center"/>
          </w:tcPr>
          <w:p>
            <w:pPr>
              <w:keepNext w:val="0"/>
              <w:keepLines w:val="0"/>
              <w:pageBreakBefore w:val="0"/>
              <w:kinsoku/>
              <w:wordWrap/>
              <w:overflowPunct/>
              <w:topLinePunct w:val="0"/>
              <w:autoSpaceDE/>
              <w:autoSpaceDN/>
              <w:bidi w:val="0"/>
              <w:adjustRightInd/>
              <w:snapToGrid/>
              <w:spacing w:line="700" w:lineRule="exact"/>
              <w:textAlignment w:val="auto"/>
              <w:rPr>
                <w:rFonts w:hint="eastAsia" w:eastAsiaTheme="minorEastAsia"/>
                <w:sz w:val="18"/>
                <w:szCs w:val="18"/>
                <w:lang w:val="en-US" w:eastAsia="zh-CN"/>
              </w:rPr>
            </w:pPr>
            <w:r>
              <w:rPr>
                <w:rFonts w:hint="eastAsia"/>
                <w:sz w:val="18"/>
                <w:szCs w:val="18"/>
                <w:lang w:val="en-US" w:eastAsia="zh-CN"/>
              </w:rPr>
              <w:t>0</w:t>
            </w:r>
          </w:p>
        </w:tc>
        <w:tc>
          <w:tcPr>
            <w:tcW w:w="582" w:type="dxa"/>
            <w:vAlign w:val="center"/>
          </w:tcPr>
          <w:p>
            <w:pPr>
              <w:keepNext w:val="0"/>
              <w:keepLines w:val="0"/>
              <w:pageBreakBefore w:val="0"/>
              <w:kinsoku/>
              <w:wordWrap/>
              <w:overflowPunct/>
              <w:topLinePunct w:val="0"/>
              <w:autoSpaceDE/>
              <w:autoSpaceDN/>
              <w:bidi w:val="0"/>
              <w:adjustRightInd/>
              <w:snapToGrid/>
              <w:spacing w:line="700" w:lineRule="exact"/>
              <w:textAlignment w:val="auto"/>
              <w:rPr>
                <w:rFonts w:hint="eastAsia" w:eastAsiaTheme="minorEastAsia"/>
                <w:sz w:val="18"/>
                <w:szCs w:val="18"/>
                <w:lang w:val="en-US" w:eastAsia="zh-CN"/>
              </w:rPr>
            </w:pPr>
            <w:r>
              <w:rPr>
                <w:rFonts w:hint="eastAsia"/>
                <w:sz w:val="18"/>
                <w:szCs w:val="18"/>
                <w:lang w:val="en-US" w:eastAsia="zh-CN"/>
              </w:rPr>
              <w:t>0</w:t>
            </w:r>
          </w:p>
        </w:tc>
        <w:tc>
          <w:tcPr>
            <w:tcW w:w="560" w:type="dxa"/>
            <w:vAlign w:val="center"/>
          </w:tcPr>
          <w:p>
            <w:pPr>
              <w:keepNext w:val="0"/>
              <w:keepLines w:val="0"/>
              <w:pageBreakBefore w:val="0"/>
              <w:kinsoku/>
              <w:wordWrap/>
              <w:overflowPunct/>
              <w:topLinePunct w:val="0"/>
              <w:autoSpaceDE/>
              <w:autoSpaceDN/>
              <w:bidi w:val="0"/>
              <w:adjustRightInd/>
              <w:snapToGrid/>
              <w:spacing w:line="700" w:lineRule="exact"/>
              <w:textAlignment w:val="auto"/>
              <w:rPr>
                <w:rFonts w:hint="eastAsia" w:eastAsiaTheme="minorEastAsia"/>
                <w:szCs w:val="21"/>
                <w:lang w:val="en-US" w:eastAsia="zh-CN"/>
              </w:rPr>
            </w:pPr>
            <w:r>
              <w:rPr>
                <w:rFonts w:hint="eastAsia"/>
                <w:szCs w:val="21"/>
                <w:lang w:val="en-US" w:eastAsia="zh-CN"/>
              </w:rPr>
              <w:t>0</w:t>
            </w:r>
          </w:p>
        </w:tc>
        <w:tc>
          <w:tcPr>
            <w:tcW w:w="494" w:type="dxa"/>
            <w:vAlign w:val="center"/>
          </w:tcPr>
          <w:p>
            <w:pPr>
              <w:keepNext w:val="0"/>
              <w:keepLines w:val="0"/>
              <w:pageBreakBefore w:val="0"/>
              <w:kinsoku/>
              <w:wordWrap/>
              <w:overflowPunct/>
              <w:topLinePunct w:val="0"/>
              <w:autoSpaceDE/>
              <w:autoSpaceDN/>
              <w:bidi w:val="0"/>
              <w:adjustRightInd/>
              <w:snapToGrid/>
              <w:spacing w:line="700" w:lineRule="exact"/>
              <w:textAlignment w:val="auto"/>
              <w:rPr>
                <w:rFonts w:hint="eastAsia" w:eastAsiaTheme="minorEastAsia"/>
                <w:szCs w:val="21"/>
                <w:lang w:val="en-US" w:eastAsia="zh-CN"/>
              </w:rPr>
            </w:pPr>
            <w:r>
              <w:rPr>
                <w:rFonts w:hint="eastAsia"/>
                <w:szCs w:val="21"/>
                <w:lang w:val="en-US" w:eastAsia="zh-CN"/>
              </w:rPr>
              <w:t>0</w:t>
            </w:r>
          </w:p>
        </w:tc>
        <w:tc>
          <w:tcPr>
            <w:tcW w:w="582" w:type="dxa"/>
            <w:vAlign w:val="center"/>
          </w:tcPr>
          <w:p>
            <w:pPr>
              <w:keepNext w:val="0"/>
              <w:keepLines w:val="0"/>
              <w:pageBreakBefore w:val="0"/>
              <w:kinsoku/>
              <w:wordWrap/>
              <w:overflowPunct/>
              <w:topLinePunct w:val="0"/>
              <w:autoSpaceDE/>
              <w:autoSpaceDN/>
              <w:bidi w:val="0"/>
              <w:adjustRightInd/>
              <w:snapToGrid/>
              <w:spacing w:line="700" w:lineRule="exact"/>
              <w:textAlignment w:val="auto"/>
              <w:rPr>
                <w:rFonts w:hint="eastAsia" w:eastAsiaTheme="minorEastAsia"/>
                <w:szCs w:val="21"/>
                <w:lang w:val="en-US" w:eastAsia="zh-CN"/>
              </w:rPr>
            </w:pPr>
            <w:r>
              <w:rPr>
                <w:rFonts w:hint="eastAsia"/>
                <w:szCs w:val="21"/>
                <w:lang w:val="en-US" w:eastAsia="zh-CN"/>
              </w:rPr>
              <w:t>0</w:t>
            </w:r>
          </w:p>
        </w:tc>
        <w:tc>
          <w:tcPr>
            <w:tcW w:w="582" w:type="dxa"/>
            <w:vAlign w:val="center"/>
          </w:tcPr>
          <w:p>
            <w:pPr>
              <w:keepNext w:val="0"/>
              <w:keepLines w:val="0"/>
              <w:pageBreakBefore w:val="0"/>
              <w:kinsoku/>
              <w:wordWrap/>
              <w:overflowPunct/>
              <w:topLinePunct w:val="0"/>
              <w:autoSpaceDE/>
              <w:autoSpaceDN/>
              <w:bidi w:val="0"/>
              <w:adjustRightInd/>
              <w:snapToGrid/>
              <w:spacing w:line="700" w:lineRule="exact"/>
              <w:textAlignment w:val="auto"/>
              <w:rPr>
                <w:rFonts w:hint="eastAsia" w:eastAsiaTheme="minorEastAsia"/>
                <w:szCs w:val="21"/>
                <w:lang w:val="en-US" w:eastAsia="zh-CN"/>
              </w:rPr>
            </w:pPr>
            <w:r>
              <w:rPr>
                <w:rFonts w:hint="eastAsia"/>
                <w:szCs w:val="21"/>
                <w:lang w:val="en-US" w:eastAsia="zh-CN"/>
              </w:rPr>
              <w:t>0</w:t>
            </w:r>
          </w:p>
        </w:tc>
        <w:tc>
          <w:tcPr>
            <w:tcW w:w="582" w:type="dxa"/>
            <w:vAlign w:val="center"/>
          </w:tcPr>
          <w:p>
            <w:pPr>
              <w:keepNext w:val="0"/>
              <w:keepLines w:val="0"/>
              <w:pageBreakBefore w:val="0"/>
              <w:kinsoku/>
              <w:wordWrap/>
              <w:overflowPunct/>
              <w:topLinePunct w:val="0"/>
              <w:autoSpaceDE/>
              <w:autoSpaceDN/>
              <w:bidi w:val="0"/>
              <w:adjustRightInd/>
              <w:snapToGrid/>
              <w:spacing w:line="700" w:lineRule="exact"/>
              <w:textAlignment w:val="auto"/>
              <w:rPr>
                <w:rFonts w:hint="eastAsia" w:eastAsiaTheme="minorEastAsia"/>
                <w:szCs w:val="21"/>
                <w:lang w:val="en-US" w:eastAsia="zh-CN"/>
              </w:rPr>
            </w:pPr>
            <w:r>
              <w:rPr>
                <w:rFonts w:hint="eastAsia"/>
                <w:szCs w:val="21"/>
                <w:lang w:val="en-US" w:eastAsia="zh-CN"/>
              </w:rPr>
              <w:t>0</w:t>
            </w:r>
          </w:p>
        </w:tc>
        <w:tc>
          <w:tcPr>
            <w:tcW w:w="582" w:type="dxa"/>
            <w:vAlign w:val="center"/>
          </w:tcPr>
          <w:p>
            <w:pPr>
              <w:keepNext w:val="0"/>
              <w:keepLines w:val="0"/>
              <w:pageBreakBefore w:val="0"/>
              <w:kinsoku/>
              <w:wordWrap/>
              <w:overflowPunct/>
              <w:topLinePunct w:val="0"/>
              <w:autoSpaceDE/>
              <w:autoSpaceDN/>
              <w:bidi w:val="0"/>
              <w:adjustRightInd/>
              <w:snapToGrid/>
              <w:spacing w:line="700" w:lineRule="exact"/>
              <w:textAlignment w:val="auto"/>
              <w:rPr>
                <w:rFonts w:hint="eastAsia" w:eastAsiaTheme="minorEastAsia"/>
                <w:szCs w:val="21"/>
                <w:lang w:val="en-US" w:eastAsia="zh-CN"/>
              </w:rPr>
            </w:pPr>
            <w:r>
              <w:rPr>
                <w:rFonts w:hint="eastAsia"/>
                <w:szCs w:val="21"/>
                <w:lang w:val="en-US" w:eastAsia="zh-CN"/>
              </w:rPr>
              <w:t>0</w:t>
            </w:r>
          </w:p>
        </w:tc>
        <w:tc>
          <w:tcPr>
            <w:tcW w:w="472" w:type="dxa"/>
            <w:vAlign w:val="center"/>
          </w:tcPr>
          <w:p>
            <w:pPr>
              <w:keepNext w:val="0"/>
              <w:keepLines w:val="0"/>
              <w:pageBreakBefore w:val="0"/>
              <w:kinsoku/>
              <w:wordWrap/>
              <w:overflowPunct/>
              <w:topLinePunct w:val="0"/>
              <w:autoSpaceDE/>
              <w:autoSpaceDN/>
              <w:bidi w:val="0"/>
              <w:adjustRightInd/>
              <w:snapToGrid/>
              <w:spacing w:line="700" w:lineRule="exact"/>
              <w:textAlignment w:val="auto"/>
              <w:rPr>
                <w:rFonts w:hint="eastAsia" w:eastAsiaTheme="minorEastAsia"/>
                <w:szCs w:val="21"/>
                <w:lang w:val="en-US" w:eastAsia="zh-CN"/>
              </w:rPr>
            </w:pPr>
            <w:r>
              <w:rPr>
                <w:rFonts w:hint="eastAsia"/>
                <w:szCs w:val="21"/>
                <w:lang w:val="en-US" w:eastAsia="zh-CN"/>
              </w:rPr>
              <w:t>0</w:t>
            </w:r>
          </w:p>
        </w:tc>
        <w:tc>
          <w:tcPr>
            <w:tcW w:w="700" w:type="dxa"/>
            <w:vAlign w:val="center"/>
          </w:tcPr>
          <w:p>
            <w:pPr>
              <w:keepNext w:val="0"/>
              <w:keepLines w:val="0"/>
              <w:pageBreakBefore w:val="0"/>
              <w:kinsoku/>
              <w:wordWrap/>
              <w:overflowPunct/>
              <w:topLinePunct w:val="0"/>
              <w:autoSpaceDE/>
              <w:autoSpaceDN/>
              <w:bidi w:val="0"/>
              <w:adjustRightInd/>
              <w:snapToGrid/>
              <w:spacing w:line="700" w:lineRule="exact"/>
              <w:textAlignment w:val="auto"/>
              <w:rPr>
                <w:rFonts w:hint="eastAsia" w:eastAsiaTheme="minorEastAsia"/>
                <w:szCs w:val="21"/>
                <w:lang w:val="en-US" w:eastAsia="zh-CN"/>
              </w:rPr>
            </w:pPr>
            <w:r>
              <w:rPr>
                <w:rFonts w:hint="eastAsia"/>
                <w:szCs w:val="21"/>
                <w:lang w:val="en-US" w:eastAsia="zh-CN"/>
              </w:rPr>
              <w:t>0</w:t>
            </w:r>
          </w:p>
        </w:tc>
        <w:tc>
          <w:tcPr>
            <w:tcW w:w="534" w:type="dxa"/>
            <w:vAlign w:val="center"/>
          </w:tcPr>
          <w:p>
            <w:pPr>
              <w:keepNext w:val="0"/>
              <w:keepLines w:val="0"/>
              <w:pageBreakBefore w:val="0"/>
              <w:kinsoku/>
              <w:wordWrap/>
              <w:overflowPunct/>
              <w:topLinePunct w:val="0"/>
              <w:autoSpaceDE/>
              <w:autoSpaceDN/>
              <w:bidi w:val="0"/>
              <w:adjustRightInd/>
              <w:snapToGrid/>
              <w:spacing w:line="700" w:lineRule="exact"/>
              <w:textAlignment w:val="auto"/>
              <w:rPr>
                <w:rFonts w:hint="eastAsia" w:eastAsiaTheme="minorEastAsia"/>
                <w:szCs w:val="21"/>
                <w:lang w:val="en-US" w:eastAsia="zh-CN"/>
              </w:rPr>
            </w:pPr>
            <w:r>
              <w:rPr>
                <w:rFonts w:hint="eastAsia"/>
                <w:szCs w:val="21"/>
                <w:lang w:val="en-US" w:eastAsia="zh-CN"/>
              </w:rPr>
              <w:t>0</w:t>
            </w:r>
          </w:p>
        </w:tc>
        <w:tc>
          <w:tcPr>
            <w:tcW w:w="630" w:type="dxa"/>
            <w:vAlign w:val="center"/>
          </w:tcPr>
          <w:p>
            <w:pPr>
              <w:keepNext w:val="0"/>
              <w:keepLines w:val="0"/>
              <w:pageBreakBefore w:val="0"/>
              <w:kinsoku/>
              <w:wordWrap/>
              <w:overflowPunct/>
              <w:topLinePunct w:val="0"/>
              <w:autoSpaceDE/>
              <w:autoSpaceDN/>
              <w:bidi w:val="0"/>
              <w:adjustRightInd/>
              <w:snapToGrid/>
              <w:spacing w:line="700" w:lineRule="exact"/>
              <w:textAlignment w:val="auto"/>
              <w:rPr>
                <w:rFonts w:hint="eastAsia" w:eastAsiaTheme="minorEastAsia"/>
                <w:szCs w:val="21"/>
                <w:lang w:val="en-US" w:eastAsia="zh-CN"/>
              </w:rPr>
            </w:pPr>
            <w:r>
              <w:rPr>
                <w:rFonts w:hint="eastAsia"/>
                <w:szCs w:val="21"/>
                <w:lang w:val="en-US" w:eastAsia="zh-CN"/>
              </w:rPr>
              <w:t>0</w:t>
            </w:r>
          </w:p>
        </w:tc>
        <w:tc>
          <w:tcPr>
            <w:tcW w:w="582" w:type="dxa"/>
            <w:vAlign w:val="center"/>
          </w:tcPr>
          <w:p>
            <w:pPr>
              <w:keepNext w:val="0"/>
              <w:keepLines w:val="0"/>
              <w:pageBreakBefore w:val="0"/>
              <w:kinsoku/>
              <w:wordWrap/>
              <w:overflowPunct/>
              <w:topLinePunct w:val="0"/>
              <w:autoSpaceDE/>
              <w:autoSpaceDN/>
              <w:bidi w:val="0"/>
              <w:adjustRightInd/>
              <w:snapToGrid/>
              <w:spacing w:line="700" w:lineRule="exact"/>
              <w:textAlignment w:val="auto"/>
              <w:rPr>
                <w:rFonts w:hint="eastAsia" w:eastAsiaTheme="minorEastAsia"/>
                <w:szCs w:val="21"/>
                <w:lang w:val="en-US" w:eastAsia="zh-CN"/>
              </w:rPr>
            </w:pPr>
            <w:r>
              <w:rPr>
                <w:rFonts w:hint="eastAsia"/>
                <w:szCs w:val="21"/>
                <w:lang w:val="en-US" w:eastAsia="zh-CN"/>
              </w:rPr>
              <w:t>0</w:t>
            </w:r>
          </w:p>
        </w:tc>
        <w:tc>
          <w:tcPr>
            <w:tcW w:w="354" w:type="dxa"/>
            <w:vAlign w:val="center"/>
          </w:tcPr>
          <w:p>
            <w:pPr>
              <w:keepNext w:val="0"/>
              <w:keepLines w:val="0"/>
              <w:pageBreakBefore w:val="0"/>
              <w:kinsoku/>
              <w:wordWrap/>
              <w:overflowPunct/>
              <w:topLinePunct w:val="0"/>
              <w:autoSpaceDE/>
              <w:autoSpaceDN/>
              <w:bidi w:val="0"/>
              <w:adjustRightInd/>
              <w:snapToGrid/>
              <w:spacing w:line="700" w:lineRule="exact"/>
              <w:textAlignment w:val="auto"/>
              <w:rPr>
                <w:rFonts w:hint="eastAsia" w:eastAsiaTheme="minorEastAsia"/>
                <w:szCs w:val="21"/>
                <w:lang w:val="en-US" w:eastAsia="zh-CN"/>
              </w:rPr>
            </w:pPr>
            <w:r>
              <w:rPr>
                <w:rFonts w:hint="eastAsia"/>
                <w:szCs w:val="21"/>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Autospacing="0" w:after="0" w:afterAutospacing="0" w:line="560" w:lineRule="exact"/>
        <w:ind w:left="0" w:right="0" w:firstLine="640"/>
        <w:textAlignment w:val="auto"/>
        <w:rPr>
          <w:rFonts w:ascii="宋体" w:hAnsi="宋体" w:eastAsia="宋体" w:cs="宋体"/>
          <w:b w:val="0"/>
          <w:i w:val="0"/>
          <w:caps w:val="0"/>
          <w:color w:val="000000"/>
          <w:spacing w:val="0"/>
          <w:sz w:val="19"/>
          <w:szCs w:val="19"/>
        </w:rPr>
      </w:pPr>
      <w:r>
        <w:rPr>
          <w:rFonts w:hint="eastAsia" w:ascii="黑体" w:hAnsi="黑体" w:eastAsia="黑体" w:cs="黑体"/>
          <w:b/>
          <w:kern w:val="2"/>
          <w:sz w:val="32"/>
          <w:szCs w:val="32"/>
          <w:lang w:val="en-US" w:eastAsia="zh-CN" w:bidi="ar-SA"/>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仿宋_GB2312"/>
          <w:b w:val="0"/>
          <w:i w:val="0"/>
          <w:caps w:val="0"/>
          <w:color w:val="000000"/>
          <w:spacing w:val="0"/>
          <w:sz w:val="32"/>
          <w:szCs w:val="32"/>
        </w:rPr>
      </w:pPr>
      <w:r>
        <w:rPr>
          <w:rFonts w:hint="eastAsia" w:ascii="仿宋_GB2312" w:hAnsi="宋体" w:eastAsia="仿宋_GB2312" w:cs="仿宋_GB2312"/>
          <w:b w:val="0"/>
          <w:i w:val="0"/>
          <w:caps w:val="0"/>
          <w:color w:val="000000"/>
          <w:spacing w:val="0"/>
          <w:sz w:val="32"/>
          <w:szCs w:val="32"/>
          <w:lang w:val="en-US" w:eastAsia="zh-CN"/>
        </w:rPr>
        <w:t>2021年，我局的政务公开工作较上一年度有较大提升，但仍存在着一些问题，一是工作体制机制不完善，省、市、县政务公开指标体系在不断更新中，导致相应发布的信息需要不断调整；二是公开方式还不够及时，政务公开信息滞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仿宋_GB2312"/>
          <w:b w:val="0"/>
          <w:i w:val="0"/>
          <w:caps w:val="0"/>
          <w:color w:val="000000"/>
          <w:spacing w:val="0"/>
          <w:sz w:val="32"/>
          <w:szCs w:val="32"/>
        </w:rPr>
      </w:pPr>
      <w:r>
        <w:rPr>
          <w:rFonts w:hint="eastAsia" w:ascii="仿宋_GB2312" w:hAnsi="宋体" w:eastAsia="仿宋_GB2312" w:cs="仿宋_GB2312"/>
          <w:b w:val="0"/>
          <w:i w:val="0"/>
          <w:caps w:val="0"/>
          <w:color w:val="000000"/>
          <w:spacing w:val="0"/>
          <w:sz w:val="32"/>
          <w:szCs w:val="32"/>
          <w:lang w:val="en-US" w:eastAsia="zh-CN"/>
        </w:rPr>
        <w:t>针对整改过程中发现的问题，我局将积极采取改进措施，切实有效的做好政务信息公开工作。一方面规范工作流程。进一步梳理、整合政府信息，规范、及时公开政府办事服务信息；同时规范公开行为，逐级细化政府信息公开审核、发布、监督评议、问责等工作流程，确保政府信息公开的及时性、有效性和完整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仿宋_GB2312"/>
          <w:b w:val="0"/>
          <w:i w:val="0"/>
          <w:caps w:val="0"/>
          <w:color w:val="000000"/>
          <w:spacing w:val="0"/>
          <w:sz w:val="32"/>
          <w:szCs w:val="32"/>
        </w:rPr>
      </w:pPr>
      <w:r>
        <w:rPr>
          <w:rFonts w:hint="eastAsia" w:ascii="仿宋_GB2312" w:hAnsi="宋体" w:eastAsia="仿宋_GB2312" w:cs="仿宋_GB2312"/>
          <w:b w:val="0"/>
          <w:i w:val="0"/>
          <w:caps w:val="0"/>
          <w:color w:val="000000"/>
          <w:spacing w:val="0"/>
          <w:sz w:val="32"/>
          <w:szCs w:val="32"/>
        </w:rPr>
        <w:t>(一)收费情况。2021年度,我局无收取政府信息公开信息处理费的情况。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仿宋_GB2312"/>
          <w:b w:val="0"/>
          <w:i w:val="0"/>
          <w:caps w:val="0"/>
          <w:color w:val="000000"/>
          <w:spacing w:val="0"/>
          <w:sz w:val="32"/>
          <w:szCs w:val="32"/>
        </w:rPr>
      </w:pPr>
      <w:r>
        <w:rPr>
          <w:rFonts w:hint="eastAsia" w:ascii="仿宋_GB2312" w:hAnsi="宋体" w:eastAsia="仿宋_GB2312" w:cs="仿宋_GB2312"/>
          <w:b w:val="0"/>
          <w:i w:val="0"/>
          <w:caps w:val="0"/>
          <w:color w:val="000000"/>
          <w:spacing w:val="0"/>
          <w:sz w:val="32"/>
          <w:szCs w:val="32"/>
        </w:rPr>
        <w:t>(二)提案建议办理情况。2021年,我局共办理人大代表建议4件,政协委员提案</w:t>
      </w:r>
      <w:r>
        <w:rPr>
          <w:rFonts w:hint="eastAsia" w:ascii="仿宋_GB2312" w:hAnsi="宋体" w:eastAsia="仿宋_GB2312" w:cs="仿宋_GB2312"/>
          <w:b w:val="0"/>
          <w:i w:val="0"/>
          <w:caps w:val="0"/>
          <w:color w:val="000000"/>
          <w:spacing w:val="0"/>
          <w:sz w:val="32"/>
          <w:szCs w:val="32"/>
          <w:lang w:val="en-US" w:eastAsia="zh-CN"/>
        </w:rPr>
        <w:t>1</w:t>
      </w:r>
      <w:r>
        <w:rPr>
          <w:rFonts w:hint="eastAsia" w:ascii="仿宋_GB2312" w:hAnsi="宋体" w:eastAsia="仿宋_GB2312" w:cs="仿宋_GB2312"/>
          <w:b w:val="0"/>
          <w:i w:val="0"/>
          <w:caps w:val="0"/>
          <w:color w:val="000000"/>
          <w:spacing w:val="0"/>
          <w:sz w:val="32"/>
          <w:szCs w:val="32"/>
        </w:rPr>
        <w:t>件。在办理工作中,严格执行一把手负责制,各相关科室和下属单位领导为提案办理的具体责任人,研究明确具体办理措施,层层落实工作责任,做到了人大代表建议和政协提案办理事事有回音,件件有落实。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仿宋_GB2312"/>
          <w:b w:val="0"/>
          <w:i w:val="0"/>
          <w:caps w:val="0"/>
          <w:color w:val="000000"/>
          <w:spacing w:val="0"/>
          <w:sz w:val="32"/>
          <w:szCs w:val="32"/>
        </w:rPr>
      </w:pPr>
      <w:r>
        <w:rPr>
          <w:rFonts w:hint="eastAsia" w:ascii="仿宋_GB2312" w:hAnsi="宋体" w:eastAsia="仿宋_GB2312" w:cs="仿宋_GB2312"/>
          <w:b w:val="0"/>
          <w:i w:val="0"/>
          <w:caps w:val="0"/>
          <w:color w:val="000000"/>
          <w:spacing w:val="0"/>
          <w:sz w:val="32"/>
          <w:szCs w:val="32"/>
        </w:rPr>
        <w:t>(三)政务公开要点落实情况。一是制定《桓台县</w:t>
      </w:r>
      <w:r>
        <w:rPr>
          <w:rFonts w:hint="eastAsia" w:ascii="仿宋_GB2312" w:hAnsi="宋体" w:eastAsia="仿宋_GB2312" w:cs="仿宋_GB2312"/>
          <w:b w:val="0"/>
          <w:i w:val="0"/>
          <w:caps w:val="0"/>
          <w:color w:val="000000"/>
          <w:spacing w:val="0"/>
          <w:sz w:val="32"/>
          <w:szCs w:val="32"/>
          <w:lang w:eastAsia="zh-CN"/>
        </w:rPr>
        <w:t>水利局</w:t>
      </w:r>
      <w:r>
        <w:rPr>
          <w:rFonts w:hint="eastAsia" w:ascii="仿宋_GB2312" w:hAnsi="宋体" w:eastAsia="仿宋_GB2312" w:cs="仿宋_GB2312"/>
          <w:b w:val="0"/>
          <w:i w:val="0"/>
          <w:caps w:val="0"/>
          <w:color w:val="000000"/>
          <w:spacing w:val="0"/>
          <w:sz w:val="32"/>
          <w:szCs w:val="32"/>
        </w:rPr>
        <w:t>政务公开事项标准目录》。组织各单位、各科室结合各自业务实际情况,对公开事项逐项梳理,经过商讨、改进、定稿,在政府门户网站公开。二是规范政务公开。围绕与群众关系密切的行政行为和服务事项,按照应公开、尽公开要求全面梳理公开事项,细化公开内容,督促指导各科室和下属事业单位及时按照相关法律法规要求做好主动公开工作,进一步提高基层政务公开的针对性、实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仿宋_GB2312"/>
          <w:b w:val="0"/>
          <w:i w:val="0"/>
          <w:caps w:val="0"/>
          <w:color w:val="000000"/>
          <w:spacing w:val="0"/>
          <w:sz w:val="32"/>
          <w:szCs w:val="32"/>
        </w:rPr>
      </w:pPr>
      <w:r>
        <w:rPr>
          <w:rFonts w:hint="eastAsia" w:ascii="仿宋_GB2312" w:hAnsi="宋体" w:eastAsia="仿宋_GB2312" w:cs="仿宋_GB2312"/>
          <w:b w:val="0"/>
          <w:i w:val="0"/>
          <w:caps w:val="0"/>
          <w:color w:val="000000"/>
          <w:spacing w:val="0"/>
          <w:sz w:val="32"/>
          <w:szCs w:val="32"/>
        </w:rPr>
        <w:t>(四)政务公开工作创新情况。本年度无政务公开工作创新情况。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仿宋_GB2312"/>
          <w:b w:val="0"/>
          <w:i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仿宋_GB2312"/>
          <w:b w:val="0"/>
          <w:i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仿宋_GB2312"/>
          <w:b w:val="0"/>
          <w:i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仿宋_GB2312"/>
          <w:b w:val="0"/>
          <w:i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仿宋_GB2312"/>
          <w:b w:val="0"/>
          <w:i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eastAsia" w:ascii="仿宋_GB2312" w:hAnsi="宋体" w:eastAsia="仿宋_GB2312" w:cs="仿宋_GB2312"/>
          <w:b w:val="0"/>
          <w:i w:val="0"/>
          <w:caps w:val="0"/>
          <w:color w:val="000000"/>
          <w:spacing w:val="0"/>
          <w:sz w:val="32"/>
          <w:szCs w:val="32"/>
          <w:lang w:eastAsia="zh-CN"/>
        </w:rPr>
      </w:pPr>
      <w:r>
        <w:rPr>
          <w:rFonts w:hint="eastAsia" w:ascii="仿宋_GB2312" w:hAnsi="宋体" w:eastAsia="仿宋_GB2312" w:cs="仿宋_GB2312"/>
          <w:b w:val="0"/>
          <w:i w:val="0"/>
          <w:caps w:val="0"/>
          <w:color w:val="000000"/>
          <w:spacing w:val="0"/>
          <w:sz w:val="32"/>
          <w:szCs w:val="32"/>
          <w:lang w:val="en-US" w:eastAsia="zh-CN"/>
        </w:rPr>
        <w:t xml:space="preserve">                                </w:t>
      </w:r>
      <w:r>
        <w:rPr>
          <w:rFonts w:hint="eastAsia" w:ascii="仿宋_GB2312" w:hAnsi="宋体" w:eastAsia="仿宋_GB2312" w:cs="仿宋_GB2312"/>
          <w:b w:val="0"/>
          <w:i w:val="0"/>
          <w:caps w:val="0"/>
          <w:color w:val="000000"/>
          <w:spacing w:val="0"/>
          <w:sz w:val="32"/>
          <w:szCs w:val="32"/>
          <w:lang w:eastAsia="zh-CN"/>
        </w:rPr>
        <w:t>桓台县水利局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default" w:ascii="仿宋_GB2312" w:hAnsi="宋体" w:eastAsia="仿宋_GB2312" w:cs="仿宋_GB2312"/>
          <w:b w:val="0"/>
          <w:i w:val="0"/>
          <w:caps w:val="0"/>
          <w:color w:val="000000"/>
          <w:spacing w:val="0"/>
          <w:sz w:val="32"/>
          <w:szCs w:val="32"/>
          <w:lang w:val="en-US" w:eastAsia="zh-CN"/>
        </w:rPr>
      </w:pPr>
      <w:r>
        <w:rPr>
          <w:rFonts w:hint="eastAsia" w:ascii="仿宋_GB2312" w:hAnsi="宋体" w:eastAsia="仿宋_GB2312" w:cs="仿宋_GB2312"/>
          <w:b w:val="0"/>
          <w:i w:val="0"/>
          <w:caps w:val="0"/>
          <w:color w:val="000000"/>
          <w:spacing w:val="0"/>
          <w:sz w:val="32"/>
          <w:szCs w:val="32"/>
          <w:lang w:val="en-US" w:eastAsia="zh-CN"/>
        </w:rPr>
        <w:t>2022年1月26</w:t>
      </w:r>
      <w:bookmarkStart w:id="0" w:name="_GoBack"/>
      <w:bookmarkEnd w:id="0"/>
      <w:r>
        <w:rPr>
          <w:rFonts w:hint="eastAsia" w:ascii="仿宋_GB2312" w:hAnsi="宋体" w:eastAsia="仿宋_GB2312" w:cs="仿宋_GB2312"/>
          <w:b w:val="0"/>
          <w:i w:val="0"/>
          <w:caps w:val="0"/>
          <w:color w:val="000000"/>
          <w:spacing w:val="0"/>
          <w:sz w:val="32"/>
          <w:szCs w:val="32"/>
          <w:lang w:val="en-US" w:eastAsia="zh-CN"/>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宋体" w:eastAsia="仿宋_GB2312" w:cs="仿宋_GB2312"/>
          <w:b w:val="0"/>
          <w:i w:val="0"/>
          <w:caps w:val="0"/>
          <w:color w:val="000000"/>
          <w:spacing w:val="0"/>
          <w:sz w:val="32"/>
          <w:szCs w:val="32"/>
        </w:rPr>
      </w:pPr>
    </w:p>
    <w:p>
      <w:pPr>
        <w:keepNext w:val="0"/>
        <w:keepLines w:val="0"/>
        <w:pageBreakBefore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宋体" w:eastAsia="仿宋_GB2312" w:cs="仿宋_GB2312"/>
          <w:b w:val="0"/>
          <w:i w:val="0"/>
          <w:caps w:val="0"/>
          <w:color w:val="000000"/>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宋体" w:eastAsia="仿宋_GB2312" w:cs="仿宋_GB2312"/>
          <w:b w:val="0"/>
          <w:i w:val="0"/>
          <w:caps w:val="0"/>
          <w:color w:val="000000"/>
          <w:spacing w:val="0"/>
          <w:sz w:val="32"/>
          <w:szCs w:val="3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10C1B"/>
    <w:multiLevelType w:val="singleLevel"/>
    <w:tmpl w:val="B3810C1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F0882"/>
    <w:rsid w:val="05620EF2"/>
    <w:rsid w:val="09D61183"/>
    <w:rsid w:val="0B9728E9"/>
    <w:rsid w:val="0BAF6382"/>
    <w:rsid w:val="132259CC"/>
    <w:rsid w:val="13E55DA1"/>
    <w:rsid w:val="18AA011B"/>
    <w:rsid w:val="1A876542"/>
    <w:rsid w:val="201204EC"/>
    <w:rsid w:val="21CE2D1B"/>
    <w:rsid w:val="3FC12D29"/>
    <w:rsid w:val="45D358E5"/>
    <w:rsid w:val="45E75EA8"/>
    <w:rsid w:val="4B6C2538"/>
    <w:rsid w:val="4C52210E"/>
    <w:rsid w:val="55155E60"/>
    <w:rsid w:val="56477162"/>
    <w:rsid w:val="56F4155A"/>
    <w:rsid w:val="58423826"/>
    <w:rsid w:val="5E2C1345"/>
    <w:rsid w:val="63041A41"/>
    <w:rsid w:val="650F0B97"/>
    <w:rsid w:val="69733AAD"/>
    <w:rsid w:val="6D363D34"/>
    <w:rsid w:val="6D5408ED"/>
    <w:rsid w:val="73146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Table Paragraph"/>
    <w:basedOn w:val="1"/>
    <w:qFormat/>
    <w:uiPriority w:val="0"/>
    <w:rPr>
      <w:rFonts w:ascii="宋体" w:hAnsi="宋体" w:eastAsia="宋体" w:cs="宋体"/>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2021-01-26T03:07:00Z</dcterms:created>
  <dc:creator>Administrator</dc:creator>
  <cp:lastModifiedBy>无味的白酒</cp:lastModifiedBy>
  <dcterms:modified xsi:type="dcterms:W3CDTF">2022-01-26T01:55:03Z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163F059D509148AE9C58DB71CBE27024</vt:lpwstr>
  </property>
</Properties>
</file>