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桓台县水利局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rPr>
      </w:pPr>
      <w:r>
        <w:rPr>
          <w:rFonts w:hint="eastAsia" w:ascii="仿宋_GB2312" w:hAnsi="宋体" w:eastAsia="仿宋_GB2312" w:cs="仿宋_GB2312"/>
          <w:b w:val="0"/>
          <w:i w:val="0"/>
          <w:caps w:val="0"/>
          <w:color w:val="000000"/>
          <w:spacing w:val="0"/>
          <w:sz w:val="32"/>
          <w:szCs w:val="32"/>
          <w:bdr w:val="none" w:color="auto" w:sz="0" w:space="0"/>
          <w:shd w:val="clear" w:fill="FFFFFF"/>
        </w:rPr>
        <w:t>根据《国务院办公厅政府信息与政务公开办公室关于政府信息公开工作年度报告有关事项的通知》(国办公开办函〔2019〕60号)的规定，</w:t>
      </w:r>
      <w:r>
        <w:rPr>
          <w:rFonts w:hint="eastAsia" w:ascii="仿宋_GB2312" w:hAnsi="宋体" w:eastAsia="仿宋_GB2312" w:cs="仿宋_GB2312"/>
          <w:b w:val="0"/>
          <w:i w:val="0"/>
          <w:caps w:val="0"/>
          <w:color w:val="000000"/>
          <w:spacing w:val="0"/>
          <w:sz w:val="32"/>
          <w:szCs w:val="32"/>
          <w:bdr w:val="none" w:color="auto" w:sz="0" w:space="0"/>
          <w:shd w:val="clear" w:fill="FFFFFF"/>
          <w:lang w:eastAsia="zh-CN"/>
        </w:rPr>
        <w:t>我局</w:t>
      </w:r>
      <w:r>
        <w:rPr>
          <w:rFonts w:hint="eastAsia" w:ascii="仿宋_GB2312" w:hAnsi="宋体" w:eastAsia="仿宋_GB2312" w:cs="仿宋_GB2312"/>
          <w:b w:val="0"/>
          <w:i w:val="0"/>
          <w:caps w:val="0"/>
          <w:color w:val="000000"/>
          <w:spacing w:val="0"/>
          <w:sz w:val="32"/>
          <w:szCs w:val="32"/>
          <w:bdr w:val="none" w:color="auto" w:sz="0" w:space="0"/>
          <w:shd w:val="clear" w:fill="FFFFFF"/>
        </w:rPr>
        <w:t>认真编制《</w:t>
      </w:r>
      <w:r>
        <w:rPr>
          <w:rFonts w:hint="eastAsia" w:ascii="仿宋_GB2312" w:hAnsi="宋体" w:eastAsia="仿宋_GB2312" w:cs="仿宋_GB2312"/>
          <w:b w:val="0"/>
          <w:i w:val="0"/>
          <w:caps w:val="0"/>
          <w:color w:val="000000"/>
          <w:spacing w:val="0"/>
          <w:sz w:val="32"/>
          <w:szCs w:val="32"/>
          <w:bdr w:val="none" w:color="auto" w:sz="0" w:space="0"/>
          <w:shd w:val="clear" w:fill="FFFFFF"/>
          <w:lang w:eastAsia="zh-CN"/>
        </w:rPr>
        <w:t>桓台县水利局</w:t>
      </w:r>
      <w:r>
        <w:rPr>
          <w:rFonts w:hint="eastAsia" w:ascii="仿宋_GB2312" w:hAnsi="宋体" w:eastAsia="仿宋_GB2312" w:cs="仿宋_GB2312"/>
          <w:b w:val="0"/>
          <w:i w:val="0"/>
          <w:caps w:val="0"/>
          <w:color w:val="000000"/>
          <w:spacing w:val="0"/>
          <w:sz w:val="32"/>
          <w:szCs w:val="32"/>
          <w:bdr w:val="none" w:color="auto" w:sz="0" w:space="0"/>
          <w:shd w:val="clear" w:fill="FFFFFF"/>
        </w:rPr>
        <w:t>2020年政府信息公开工作年度报告》，并进行公开。本年度（2020年1月1日至2020年12月31日）报告内容由总体情况、主动公开政府信息情况、收到和处理政府信息公开申请情况、政府信息公开行政复议和行政诉讼情况、存在的主要问题及改进情况及其他需要报告的事项共六部分组成。如对本报告有疑问，请与</w:t>
      </w:r>
      <w:r>
        <w:rPr>
          <w:rFonts w:hint="eastAsia" w:ascii="仿宋_GB2312" w:hAnsi="宋体" w:eastAsia="仿宋_GB2312" w:cs="仿宋_GB2312"/>
          <w:b w:val="0"/>
          <w:i w:val="0"/>
          <w:caps w:val="0"/>
          <w:color w:val="000000"/>
          <w:spacing w:val="0"/>
          <w:sz w:val="32"/>
          <w:szCs w:val="32"/>
          <w:bdr w:val="none" w:color="auto" w:sz="0" w:space="0"/>
          <w:shd w:val="clear" w:fill="FFFFFF"/>
          <w:lang w:eastAsia="zh-CN"/>
        </w:rPr>
        <w:t>桓台县水利局</w:t>
      </w:r>
      <w:r>
        <w:rPr>
          <w:rFonts w:hint="eastAsia" w:ascii="仿宋_GB2312" w:hAnsi="宋体" w:eastAsia="仿宋_GB2312" w:cs="仿宋_GB2312"/>
          <w:b w:val="0"/>
          <w:i w:val="0"/>
          <w:caps w:val="0"/>
          <w:color w:val="000000"/>
          <w:spacing w:val="0"/>
          <w:sz w:val="32"/>
          <w:szCs w:val="32"/>
          <w:bdr w:val="none" w:color="auto" w:sz="0" w:space="0"/>
          <w:shd w:val="clear" w:fill="FFFFFF"/>
        </w:rPr>
        <w:t>办公室联系(地址:</w:t>
      </w:r>
      <w:r>
        <w:rPr>
          <w:rFonts w:hint="eastAsia" w:ascii="仿宋_GB2312" w:hAnsi="宋体" w:eastAsia="仿宋_GB2312" w:cs="仿宋_GB2312"/>
          <w:b w:val="0"/>
          <w:i w:val="0"/>
          <w:caps w:val="0"/>
          <w:color w:val="000000"/>
          <w:spacing w:val="0"/>
          <w:sz w:val="32"/>
          <w:szCs w:val="32"/>
          <w:bdr w:val="none" w:color="auto" w:sz="0" w:space="0"/>
          <w:shd w:val="clear" w:fill="FFFFFF"/>
          <w:lang w:eastAsia="zh-CN"/>
        </w:rPr>
        <w:t>桓台县槐荫路</w:t>
      </w:r>
      <w:r>
        <w:rPr>
          <w:rFonts w:hint="eastAsia" w:ascii="仿宋_GB2312" w:hAnsi="宋体" w:eastAsia="仿宋_GB2312" w:cs="仿宋_GB2312"/>
          <w:b w:val="0"/>
          <w:i w:val="0"/>
          <w:caps w:val="0"/>
          <w:color w:val="000000"/>
          <w:spacing w:val="0"/>
          <w:sz w:val="32"/>
          <w:szCs w:val="32"/>
          <w:bdr w:val="none" w:color="auto" w:sz="0" w:space="0"/>
          <w:shd w:val="clear" w:fill="FFFFFF"/>
          <w:lang w:val="en-US" w:eastAsia="zh-CN"/>
        </w:rPr>
        <w:t>344号</w:t>
      </w:r>
      <w:r>
        <w:rPr>
          <w:rFonts w:hint="eastAsia" w:ascii="仿宋_GB2312" w:hAnsi="宋体" w:eastAsia="仿宋_GB2312" w:cs="仿宋_GB2312"/>
          <w:b w:val="0"/>
          <w:i w:val="0"/>
          <w:caps w:val="0"/>
          <w:color w:val="000000"/>
          <w:spacing w:val="0"/>
          <w:sz w:val="32"/>
          <w:szCs w:val="32"/>
          <w:bdr w:val="none" w:color="auto" w:sz="0" w:space="0"/>
          <w:shd w:val="clear" w:fill="FFFFFF"/>
        </w:rPr>
        <w:t>，电话:0533-</w:t>
      </w:r>
      <w:r>
        <w:rPr>
          <w:rFonts w:hint="eastAsia" w:ascii="仿宋_GB2312" w:hAnsi="宋体" w:eastAsia="仿宋_GB2312" w:cs="仿宋_GB2312"/>
          <w:b w:val="0"/>
          <w:i w:val="0"/>
          <w:caps w:val="0"/>
          <w:color w:val="000000"/>
          <w:spacing w:val="0"/>
          <w:sz w:val="32"/>
          <w:szCs w:val="32"/>
          <w:bdr w:val="none" w:color="auto" w:sz="0" w:space="0"/>
          <w:shd w:val="clear" w:fill="FFFFFF"/>
          <w:lang w:val="en-US" w:eastAsia="zh-CN"/>
        </w:rPr>
        <w:t>8210526</w:t>
      </w:r>
      <w:r>
        <w:rPr>
          <w:rFonts w:hint="eastAsia" w:ascii="仿宋_GB2312" w:hAnsi="宋体" w:eastAsia="仿宋_GB2312" w:cs="仿宋_GB2312"/>
          <w:b w:val="0"/>
          <w:i w:val="0"/>
          <w:caps w:val="0"/>
          <w:color w:val="000000"/>
          <w:spacing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60" w:lineRule="atLeast"/>
        <w:ind w:left="0" w:right="0" w:firstLine="640"/>
        <w:rPr>
          <w:rFonts w:ascii="宋体" w:hAnsi="宋体" w:eastAsia="宋体" w:cs="宋体"/>
          <w:b w:val="0"/>
          <w:i w:val="0"/>
          <w:caps w:val="0"/>
          <w:color w:val="000000"/>
          <w:spacing w:val="0"/>
          <w:sz w:val="19"/>
          <w:szCs w:val="19"/>
        </w:rPr>
      </w:pPr>
      <w:r>
        <w:rPr>
          <w:rFonts w:ascii="黑体" w:hAnsi="宋体" w:eastAsia="黑体" w:cs="黑体"/>
          <w:b w:val="0"/>
          <w:i w:val="0"/>
          <w:caps w:val="0"/>
          <w:color w:val="000000"/>
          <w:spacing w:val="0"/>
          <w:sz w:val="32"/>
          <w:szCs w:val="32"/>
          <w:bdr w:val="none" w:color="auto" w:sz="0" w:space="0"/>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b w:val="0"/>
          <w:i w:val="0"/>
          <w:caps w:val="0"/>
          <w:color w:val="000000"/>
          <w:spacing w:val="0"/>
          <w:sz w:val="19"/>
          <w:szCs w:val="19"/>
        </w:rPr>
      </w:pPr>
      <w:r>
        <w:rPr>
          <w:rFonts w:ascii="仿宋_GB2312" w:hAnsi="宋体" w:eastAsia="仿宋_GB2312" w:cs="仿宋_GB2312"/>
          <w:b w:val="0"/>
          <w:i w:val="0"/>
          <w:caps w:val="0"/>
          <w:color w:val="000000"/>
          <w:spacing w:val="0"/>
          <w:sz w:val="32"/>
          <w:szCs w:val="32"/>
          <w:bdr w:val="none" w:color="auto" w:sz="0" w:space="0"/>
        </w:rPr>
        <w:t>（一）</w:t>
      </w:r>
      <w:r>
        <w:rPr>
          <w:rFonts w:hint="eastAsia" w:ascii="仿宋_GB2312" w:hAnsi="宋体" w:eastAsia="仿宋_GB2312" w:cs="仿宋_GB2312"/>
          <w:b w:val="0"/>
          <w:i w:val="0"/>
          <w:caps w:val="0"/>
          <w:color w:val="000000"/>
          <w:spacing w:val="0"/>
          <w:sz w:val="32"/>
          <w:szCs w:val="32"/>
          <w:bdr w:val="none" w:color="auto" w:sz="0" w:space="0"/>
        </w:rPr>
        <w:t>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rPr>
      </w:pPr>
      <w:r>
        <w:rPr>
          <w:rFonts w:hint="eastAsia" w:ascii="仿宋_GB2312" w:hAnsi="宋体" w:eastAsia="仿宋_GB2312" w:cs="仿宋_GB2312"/>
          <w:b w:val="0"/>
          <w:i w:val="0"/>
          <w:caps w:val="0"/>
          <w:color w:val="000000"/>
          <w:spacing w:val="0"/>
          <w:sz w:val="32"/>
          <w:szCs w:val="32"/>
          <w:bdr w:val="none" w:color="auto" w:sz="0" w:space="0"/>
        </w:rPr>
        <w:t>1</w:t>
      </w:r>
      <w:r>
        <w:rPr>
          <w:rFonts w:hint="eastAsia" w:ascii="仿宋_GB2312" w:hAnsi="宋体" w:eastAsia="仿宋_GB2312" w:cs="仿宋_GB2312"/>
          <w:b w:val="0"/>
          <w:i w:val="0"/>
          <w:caps w:val="0"/>
          <w:color w:val="000000"/>
          <w:spacing w:val="0"/>
          <w:sz w:val="32"/>
          <w:szCs w:val="32"/>
          <w:bdr w:val="none" w:color="auto" w:sz="0" w:space="0"/>
          <w:shd w:val="clear" w:fill="FFFFFF"/>
        </w:rPr>
        <w:t>.2020</w:t>
      </w:r>
      <w:r>
        <w:rPr>
          <w:rFonts w:hint="eastAsia" w:ascii="仿宋_GB2312" w:hAnsi="宋体" w:eastAsia="仿宋_GB2312" w:cs="仿宋_GB2312"/>
          <w:b w:val="0"/>
          <w:i w:val="0"/>
          <w:caps w:val="0"/>
          <w:color w:val="000000"/>
          <w:spacing w:val="0"/>
          <w:sz w:val="32"/>
          <w:szCs w:val="32"/>
          <w:bdr w:val="none" w:color="auto" w:sz="0" w:space="0"/>
        </w:rPr>
        <w:t>年度，按照《中华人民共和国政府信息公开条例》要求，认真做好政府信息的主动公开工作，对政府信息进行梳理和编目，通过政务公开网站、“</w:t>
      </w:r>
      <w:r>
        <w:rPr>
          <w:rFonts w:hint="eastAsia" w:ascii="仿宋_GB2312" w:hAnsi="宋体" w:eastAsia="仿宋_GB2312" w:cs="仿宋_GB2312"/>
          <w:b w:val="0"/>
          <w:i w:val="0"/>
          <w:caps w:val="0"/>
          <w:color w:val="000000"/>
          <w:spacing w:val="0"/>
          <w:sz w:val="32"/>
          <w:szCs w:val="32"/>
          <w:bdr w:val="none" w:color="auto" w:sz="0" w:space="0"/>
          <w:lang w:eastAsia="zh-CN"/>
        </w:rPr>
        <w:t>桓台水利</w:t>
      </w:r>
      <w:r>
        <w:rPr>
          <w:rFonts w:hint="eastAsia" w:ascii="仿宋_GB2312" w:hAnsi="宋体" w:eastAsia="仿宋_GB2312" w:cs="仿宋_GB2312"/>
          <w:b w:val="0"/>
          <w:i w:val="0"/>
          <w:caps w:val="0"/>
          <w:color w:val="000000"/>
          <w:spacing w:val="0"/>
          <w:sz w:val="32"/>
          <w:szCs w:val="32"/>
          <w:bdr w:val="none" w:color="auto" w:sz="0" w:space="0"/>
        </w:rPr>
        <w:t>”微信公众</w:t>
      </w:r>
      <w:r>
        <w:rPr>
          <w:rFonts w:hint="eastAsia" w:ascii="仿宋_GB2312" w:hAnsi="宋体" w:eastAsia="仿宋_GB2312" w:cs="仿宋_GB2312"/>
          <w:b w:val="0"/>
          <w:i w:val="0"/>
          <w:caps w:val="0"/>
          <w:color w:val="000000"/>
          <w:spacing w:val="0"/>
          <w:sz w:val="32"/>
          <w:szCs w:val="32"/>
          <w:bdr w:val="none" w:color="auto" w:sz="0" w:space="0"/>
          <w:lang w:eastAsia="zh-CN"/>
        </w:rPr>
        <w:t>号</w:t>
      </w:r>
      <w:r>
        <w:rPr>
          <w:rFonts w:hint="eastAsia" w:ascii="仿宋_GB2312" w:hAnsi="宋体" w:eastAsia="仿宋_GB2312" w:cs="仿宋_GB2312"/>
          <w:b w:val="0"/>
          <w:i w:val="0"/>
          <w:caps w:val="0"/>
          <w:color w:val="000000"/>
          <w:spacing w:val="0"/>
          <w:sz w:val="32"/>
          <w:szCs w:val="32"/>
          <w:bdr w:val="none" w:color="auto" w:sz="0" w:space="0"/>
        </w:rPr>
        <w:t>等平台，全年累计报送各类信息</w:t>
      </w:r>
      <w:r>
        <w:rPr>
          <w:rFonts w:hint="eastAsia" w:ascii="仿宋_GB2312" w:hAnsi="宋体" w:eastAsia="仿宋_GB2312" w:cs="仿宋_GB2312"/>
          <w:b w:val="0"/>
          <w:i w:val="0"/>
          <w:caps w:val="0"/>
          <w:color w:val="FF0000"/>
          <w:spacing w:val="0"/>
          <w:sz w:val="32"/>
          <w:szCs w:val="32"/>
          <w:bdr w:val="none" w:color="auto" w:sz="0" w:space="0"/>
          <w:shd w:val="clear" w:fill="FFFFFF"/>
          <w:lang w:val="en-US" w:eastAsia="zh-CN"/>
        </w:rPr>
        <w:t>213</w:t>
      </w:r>
      <w:r>
        <w:rPr>
          <w:rFonts w:hint="eastAsia" w:ascii="仿宋_GB2312" w:hAnsi="宋体" w:eastAsia="仿宋_GB2312" w:cs="仿宋_GB2312"/>
          <w:b w:val="0"/>
          <w:i w:val="0"/>
          <w:caps w:val="0"/>
          <w:color w:val="000000"/>
          <w:spacing w:val="0"/>
          <w:sz w:val="32"/>
          <w:szCs w:val="32"/>
          <w:bdr w:val="none" w:color="auto" w:sz="0" w:space="0"/>
        </w:rPr>
        <w:t>余条。其中</w:t>
      </w:r>
      <w:r>
        <w:rPr>
          <w:rFonts w:hint="eastAsia" w:ascii="仿宋_GB2312" w:hAnsi="宋体" w:eastAsia="仿宋_GB2312" w:cs="仿宋_GB2312"/>
          <w:b w:val="0"/>
          <w:i w:val="0"/>
          <w:caps w:val="0"/>
          <w:color w:val="000000"/>
          <w:spacing w:val="0"/>
          <w:sz w:val="32"/>
          <w:szCs w:val="32"/>
          <w:bdr w:val="none" w:color="auto" w:sz="0" w:space="0"/>
          <w:lang w:eastAsia="zh-CN"/>
        </w:rPr>
        <w:t>桓台县水利局</w:t>
      </w:r>
      <w:r>
        <w:rPr>
          <w:rFonts w:hint="eastAsia" w:ascii="仿宋_GB2312" w:hAnsi="宋体" w:eastAsia="仿宋_GB2312" w:cs="仿宋_GB2312"/>
          <w:b w:val="0"/>
          <w:i w:val="0"/>
          <w:caps w:val="0"/>
          <w:color w:val="000000"/>
          <w:spacing w:val="0"/>
          <w:sz w:val="32"/>
          <w:szCs w:val="32"/>
          <w:bdr w:val="none" w:color="auto" w:sz="0" w:space="0"/>
        </w:rPr>
        <w:t>信息公开指南</w:t>
      </w:r>
      <w:r>
        <w:rPr>
          <w:rFonts w:hint="eastAsia" w:ascii="仿宋_GB2312" w:hAnsi="宋体" w:eastAsia="仿宋_GB2312" w:cs="仿宋_GB2312"/>
          <w:b w:val="0"/>
          <w:i w:val="0"/>
          <w:caps w:val="0"/>
          <w:color w:val="000000"/>
          <w:spacing w:val="0"/>
          <w:sz w:val="32"/>
          <w:szCs w:val="32"/>
          <w:bdr w:val="none" w:color="auto" w:sz="0" w:space="0"/>
          <w:shd w:val="clear" w:fill="FFFFFF"/>
        </w:rPr>
        <w:t>1</w:t>
      </w:r>
      <w:r>
        <w:rPr>
          <w:rFonts w:hint="eastAsia" w:ascii="仿宋_GB2312" w:hAnsi="宋体" w:eastAsia="仿宋_GB2312" w:cs="仿宋_GB2312"/>
          <w:b w:val="0"/>
          <w:i w:val="0"/>
          <w:caps w:val="0"/>
          <w:color w:val="000000"/>
          <w:spacing w:val="0"/>
          <w:sz w:val="32"/>
          <w:szCs w:val="32"/>
          <w:bdr w:val="none" w:color="auto" w:sz="0" w:space="0"/>
        </w:rPr>
        <w:t>篇，</w:t>
      </w:r>
      <w:r>
        <w:rPr>
          <w:rFonts w:hint="eastAsia" w:ascii="仿宋_GB2312" w:hAnsi="宋体" w:eastAsia="仿宋_GB2312" w:cs="仿宋_GB2312"/>
          <w:b w:val="0"/>
          <w:i w:val="0"/>
          <w:caps w:val="0"/>
          <w:color w:val="000000"/>
          <w:spacing w:val="0"/>
          <w:sz w:val="32"/>
          <w:szCs w:val="32"/>
          <w:lang w:eastAsia="zh-CN"/>
        </w:rPr>
        <w:t>桓台县水利局</w:t>
      </w:r>
      <w:r>
        <w:rPr>
          <w:rFonts w:hint="eastAsia" w:ascii="仿宋_GB2312" w:hAnsi="宋体" w:eastAsia="仿宋_GB2312" w:cs="仿宋_GB2312"/>
          <w:b w:val="0"/>
          <w:i w:val="0"/>
          <w:caps w:val="0"/>
          <w:color w:val="000000"/>
          <w:spacing w:val="0"/>
          <w:sz w:val="32"/>
          <w:szCs w:val="32"/>
          <w:bdr w:val="none" w:color="auto" w:sz="0" w:space="0"/>
        </w:rPr>
        <w:t>信息公开年报</w:t>
      </w:r>
      <w:r>
        <w:rPr>
          <w:rFonts w:hint="eastAsia" w:ascii="仿宋_GB2312" w:hAnsi="宋体" w:eastAsia="仿宋_GB2312" w:cs="仿宋_GB2312"/>
          <w:b w:val="0"/>
          <w:i w:val="0"/>
          <w:caps w:val="0"/>
          <w:color w:val="000000"/>
          <w:spacing w:val="0"/>
          <w:sz w:val="32"/>
          <w:szCs w:val="32"/>
          <w:bdr w:val="none" w:color="auto" w:sz="0" w:space="0"/>
          <w:shd w:val="clear" w:fill="FFFFFF"/>
        </w:rPr>
        <w:t>1</w:t>
      </w:r>
      <w:r>
        <w:rPr>
          <w:rFonts w:hint="eastAsia" w:ascii="仿宋_GB2312" w:hAnsi="宋体" w:eastAsia="仿宋_GB2312" w:cs="仿宋_GB2312"/>
          <w:b w:val="0"/>
          <w:i w:val="0"/>
          <w:caps w:val="0"/>
          <w:color w:val="000000"/>
          <w:spacing w:val="0"/>
          <w:sz w:val="32"/>
          <w:szCs w:val="32"/>
          <w:bdr w:val="none" w:color="auto" w:sz="0" w:space="0"/>
        </w:rPr>
        <w:t>篇，其他信息</w:t>
      </w:r>
      <w:r>
        <w:rPr>
          <w:rFonts w:hint="eastAsia" w:ascii="仿宋_GB2312" w:hAnsi="宋体" w:eastAsia="仿宋_GB2312" w:cs="仿宋_GB2312"/>
          <w:b w:val="0"/>
          <w:i w:val="0"/>
          <w:caps w:val="0"/>
          <w:color w:val="000000"/>
          <w:spacing w:val="0"/>
          <w:sz w:val="32"/>
          <w:szCs w:val="32"/>
          <w:bdr w:val="none" w:color="auto" w:sz="0" w:space="0"/>
          <w:shd w:val="clear" w:fill="FFFFFF"/>
        </w:rPr>
        <w:t>200</w:t>
      </w:r>
      <w:r>
        <w:rPr>
          <w:rFonts w:hint="eastAsia" w:ascii="仿宋_GB2312" w:hAnsi="宋体" w:eastAsia="仿宋_GB2312" w:cs="仿宋_GB2312"/>
          <w:b w:val="0"/>
          <w:i w:val="0"/>
          <w:caps w:val="0"/>
          <w:color w:val="000000"/>
          <w:spacing w:val="0"/>
          <w:sz w:val="32"/>
          <w:szCs w:val="32"/>
          <w:bdr w:val="none" w:color="auto" w:sz="0" w:space="0"/>
        </w:rPr>
        <w:t>余条。以文字、图片、视频等形式，及时发布重大政策和相关政策解读及</w:t>
      </w:r>
      <w:r>
        <w:rPr>
          <w:rFonts w:hint="eastAsia" w:ascii="仿宋_GB2312" w:hAnsi="宋体" w:eastAsia="仿宋_GB2312" w:cs="仿宋_GB2312"/>
          <w:b w:val="0"/>
          <w:i w:val="0"/>
          <w:caps w:val="0"/>
          <w:color w:val="000000"/>
          <w:spacing w:val="0"/>
          <w:sz w:val="32"/>
          <w:szCs w:val="32"/>
          <w:bdr w:val="none" w:color="auto" w:sz="0" w:space="0"/>
          <w:lang w:eastAsia="zh-CN"/>
        </w:rPr>
        <w:t>全县水利系统</w:t>
      </w:r>
      <w:r>
        <w:rPr>
          <w:rFonts w:hint="eastAsia" w:ascii="仿宋_GB2312" w:hAnsi="宋体" w:eastAsia="仿宋_GB2312" w:cs="仿宋_GB2312"/>
          <w:b w:val="0"/>
          <w:i w:val="0"/>
          <w:caps w:val="0"/>
          <w:color w:val="000000"/>
          <w:spacing w:val="0"/>
          <w:sz w:val="32"/>
          <w:szCs w:val="32"/>
          <w:bdr w:val="none" w:color="auto" w:sz="0" w:space="0"/>
        </w:rPr>
        <w:t>重点工作开展情况，积极回应社会关切，得到了广大群众的极大认可。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lang w:eastAsia="zh-CN"/>
        </w:rPr>
      </w:pPr>
      <w:r>
        <w:rPr>
          <w:rFonts w:hint="eastAsia" w:ascii="仿宋_GB2312" w:hAnsi="宋体" w:eastAsia="仿宋_GB2312" w:cs="仿宋_GB2312"/>
          <w:b w:val="0"/>
          <w:i w:val="0"/>
          <w:caps w:val="0"/>
          <w:color w:val="000000"/>
          <w:spacing w:val="0"/>
          <w:sz w:val="32"/>
          <w:szCs w:val="32"/>
          <w:bdr w:val="none" w:color="auto" w:sz="0" w:space="0"/>
          <w:lang w:eastAsia="zh-CN"/>
        </w:rPr>
        <w:drawing>
          <wp:anchor distT="0" distB="0" distL="114300" distR="114300" simplePos="0" relativeHeight="251658240" behindDoc="0" locked="0" layoutInCell="1" allowOverlap="1">
            <wp:simplePos x="0" y="0"/>
            <wp:positionH relativeFrom="column">
              <wp:posOffset>121285</wp:posOffset>
            </wp:positionH>
            <wp:positionV relativeFrom="paragraph">
              <wp:posOffset>247650</wp:posOffset>
            </wp:positionV>
            <wp:extent cx="1758315" cy="2303145"/>
            <wp:effectExtent l="0" t="0" r="9525" b="13335"/>
            <wp:wrapSquare wrapText="bothSides"/>
            <wp:docPr id="1" name="图片 1" descr="桓台水利微信公众号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桓台水利微信公众号截图"/>
                    <pic:cNvPicPr>
                      <a:picLocks noChangeAspect="1"/>
                    </pic:cNvPicPr>
                  </pic:nvPicPr>
                  <pic:blipFill>
                    <a:blip r:embed="rId4"/>
                    <a:srcRect t="11672" b="27888"/>
                    <a:stretch>
                      <a:fillRect/>
                    </a:stretch>
                  </pic:blipFill>
                  <pic:spPr>
                    <a:xfrm>
                      <a:off x="0" y="0"/>
                      <a:ext cx="1758315" cy="2303145"/>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lang w:eastAsia="zh-CN"/>
        </w:rPr>
      </w:pPr>
      <w:r>
        <w:rPr>
          <w:rFonts w:hint="eastAsia" w:ascii="仿宋_GB2312" w:hAnsi="宋体" w:eastAsia="仿宋_GB2312" w:cs="仿宋_GB2312"/>
          <w:b w:val="0"/>
          <w:i w:val="0"/>
          <w:caps w:val="0"/>
          <w:color w:val="000000"/>
          <w:spacing w:val="0"/>
          <w:sz w:val="32"/>
          <w:szCs w:val="32"/>
          <w:shd w:val="clear" w:fill="FFFFFF"/>
          <w:lang w:eastAsia="zh-CN"/>
        </w:rPr>
        <w:drawing>
          <wp:anchor distT="0" distB="0" distL="114300" distR="114300" simplePos="0" relativeHeight="251662336" behindDoc="0" locked="0" layoutInCell="1" allowOverlap="1">
            <wp:simplePos x="0" y="0"/>
            <wp:positionH relativeFrom="column">
              <wp:posOffset>264160</wp:posOffset>
            </wp:positionH>
            <wp:positionV relativeFrom="paragraph">
              <wp:posOffset>192405</wp:posOffset>
            </wp:positionV>
            <wp:extent cx="2522855" cy="1184275"/>
            <wp:effectExtent l="0" t="0" r="6985" b="4445"/>
            <wp:wrapSquare wrapText="bothSides"/>
            <wp:docPr id="2" name="图片 2" descr="融公开平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融公开平台截图"/>
                    <pic:cNvPicPr>
                      <a:picLocks noChangeAspect="1"/>
                    </pic:cNvPicPr>
                  </pic:nvPicPr>
                  <pic:blipFill>
                    <a:blip r:embed="rId5"/>
                    <a:stretch>
                      <a:fillRect/>
                    </a:stretch>
                  </pic:blipFill>
                  <pic:spPr>
                    <a:xfrm>
                      <a:off x="0" y="0"/>
                      <a:ext cx="2522855" cy="1184275"/>
                    </a:xfrm>
                    <a:prstGeom prst="rect">
                      <a:avLst/>
                    </a:prstGeom>
                  </pic:spPr>
                </pic:pic>
              </a:graphicData>
            </a:graphic>
          </wp:anchor>
        </w:drawing>
      </w: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numPr>
          <w:ilvl w:val="0"/>
          <w:numId w:val="1"/>
        </w:numPr>
        <w:ind w:firstLine="640" w:firstLineChars="200"/>
        <w:jc w:val="left"/>
        <w:rPr>
          <w:rFonts w:ascii="宋体" w:hAnsi="宋体" w:eastAsia="宋体" w:cs="宋体"/>
          <w:b w:val="0"/>
          <w:i w:val="0"/>
          <w:caps w:val="0"/>
          <w:color w:val="000000"/>
          <w:spacing w:val="0"/>
          <w:sz w:val="19"/>
          <w:szCs w:val="19"/>
        </w:rPr>
      </w:pPr>
      <w:r>
        <w:rPr>
          <w:rFonts w:ascii="仿宋_GB2312" w:hAnsi="宋体" w:eastAsia="仿宋_GB2312" w:cs="仿宋_GB2312"/>
          <w:b w:val="0"/>
          <w:i w:val="0"/>
          <w:caps w:val="0"/>
          <w:color w:val="000000"/>
          <w:spacing w:val="0"/>
          <w:sz w:val="32"/>
          <w:szCs w:val="32"/>
          <w:bdr w:val="none" w:color="auto" w:sz="0" w:space="0"/>
          <w:shd w:val="clear" w:fill="FFFFFF"/>
        </w:rPr>
        <w:t>人大建议和政协提案。</w:t>
      </w:r>
      <w:r>
        <w:rPr>
          <w:rFonts w:hint="eastAsia" w:ascii="仿宋_GB2312" w:hAnsi="宋体" w:eastAsia="仿宋_GB2312" w:cs="仿宋_GB2312"/>
          <w:b w:val="0"/>
          <w:i w:val="0"/>
          <w:caps w:val="0"/>
          <w:color w:val="000000"/>
          <w:spacing w:val="0"/>
          <w:sz w:val="32"/>
          <w:szCs w:val="32"/>
          <w:bdr w:val="none" w:color="auto" w:sz="0" w:space="0"/>
          <w:shd w:val="clear" w:fill="FFFFFF"/>
        </w:rPr>
        <w:t>2020年，通过网站公开人大代表建议办理情况</w:t>
      </w:r>
      <w:r>
        <w:rPr>
          <w:rFonts w:hint="eastAsia" w:ascii="仿宋_GB2312" w:hAnsi="宋体" w:eastAsia="仿宋_GB2312" w:cs="仿宋_GB2312"/>
          <w:b w:val="0"/>
          <w:i w:val="0"/>
          <w:caps w:val="0"/>
          <w:color w:val="000000"/>
          <w:spacing w:val="0"/>
          <w:sz w:val="32"/>
          <w:szCs w:val="32"/>
          <w:bdr w:val="none" w:color="auto" w:sz="0" w:space="0"/>
          <w:shd w:val="clear" w:fill="FFFFFF"/>
          <w:lang w:val="en-US" w:eastAsia="zh-CN"/>
        </w:rPr>
        <w:t>2</w:t>
      </w:r>
      <w:r>
        <w:rPr>
          <w:rFonts w:hint="eastAsia" w:ascii="仿宋_GB2312" w:hAnsi="宋体" w:eastAsia="仿宋_GB2312" w:cs="仿宋_GB2312"/>
          <w:b w:val="0"/>
          <w:i w:val="0"/>
          <w:caps w:val="0"/>
          <w:color w:val="000000"/>
          <w:spacing w:val="0"/>
          <w:sz w:val="32"/>
          <w:szCs w:val="32"/>
          <w:bdr w:val="none" w:color="auto" w:sz="0" w:space="0"/>
          <w:shd w:val="clear" w:fill="FFFFFF"/>
        </w:rPr>
        <w:t>件，公开政协委员提案办理情况</w:t>
      </w:r>
      <w:r>
        <w:rPr>
          <w:rFonts w:hint="eastAsia" w:ascii="仿宋_GB2312" w:hAnsi="宋体" w:eastAsia="仿宋_GB2312" w:cs="仿宋_GB2312"/>
          <w:b w:val="0"/>
          <w:i w:val="0"/>
          <w:caps w:val="0"/>
          <w:color w:val="000000"/>
          <w:spacing w:val="0"/>
          <w:sz w:val="32"/>
          <w:szCs w:val="32"/>
          <w:bdr w:val="none" w:color="auto" w:sz="0" w:space="0"/>
          <w:shd w:val="clear" w:fill="FFFFFF"/>
          <w:lang w:val="en-US" w:eastAsia="zh-CN"/>
        </w:rPr>
        <w:t>1</w:t>
      </w:r>
      <w:r>
        <w:rPr>
          <w:rFonts w:hint="eastAsia" w:ascii="仿宋_GB2312" w:hAnsi="宋体" w:eastAsia="仿宋_GB2312" w:cs="仿宋_GB2312"/>
          <w:b w:val="0"/>
          <w:i w:val="0"/>
          <w:caps w:val="0"/>
          <w:color w:val="000000"/>
          <w:spacing w:val="0"/>
          <w:sz w:val="32"/>
          <w:szCs w:val="32"/>
          <w:bdr w:val="none" w:color="auto" w:sz="0" w:space="0"/>
          <w:shd w:val="clear" w:fill="FFFFFF"/>
        </w:rPr>
        <w:t>件。</w:t>
      </w:r>
    </w:p>
    <w:p>
      <w:pPr>
        <w:numPr>
          <w:numId w:val="0"/>
        </w:numPr>
        <w:ind w:firstLine="640" w:firstLineChars="200"/>
        <w:jc w:val="left"/>
        <w:rPr>
          <w:rFonts w:ascii="宋体" w:hAnsi="宋体" w:eastAsia="宋体" w:cs="宋体"/>
          <w:b w:val="0"/>
          <w:i w:val="0"/>
          <w:caps w:val="0"/>
          <w:color w:val="000000"/>
          <w:spacing w:val="0"/>
          <w:sz w:val="19"/>
          <w:szCs w:val="19"/>
        </w:rPr>
      </w:pPr>
      <w:r>
        <w:rPr>
          <w:rFonts w:ascii="楷体_GB2312" w:hAnsi="宋体" w:eastAsia="楷体_GB2312" w:cs="楷体_GB2312"/>
          <w:b w:val="0"/>
          <w:i w:val="0"/>
          <w:caps w:val="0"/>
          <w:color w:val="000000"/>
          <w:spacing w:val="0"/>
          <w:sz w:val="32"/>
          <w:szCs w:val="32"/>
          <w:bdr w:val="none" w:color="auto" w:sz="0" w:space="0"/>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rPr>
      </w:pPr>
      <w:r>
        <w:rPr>
          <w:rFonts w:ascii="仿宋_GB2312" w:hAnsi="宋体" w:eastAsia="仿宋_GB2312" w:cs="仿宋_GB2312"/>
          <w:b w:val="0"/>
          <w:i w:val="0"/>
          <w:caps w:val="0"/>
          <w:color w:val="000000"/>
          <w:spacing w:val="0"/>
          <w:sz w:val="32"/>
          <w:szCs w:val="32"/>
          <w:bdr w:val="none" w:color="auto" w:sz="0" w:space="0"/>
          <w:shd w:val="clear" w:fill="FFFFFF"/>
        </w:rPr>
        <w:t>2020</w:t>
      </w:r>
      <w:r>
        <w:rPr>
          <w:rFonts w:hint="eastAsia" w:ascii="仿宋_GB2312" w:hAnsi="宋体" w:eastAsia="仿宋_GB2312" w:cs="仿宋_GB2312"/>
          <w:b w:val="0"/>
          <w:i w:val="0"/>
          <w:caps w:val="0"/>
          <w:color w:val="000000"/>
          <w:spacing w:val="0"/>
          <w:sz w:val="32"/>
          <w:szCs w:val="32"/>
          <w:bdr w:val="none" w:color="auto" w:sz="0" w:space="0"/>
        </w:rPr>
        <w:t>年度</w:t>
      </w:r>
      <w:r>
        <w:rPr>
          <w:rFonts w:hint="eastAsia" w:ascii="仿宋_GB2312" w:hAnsi="宋体" w:eastAsia="仿宋_GB2312" w:cs="仿宋_GB2312"/>
          <w:b w:val="0"/>
          <w:i w:val="0"/>
          <w:caps w:val="0"/>
          <w:color w:val="000000"/>
          <w:spacing w:val="0"/>
          <w:sz w:val="32"/>
          <w:szCs w:val="32"/>
          <w:bdr w:val="none" w:color="auto" w:sz="0" w:space="0"/>
          <w:lang w:eastAsia="zh-CN"/>
        </w:rPr>
        <w:t>桓台县水利局</w:t>
      </w:r>
      <w:r>
        <w:rPr>
          <w:rFonts w:hint="eastAsia" w:ascii="仿宋_GB2312" w:hAnsi="宋体" w:eastAsia="仿宋_GB2312" w:cs="仿宋_GB2312"/>
          <w:b w:val="0"/>
          <w:i w:val="0"/>
          <w:caps w:val="0"/>
          <w:color w:val="000000"/>
          <w:spacing w:val="0"/>
          <w:sz w:val="32"/>
          <w:szCs w:val="32"/>
          <w:bdr w:val="none" w:color="auto" w:sz="0" w:space="0"/>
        </w:rPr>
        <w:t>收到依申请公开</w:t>
      </w:r>
      <w:r>
        <w:rPr>
          <w:rFonts w:hint="eastAsia" w:ascii="仿宋_GB2312" w:hAnsi="宋体" w:eastAsia="仿宋_GB2312" w:cs="仿宋_GB2312"/>
          <w:b w:val="0"/>
          <w:i w:val="0"/>
          <w:caps w:val="0"/>
          <w:color w:val="000000"/>
          <w:spacing w:val="0"/>
          <w:sz w:val="32"/>
          <w:szCs w:val="32"/>
          <w:bdr w:val="none" w:color="auto" w:sz="0" w:space="0"/>
          <w:shd w:val="clear" w:fill="FFFFFF"/>
          <w:lang w:val="en-US" w:eastAsia="zh-CN"/>
        </w:rPr>
        <w:t>1</w:t>
      </w:r>
      <w:r>
        <w:rPr>
          <w:rFonts w:hint="eastAsia" w:ascii="仿宋_GB2312" w:hAnsi="宋体" w:eastAsia="仿宋_GB2312" w:cs="仿宋_GB2312"/>
          <w:b w:val="0"/>
          <w:i w:val="0"/>
          <w:caps w:val="0"/>
          <w:color w:val="000000"/>
          <w:spacing w:val="0"/>
          <w:sz w:val="32"/>
          <w:szCs w:val="32"/>
          <w:bdr w:val="none" w:color="auto" w:sz="0" w:space="0"/>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lang w:eastAsia="zh-CN"/>
        </w:rPr>
      </w:pPr>
      <w:r>
        <w:rPr>
          <w:rFonts w:hint="eastAsia" w:ascii="仿宋_GB2312" w:hAnsi="宋体" w:eastAsia="仿宋_GB2312" w:cs="仿宋_GB2312"/>
          <w:b w:val="0"/>
          <w:i w:val="0"/>
          <w:caps w:val="0"/>
          <w:color w:val="000000"/>
          <w:spacing w:val="0"/>
          <w:sz w:val="32"/>
          <w:szCs w:val="32"/>
          <w:bdr w:val="none" w:color="auto" w:sz="0" w:space="0"/>
          <w:lang w:eastAsia="zh-CN"/>
        </w:rPr>
        <w:drawing>
          <wp:anchor distT="0" distB="0" distL="114300" distR="114300" simplePos="0" relativeHeight="251660288" behindDoc="0" locked="0" layoutInCell="1" allowOverlap="1">
            <wp:simplePos x="0" y="0"/>
            <wp:positionH relativeFrom="column">
              <wp:posOffset>406400</wp:posOffset>
            </wp:positionH>
            <wp:positionV relativeFrom="paragraph">
              <wp:posOffset>45720</wp:posOffset>
            </wp:positionV>
            <wp:extent cx="4048760" cy="1899920"/>
            <wp:effectExtent l="0" t="0" r="5080" b="5080"/>
            <wp:wrapSquare wrapText="bothSides"/>
            <wp:docPr id="3" name="图片 3" descr="依申请公开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依申请公开截图"/>
                    <pic:cNvPicPr>
                      <a:picLocks noChangeAspect="1"/>
                    </pic:cNvPicPr>
                  </pic:nvPicPr>
                  <pic:blipFill>
                    <a:blip r:embed="rId6"/>
                    <a:stretch>
                      <a:fillRect/>
                    </a:stretch>
                  </pic:blipFill>
                  <pic:spPr>
                    <a:xfrm>
                      <a:off x="0" y="0"/>
                      <a:ext cx="4048760" cy="1899920"/>
                    </a:xfrm>
                    <a:prstGeom prst="rect">
                      <a:avLst/>
                    </a:prstGeom>
                  </pic:spPr>
                </pic:pic>
              </a:graphicData>
            </a:graphic>
          </wp:anchor>
        </w:drawing>
      </w:r>
    </w:p>
    <w:p>
      <w:pPr>
        <w:numPr>
          <w:numId w:val="0"/>
        </w:numPr>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宋体" w:hAnsi="宋体" w:eastAsia="宋体" w:cs="宋体"/>
          <w:b w:val="0"/>
          <w:i w:val="0"/>
          <w:caps w:val="0"/>
          <w:color w:val="000000"/>
          <w:spacing w:val="0"/>
          <w:sz w:val="19"/>
          <w:szCs w:val="19"/>
        </w:rPr>
      </w:pPr>
      <w:r>
        <w:rPr>
          <w:rFonts w:ascii="楷体_GB2312" w:hAnsi="宋体" w:eastAsia="楷体_GB2312" w:cs="楷体_GB2312"/>
          <w:b w:val="0"/>
          <w:i w:val="0"/>
          <w:caps w:val="0"/>
          <w:color w:val="000000"/>
          <w:spacing w:val="0"/>
          <w:sz w:val="32"/>
          <w:szCs w:val="32"/>
          <w:bdr w:val="none" w:color="auto" w:sz="0" w:space="0"/>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b w:val="0"/>
          <w:i w:val="0"/>
          <w:caps w:val="0"/>
          <w:color w:val="000000"/>
          <w:spacing w:val="0"/>
          <w:sz w:val="19"/>
          <w:szCs w:val="19"/>
        </w:rPr>
      </w:pPr>
      <w:r>
        <w:rPr>
          <w:rFonts w:ascii="仿宋_GB2312" w:hAnsi="宋体" w:eastAsia="仿宋_GB2312" w:cs="仿宋_GB2312"/>
          <w:b w:val="0"/>
          <w:i w:val="0"/>
          <w:caps w:val="0"/>
          <w:color w:val="000000"/>
          <w:spacing w:val="0"/>
          <w:sz w:val="32"/>
          <w:szCs w:val="32"/>
          <w:bdr w:val="none" w:color="auto" w:sz="0" w:space="0"/>
        </w:rPr>
        <w:t>在政府信息公开工作推进过程中，本着</w:t>
      </w:r>
      <w:r>
        <w:rPr>
          <w:rFonts w:hint="eastAsia" w:ascii="仿宋_GB2312" w:hAnsi="宋体" w:eastAsia="仿宋_GB2312" w:cs="仿宋_GB2312"/>
          <w:b w:val="0"/>
          <w:i w:val="0"/>
          <w:caps w:val="0"/>
          <w:color w:val="000000"/>
          <w:spacing w:val="0"/>
          <w:sz w:val="32"/>
          <w:szCs w:val="32"/>
          <w:bdr w:val="none" w:color="auto" w:sz="0" w:space="0"/>
        </w:rPr>
        <w:t>“规范、明了、方便、实用”的原则，根据</w:t>
      </w:r>
      <w:r>
        <w:rPr>
          <w:rFonts w:hint="eastAsia" w:ascii="仿宋_GB2312" w:hAnsi="宋体" w:eastAsia="仿宋_GB2312" w:cs="仿宋_GB2312"/>
          <w:b w:val="0"/>
          <w:i w:val="0"/>
          <w:caps w:val="0"/>
          <w:color w:val="000000"/>
          <w:spacing w:val="0"/>
          <w:sz w:val="32"/>
          <w:szCs w:val="32"/>
          <w:bdr w:val="none" w:color="auto" w:sz="0" w:space="0"/>
          <w:lang w:eastAsia="zh-CN"/>
        </w:rPr>
        <w:t>单位工作</w:t>
      </w:r>
      <w:r>
        <w:rPr>
          <w:rFonts w:hint="eastAsia" w:ascii="仿宋_GB2312" w:hAnsi="宋体" w:eastAsia="仿宋_GB2312" w:cs="仿宋_GB2312"/>
          <w:b w:val="0"/>
          <w:i w:val="0"/>
          <w:caps w:val="0"/>
          <w:color w:val="000000"/>
          <w:spacing w:val="0"/>
          <w:sz w:val="32"/>
          <w:szCs w:val="32"/>
          <w:bdr w:val="none" w:color="auto" w:sz="0" w:space="0"/>
        </w:rPr>
        <w:t>实际，突出重点，创新形式，不断提高政府信息公开工作水平，不断深化和丰富公开内容，主动向社会公开各类信息。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宋体" w:hAnsi="宋体" w:eastAsia="宋体" w:cs="宋体"/>
          <w:b w:val="0"/>
          <w:i w:val="0"/>
          <w:caps w:val="0"/>
          <w:color w:val="000000"/>
          <w:spacing w:val="0"/>
          <w:sz w:val="19"/>
          <w:szCs w:val="19"/>
        </w:rPr>
      </w:pPr>
      <w:r>
        <w:rPr>
          <w:rFonts w:hint="default" w:ascii="楷体_GB2312" w:hAnsi="宋体" w:eastAsia="楷体_GB2312" w:cs="楷体_GB2312"/>
          <w:b w:val="0"/>
          <w:i w:val="0"/>
          <w:caps w:val="0"/>
          <w:color w:val="000000"/>
          <w:spacing w:val="0"/>
          <w:sz w:val="32"/>
          <w:szCs w:val="32"/>
          <w:bdr w:val="none" w:color="auto" w:sz="0" w:space="0"/>
        </w:rPr>
        <w:t>（四）平台建设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rPr>
      </w:pPr>
      <w:r>
        <w:rPr>
          <w:rFonts w:hint="eastAsia" w:ascii="仿宋_GB2312" w:hAnsi="宋体" w:eastAsia="仿宋_GB2312" w:cs="仿宋_GB2312"/>
          <w:b w:val="0"/>
          <w:i w:val="0"/>
          <w:caps w:val="0"/>
          <w:color w:val="000000"/>
          <w:spacing w:val="0"/>
          <w:sz w:val="32"/>
          <w:szCs w:val="32"/>
          <w:bdr w:val="none" w:color="auto" w:sz="0" w:space="0"/>
        </w:rPr>
        <w:t>切实规范完善平台建设，确保信息准确及时发布。按照</w:t>
      </w:r>
      <w:r>
        <w:rPr>
          <w:rFonts w:hint="eastAsia" w:ascii="仿宋_GB2312" w:hAnsi="宋体" w:eastAsia="仿宋_GB2312" w:cs="仿宋_GB2312"/>
          <w:b w:val="0"/>
          <w:i w:val="0"/>
          <w:caps w:val="0"/>
          <w:color w:val="000000"/>
          <w:spacing w:val="0"/>
          <w:sz w:val="32"/>
          <w:szCs w:val="32"/>
          <w:bdr w:val="none" w:color="auto" w:sz="0" w:space="0"/>
          <w:lang w:eastAsia="zh-CN"/>
        </w:rPr>
        <w:t>县</w:t>
      </w:r>
      <w:r>
        <w:rPr>
          <w:rFonts w:hint="eastAsia" w:ascii="仿宋_GB2312" w:hAnsi="宋体" w:eastAsia="仿宋_GB2312" w:cs="仿宋_GB2312"/>
          <w:b w:val="0"/>
          <w:i w:val="0"/>
          <w:caps w:val="0"/>
          <w:color w:val="000000"/>
          <w:spacing w:val="0"/>
          <w:sz w:val="32"/>
          <w:szCs w:val="32"/>
          <w:bdr w:val="none" w:color="auto" w:sz="0" w:space="0"/>
        </w:rPr>
        <w:t>政府办的统一要求，编制更新信息公开目录，补充完善</w:t>
      </w:r>
      <w:r>
        <w:rPr>
          <w:rFonts w:hint="eastAsia" w:ascii="仿宋_GB2312" w:hAnsi="宋体" w:eastAsia="仿宋_GB2312" w:cs="仿宋_GB2312"/>
          <w:b w:val="0"/>
          <w:i w:val="0"/>
          <w:caps w:val="0"/>
          <w:color w:val="000000"/>
          <w:spacing w:val="0"/>
          <w:sz w:val="32"/>
          <w:szCs w:val="32"/>
          <w:bdr w:val="none" w:color="auto" w:sz="0" w:space="0"/>
          <w:lang w:eastAsia="zh-CN"/>
        </w:rPr>
        <w:t>各个</w:t>
      </w:r>
      <w:r>
        <w:rPr>
          <w:rFonts w:hint="eastAsia" w:ascii="仿宋_GB2312" w:hAnsi="宋体" w:eastAsia="仿宋_GB2312" w:cs="仿宋_GB2312"/>
          <w:b w:val="0"/>
          <w:i w:val="0"/>
          <w:caps w:val="0"/>
          <w:color w:val="000000"/>
          <w:spacing w:val="0"/>
          <w:sz w:val="32"/>
          <w:szCs w:val="32"/>
          <w:bdr w:val="none" w:color="auto" w:sz="0" w:space="0"/>
        </w:rPr>
        <w:t>栏目；编制主动公开目录。认真做好新旧平台的信息管理及维护工作，及时更新平台的信息公开栏目并做好日常维护，确保信息发布的规范性及时效性，以准确及时地反映各项工作动态。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lang w:eastAsia="zh-CN"/>
        </w:rPr>
      </w:pPr>
      <w:r>
        <w:rPr>
          <w:rFonts w:hint="eastAsia" w:ascii="仿宋_GB2312" w:hAnsi="宋体" w:eastAsia="仿宋_GB2312" w:cs="仿宋_GB2312"/>
          <w:b w:val="0"/>
          <w:i w:val="0"/>
          <w:caps w:val="0"/>
          <w:color w:val="000000"/>
          <w:spacing w:val="0"/>
          <w:sz w:val="32"/>
          <w:szCs w:val="32"/>
          <w:bdr w:val="none" w:color="auto" w:sz="0" w:space="0"/>
          <w:lang w:eastAsia="zh-CN"/>
        </w:rPr>
        <w:drawing>
          <wp:anchor distT="0" distB="0" distL="114300" distR="114300" simplePos="0" relativeHeight="251663360" behindDoc="0" locked="0" layoutInCell="1" allowOverlap="1">
            <wp:simplePos x="0" y="0"/>
            <wp:positionH relativeFrom="column">
              <wp:posOffset>406400</wp:posOffset>
            </wp:positionH>
            <wp:positionV relativeFrom="paragraph">
              <wp:posOffset>60960</wp:posOffset>
            </wp:positionV>
            <wp:extent cx="4361180" cy="2046605"/>
            <wp:effectExtent l="0" t="0" r="12700" b="10795"/>
            <wp:wrapSquare wrapText="bothSides"/>
            <wp:docPr id="4" name="图片 4" descr="平台建设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平台建设截图"/>
                    <pic:cNvPicPr>
                      <a:picLocks noChangeAspect="1"/>
                    </pic:cNvPicPr>
                  </pic:nvPicPr>
                  <pic:blipFill>
                    <a:blip r:embed="rId7"/>
                    <a:stretch>
                      <a:fillRect/>
                    </a:stretch>
                  </pic:blipFill>
                  <pic:spPr>
                    <a:xfrm>
                      <a:off x="0" y="0"/>
                      <a:ext cx="4361180" cy="2046605"/>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宋体" w:hAnsi="宋体" w:eastAsia="宋体" w:cs="宋体"/>
          <w:b w:val="0"/>
          <w:i w:val="0"/>
          <w:caps w:val="0"/>
          <w:color w:val="000000"/>
          <w:spacing w:val="0"/>
          <w:sz w:val="19"/>
          <w:szCs w:val="19"/>
        </w:rPr>
      </w:pPr>
      <w:r>
        <w:rPr>
          <w:rFonts w:ascii="楷体_GB2312" w:hAnsi="宋体" w:eastAsia="楷体_GB2312" w:cs="楷体_GB2312"/>
          <w:b w:val="0"/>
          <w:i w:val="0"/>
          <w:caps w:val="0"/>
          <w:color w:val="000000"/>
          <w:spacing w:val="0"/>
          <w:sz w:val="32"/>
          <w:szCs w:val="32"/>
          <w:bdr w:val="none" w:color="auto" w:sz="0" w:space="0"/>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b w:val="0"/>
          <w:i w:val="0"/>
          <w:caps w:val="0"/>
          <w:color w:val="000000"/>
          <w:spacing w:val="0"/>
          <w:sz w:val="19"/>
          <w:szCs w:val="19"/>
        </w:rPr>
      </w:pPr>
      <w:r>
        <w:rPr>
          <w:rFonts w:ascii="仿宋_GB2312" w:hAnsi="宋体" w:eastAsia="仿宋_GB2312" w:cs="仿宋_GB2312"/>
          <w:b w:val="0"/>
          <w:i w:val="0"/>
          <w:caps w:val="0"/>
          <w:color w:val="000000"/>
          <w:spacing w:val="0"/>
          <w:sz w:val="32"/>
          <w:szCs w:val="32"/>
          <w:bdr w:val="none" w:color="auto" w:sz="0" w:space="0"/>
        </w:rPr>
        <w:t>1.明确责任，建立健全组织领导机制。</w:t>
      </w:r>
      <w:r>
        <w:rPr>
          <w:rFonts w:hint="eastAsia" w:ascii="仿宋_GB2312" w:hAnsi="宋体" w:eastAsia="仿宋_GB2312" w:cs="仿宋_GB2312"/>
          <w:b w:val="0"/>
          <w:i w:val="0"/>
          <w:caps w:val="0"/>
          <w:color w:val="000000"/>
          <w:spacing w:val="0"/>
          <w:sz w:val="32"/>
          <w:szCs w:val="32"/>
          <w:bdr w:val="none" w:color="auto" w:sz="0" w:space="0"/>
          <w:shd w:val="clear" w:fill="FFFFFF"/>
        </w:rPr>
        <w:t>2020</w:t>
      </w:r>
      <w:r>
        <w:rPr>
          <w:rFonts w:hint="eastAsia" w:ascii="仿宋_GB2312" w:hAnsi="宋体" w:eastAsia="仿宋_GB2312" w:cs="仿宋_GB2312"/>
          <w:b w:val="0"/>
          <w:i w:val="0"/>
          <w:caps w:val="0"/>
          <w:color w:val="000000"/>
          <w:spacing w:val="0"/>
          <w:sz w:val="32"/>
          <w:szCs w:val="32"/>
          <w:bdr w:val="none" w:color="auto" w:sz="0" w:space="0"/>
        </w:rPr>
        <w:t>年，为保证</w:t>
      </w:r>
      <w:r>
        <w:rPr>
          <w:rFonts w:hint="eastAsia" w:ascii="仿宋_GB2312" w:hAnsi="宋体" w:eastAsia="仿宋_GB2312" w:cs="仿宋_GB2312"/>
          <w:b w:val="0"/>
          <w:i w:val="0"/>
          <w:caps w:val="0"/>
          <w:color w:val="000000"/>
          <w:spacing w:val="0"/>
          <w:sz w:val="32"/>
          <w:szCs w:val="32"/>
          <w:bdr w:val="none" w:color="auto" w:sz="0" w:space="0"/>
          <w:lang w:eastAsia="zh-CN"/>
        </w:rPr>
        <w:t>我局</w:t>
      </w:r>
      <w:r>
        <w:rPr>
          <w:rFonts w:hint="eastAsia" w:ascii="仿宋_GB2312" w:hAnsi="宋体" w:eastAsia="仿宋_GB2312" w:cs="仿宋_GB2312"/>
          <w:b w:val="0"/>
          <w:i w:val="0"/>
          <w:caps w:val="0"/>
          <w:color w:val="000000"/>
          <w:spacing w:val="0"/>
          <w:sz w:val="32"/>
          <w:szCs w:val="32"/>
          <w:bdr w:val="none" w:color="auto" w:sz="0" w:space="0"/>
        </w:rPr>
        <w:t>政府信息公开工作的有效实施，加强对政府信息公开工作的领导，及时调整了政府信息公开工作领导小组成员，安排部署政府信息公开工作，健全了由主要领导负总责，分管领导主抓，办公室具体负责，专人处理政府信息文件的分工及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rPr>
      </w:pPr>
      <w:r>
        <w:rPr>
          <w:rFonts w:hint="eastAsia" w:ascii="仿宋_GB2312" w:hAnsi="宋体" w:eastAsia="仿宋_GB2312" w:cs="仿宋_GB2312"/>
          <w:b w:val="0"/>
          <w:i w:val="0"/>
          <w:caps w:val="0"/>
          <w:color w:val="000000"/>
          <w:spacing w:val="0"/>
          <w:sz w:val="32"/>
          <w:szCs w:val="32"/>
          <w:bdr w:val="none" w:color="auto" w:sz="0" w:space="0"/>
        </w:rPr>
        <w:t>2.强化监督，完善公开制度。</w:t>
      </w:r>
      <w:r>
        <w:rPr>
          <w:rFonts w:hint="eastAsia" w:ascii="仿宋_GB2312" w:hAnsi="宋体" w:eastAsia="仿宋_GB2312" w:cs="仿宋_GB2312"/>
          <w:b w:val="0"/>
          <w:i w:val="0"/>
          <w:caps w:val="0"/>
          <w:color w:val="000000"/>
          <w:spacing w:val="0"/>
          <w:sz w:val="32"/>
          <w:szCs w:val="32"/>
          <w:bdr w:val="none" w:color="auto" w:sz="0" w:space="0"/>
          <w:shd w:val="clear" w:fill="FFFFFF"/>
        </w:rPr>
        <w:t>2020</w:t>
      </w:r>
      <w:r>
        <w:rPr>
          <w:rFonts w:hint="eastAsia" w:ascii="仿宋_GB2312" w:hAnsi="宋体" w:eastAsia="仿宋_GB2312" w:cs="仿宋_GB2312"/>
          <w:b w:val="0"/>
          <w:i w:val="0"/>
          <w:caps w:val="0"/>
          <w:color w:val="000000"/>
          <w:spacing w:val="0"/>
          <w:sz w:val="32"/>
          <w:szCs w:val="32"/>
          <w:bdr w:val="none" w:color="auto" w:sz="0" w:space="0"/>
        </w:rPr>
        <w:t>年，进一步完善信息公开机制，建立健全长效管理机制，围绕中心工作，及时、准确填报应公开的信息，重点做好社会关注、群众关心信息的公开，方便群众网上查看。严格遵守信息保密审查制度，确保涉密信息不公开，公开信息不涉密。同时，强化监督检查工作，实行定期检查与不定期检查相结合，鼓励广大干部、群众积极参与监督，积极反映公开过程中存在的突出问题，使公开工作更加扎实、有序开展。</w:t>
      </w:r>
    </w:p>
    <w:p>
      <w:pPr>
        <w:rPr>
          <w:rFonts w:hint="eastAsia"/>
          <w:b/>
          <w:sz w:val="28"/>
          <w:szCs w:val="28"/>
        </w:rPr>
      </w:pPr>
      <w:r>
        <w:rPr>
          <w:rFonts w:hint="eastAsia"/>
          <w:b/>
          <w:sz w:val="28"/>
          <w:szCs w:val="28"/>
        </w:rPr>
        <w:t>二、主动公开政府信息情况</w:t>
      </w:r>
    </w:p>
    <w:p>
      <w:pPr>
        <w:rPr>
          <w:rFonts w:hint="eastAsia"/>
          <w:b/>
          <w:sz w:val="24"/>
          <w:szCs w:val="24"/>
        </w:rPr>
      </w:pP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rFonts w:hint="eastAsia"/>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rFonts w:hint="eastAsia"/>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sz w:val="24"/>
                <w:szCs w:val="24"/>
              </w:rPr>
            </w:pPr>
            <w:r>
              <w:rPr>
                <w:rFonts w:hint="eastAsia"/>
                <w:sz w:val="24"/>
                <w:szCs w:val="24"/>
              </w:rPr>
              <w:t>规章</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eastAsia"/>
                <w:sz w:val="24"/>
                <w:szCs w:val="24"/>
              </w:rPr>
            </w:pPr>
            <w:r>
              <w:rPr>
                <w:rFonts w:hint="eastAsia"/>
                <w:sz w:val="24"/>
                <w:szCs w:val="24"/>
              </w:rPr>
              <w:t>规范性文件</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0</w:t>
            </w:r>
          </w:p>
        </w:tc>
        <w:tc>
          <w:tcPr>
            <w:tcW w:w="2030" w:type="dxa"/>
            <w:vAlign w:val="center"/>
          </w:tcPr>
          <w:p>
            <w:pPr>
              <w:rPr>
                <w:rFonts w:hint="default"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sz w:val="24"/>
                <w:szCs w:val="24"/>
              </w:rPr>
            </w:pPr>
            <w:r>
              <w:rPr>
                <w:rFonts w:hint="eastAsia"/>
                <w:sz w:val="24"/>
                <w:szCs w:val="24"/>
              </w:rPr>
              <w:t>行政许可</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10</w:t>
            </w:r>
          </w:p>
        </w:tc>
        <w:tc>
          <w:tcPr>
            <w:tcW w:w="2030" w:type="dxa"/>
            <w:vAlign w:val="center"/>
          </w:tcPr>
          <w:p>
            <w:pPr>
              <w:rPr>
                <w:rFonts w:hint="default" w:eastAsiaTheme="minorEastAsia"/>
                <w:sz w:val="24"/>
                <w:szCs w:val="24"/>
                <w:lang w:val="en-US" w:eastAsia="zh-CN"/>
              </w:rPr>
            </w:pPr>
            <w:r>
              <w:rPr>
                <w:rFonts w:hint="eastAsia"/>
                <w:sz w:val="24"/>
                <w:szCs w:val="24"/>
                <w:lang w:val="en-US" w:eastAsia="zh-CN"/>
              </w:rPr>
              <w:t>-10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sz w:val="24"/>
                <w:szCs w:val="24"/>
              </w:rPr>
            </w:pPr>
            <w:r>
              <w:rPr>
                <w:rFonts w:hint="eastAsia"/>
                <w:sz w:val="24"/>
                <w:szCs w:val="24"/>
              </w:rPr>
              <w:t>其他对外管理服务事项</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eastAsia="zh-CN"/>
              </w:rPr>
            </w:pPr>
            <w:r>
              <w:rPr>
                <w:rFonts w:hint="eastAsia"/>
                <w:sz w:val="24"/>
                <w:szCs w:val="24"/>
                <w:lang w:eastAsia="zh-CN"/>
              </w:rPr>
              <w:t>不变</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行政处罚</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201</w:t>
            </w:r>
          </w:p>
        </w:tc>
        <w:tc>
          <w:tcPr>
            <w:tcW w:w="2030" w:type="dxa"/>
            <w:vAlign w:val="center"/>
          </w:tcPr>
          <w:p>
            <w:pPr>
              <w:rPr>
                <w:rFonts w:hint="eastAsia" w:eastAsiaTheme="minorEastAsia"/>
                <w:sz w:val="24"/>
                <w:szCs w:val="24"/>
                <w:lang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行政强制</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18</w:t>
            </w:r>
          </w:p>
        </w:tc>
        <w:tc>
          <w:tcPr>
            <w:tcW w:w="2030" w:type="dxa"/>
            <w:vAlign w:val="center"/>
          </w:tcPr>
          <w:p>
            <w:pPr>
              <w:rPr>
                <w:rFonts w:hint="eastAsia" w:eastAsiaTheme="minorEastAsia"/>
                <w:sz w:val="24"/>
                <w:szCs w:val="24"/>
                <w:lang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4252" w:type="dxa"/>
            <w:gridSpan w:val="2"/>
            <w:vAlign w:val="center"/>
          </w:tcPr>
          <w:p>
            <w:pPr>
              <w:jc w:val="center"/>
              <w:rPr>
                <w:rFonts w:hint="eastAsia"/>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sz w:val="24"/>
                <w:szCs w:val="24"/>
              </w:rPr>
            </w:pPr>
            <w:r>
              <w:rPr>
                <w:rFonts w:hint="eastAsia"/>
                <w:sz w:val="24"/>
                <w:szCs w:val="24"/>
              </w:rPr>
              <w:t>行政事业性收费</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0</w:t>
            </w:r>
          </w:p>
        </w:tc>
        <w:tc>
          <w:tcPr>
            <w:tcW w:w="4252" w:type="dxa"/>
            <w:gridSpan w:val="2"/>
            <w:vAlign w:val="center"/>
          </w:tcPr>
          <w:p>
            <w:pPr>
              <w:jc w:val="center"/>
              <w:rPr>
                <w:rFonts w:hint="eastAsia" w:eastAsiaTheme="minorEastAsia"/>
                <w:sz w:val="24"/>
                <w:szCs w:val="24"/>
                <w:lang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采购项目数量</w:t>
            </w:r>
          </w:p>
        </w:tc>
        <w:tc>
          <w:tcPr>
            <w:tcW w:w="4252" w:type="dxa"/>
            <w:gridSpan w:val="2"/>
            <w:vAlign w:val="center"/>
          </w:tcPr>
          <w:p>
            <w:pPr>
              <w:jc w:val="center"/>
              <w:rPr>
                <w:rFonts w:hint="eastAsia"/>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eastAsia"/>
                <w:sz w:val="24"/>
                <w:szCs w:val="24"/>
              </w:rPr>
            </w:pPr>
            <w:r>
              <w:rPr>
                <w:rFonts w:hint="eastAsia"/>
                <w:sz w:val="24"/>
                <w:szCs w:val="24"/>
              </w:rPr>
              <w:t>政府集中采购</w:t>
            </w:r>
          </w:p>
        </w:tc>
        <w:tc>
          <w:tcPr>
            <w:tcW w:w="1985" w:type="dxa"/>
            <w:vAlign w:val="center"/>
          </w:tcPr>
          <w:p>
            <w:pPr>
              <w:rPr>
                <w:rFonts w:hint="eastAsia" w:eastAsiaTheme="minorEastAsia"/>
                <w:sz w:val="24"/>
                <w:szCs w:val="24"/>
                <w:lang w:eastAsia="zh-CN"/>
              </w:rPr>
            </w:pPr>
          </w:p>
        </w:tc>
        <w:tc>
          <w:tcPr>
            <w:tcW w:w="4252" w:type="dxa"/>
            <w:gridSpan w:val="2"/>
            <w:vAlign w:val="center"/>
          </w:tcPr>
          <w:p>
            <w:pPr>
              <w:rPr>
                <w:rFonts w:hint="default" w:eastAsiaTheme="minorEastAsia"/>
                <w:sz w:val="24"/>
                <w:szCs w:val="24"/>
                <w:lang w:val="en-US" w:eastAsia="zh-CN"/>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rPr>
      </w:pPr>
      <w:r>
        <w:rPr>
          <w:rFonts w:ascii="黑体" w:hAnsi="宋体" w:eastAsia="黑体" w:cs="黑体"/>
          <w:b w:val="0"/>
          <w:i w:val="0"/>
          <w:caps w:val="0"/>
          <w:color w:val="000000"/>
          <w:spacing w:val="0"/>
          <w:sz w:val="25"/>
          <w:szCs w:val="25"/>
          <w:shd w:val="clear" w:fill="FFFFFF"/>
        </w:rPr>
        <w:t>三、收到和处理政府信息公开申请情况</w:t>
      </w:r>
    </w:p>
    <w:tbl>
      <w:tblPr>
        <w:tblStyle w:val="4"/>
        <w:tblW w:w="852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0"/>
        <w:gridCol w:w="1140"/>
        <w:gridCol w:w="1880"/>
        <w:gridCol w:w="580"/>
        <w:gridCol w:w="620"/>
        <w:gridCol w:w="640"/>
        <w:gridCol w:w="780"/>
        <w:gridCol w:w="780"/>
        <w:gridCol w:w="480"/>
        <w:gridCol w:w="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4140" w:type="dxa"/>
            <w:gridSpan w:val="3"/>
            <w:vMerge w:val="restart"/>
            <w:noWrap w:val="0"/>
            <w:vAlign w:val="top"/>
          </w:tcPr>
          <w:p>
            <w:pPr>
              <w:pStyle w:val="7"/>
              <w:rPr>
                <w:sz w:val="22"/>
              </w:rPr>
            </w:pPr>
          </w:p>
          <w:p>
            <w:pPr>
              <w:pStyle w:val="7"/>
              <w:rPr>
                <w:sz w:val="22"/>
              </w:rPr>
            </w:pPr>
          </w:p>
          <w:p>
            <w:pPr>
              <w:pStyle w:val="7"/>
              <w:spacing w:before="9" w:beforeLines="0"/>
              <w:rPr>
                <w:sz w:val="20"/>
              </w:rPr>
            </w:pPr>
          </w:p>
          <w:p>
            <w:pPr>
              <w:pStyle w:val="7"/>
              <w:spacing w:before="1" w:beforeLines="0" w:line="273" w:lineRule="auto"/>
              <w:ind w:left="479" w:right="77" w:hanging="380"/>
              <w:rPr>
                <w:sz w:val="22"/>
              </w:rPr>
            </w:pPr>
            <w:r>
              <w:rPr>
                <w:sz w:val="22"/>
              </w:rPr>
              <w:t>（</w:t>
            </w:r>
            <w:r>
              <w:rPr>
                <w:spacing w:val="-19"/>
                <w:sz w:val="22"/>
              </w:rPr>
              <w:t>本列数据的勾稽关系为：第一项加第二项</w:t>
            </w:r>
            <w:r>
              <w:rPr>
                <w:spacing w:val="-13"/>
                <w:sz w:val="22"/>
              </w:rPr>
              <w:t>之和，等于第三项加第四项之和</w:t>
            </w:r>
            <w:r>
              <w:rPr>
                <w:sz w:val="22"/>
              </w:rPr>
              <w:t>）</w:t>
            </w:r>
          </w:p>
        </w:tc>
        <w:tc>
          <w:tcPr>
            <w:tcW w:w="4380" w:type="dxa"/>
            <w:gridSpan w:val="7"/>
            <w:noWrap w:val="0"/>
            <w:vAlign w:val="top"/>
          </w:tcPr>
          <w:p>
            <w:pPr>
              <w:pStyle w:val="7"/>
              <w:spacing w:before="70" w:beforeLines="0"/>
              <w:ind w:left="1620" w:right="1600"/>
              <w:jc w:val="center"/>
              <w:rPr>
                <w:sz w:val="22"/>
              </w:rPr>
            </w:pPr>
            <w:r>
              <w:rPr>
                <w:sz w:val="22"/>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140" w:type="dxa"/>
            <w:gridSpan w:val="3"/>
            <w:vMerge w:val="continue"/>
            <w:tcBorders>
              <w:top w:val="nil"/>
            </w:tcBorders>
            <w:noWrap w:val="0"/>
            <w:vAlign w:val="top"/>
          </w:tcPr>
          <w:p>
            <w:pPr>
              <w:rPr>
                <w:sz w:val="2"/>
                <w:szCs w:val="2"/>
              </w:rPr>
            </w:pPr>
          </w:p>
        </w:tc>
        <w:tc>
          <w:tcPr>
            <w:tcW w:w="580" w:type="dxa"/>
            <w:vMerge w:val="restart"/>
            <w:noWrap w:val="0"/>
            <w:vAlign w:val="top"/>
          </w:tcPr>
          <w:p>
            <w:pPr>
              <w:pStyle w:val="7"/>
              <w:rPr>
                <w:sz w:val="22"/>
              </w:rPr>
            </w:pPr>
          </w:p>
          <w:p>
            <w:pPr>
              <w:pStyle w:val="7"/>
              <w:spacing w:before="148" w:beforeLines="0" w:line="273" w:lineRule="auto"/>
              <w:ind w:left="180" w:right="157"/>
              <w:jc w:val="both"/>
              <w:rPr>
                <w:sz w:val="22"/>
              </w:rPr>
            </w:pPr>
            <w:r>
              <w:rPr>
                <w:sz w:val="22"/>
              </w:rPr>
              <w:t>自然人</w:t>
            </w:r>
          </w:p>
        </w:tc>
        <w:tc>
          <w:tcPr>
            <w:tcW w:w="3300" w:type="dxa"/>
            <w:gridSpan w:val="5"/>
            <w:noWrap w:val="0"/>
            <w:vAlign w:val="top"/>
          </w:tcPr>
          <w:p>
            <w:pPr>
              <w:pStyle w:val="7"/>
              <w:spacing w:before="130" w:beforeLines="0"/>
              <w:ind w:left="900"/>
              <w:rPr>
                <w:sz w:val="22"/>
              </w:rPr>
            </w:pPr>
            <w:r>
              <w:rPr>
                <w:sz w:val="22"/>
              </w:rPr>
              <w:t>法人或其他组织</w:t>
            </w:r>
          </w:p>
        </w:tc>
        <w:tc>
          <w:tcPr>
            <w:tcW w:w="500" w:type="dxa"/>
            <w:vMerge w:val="restart"/>
            <w:noWrap w:val="0"/>
            <w:vAlign w:val="top"/>
          </w:tcPr>
          <w:p>
            <w:pPr>
              <w:pStyle w:val="7"/>
              <w:rPr>
                <w:sz w:val="22"/>
              </w:rPr>
            </w:pPr>
          </w:p>
          <w:p>
            <w:pPr>
              <w:pStyle w:val="7"/>
              <w:rPr>
                <w:sz w:val="24"/>
              </w:rPr>
            </w:pPr>
          </w:p>
          <w:p>
            <w:pPr>
              <w:pStyle w:val="7"/>
              <w:spacing w:line="273" w:lineRule="auto"/>
              <w:ind w:left="139" w:right="118"/>
              <w:rPr>
                <w:sz w:val="22"/>
              </w:rPr>
            </w:pPr>
            <w:r>
              <w:rPr>
                <w:sz w:val="22"/>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40" w:hRule="atLeast"/>
        </w:trPr>
        <w:tc>
          <w:tcPr>
            <w:tcW w:w="4140" w:type="dxa"/>
            <w:gridSpan w:val="3"/>
            <w:vMerge w:val="continue"/>
            <w:tcBorders>
              <w:top w:val="nil"/>
            </w:tcBorders>
            <w:noWrap w:val="0"/>
            <w:vAlign w:val="top"/>
          </w:tcPr>
          <w:p>
            <w:pPr>
              <w:rPr>
                <w:sz w:val="2"/>
                <w:szCs w:val="2"/>
              </w:rPr>
            </w:pPr>
          </w:p>
        </w:tc>
        <w:tc>
          <w:tcPr>
            <w:tcW w:w="580" w:type="dxa"/>
            <w:vMerge w:val="continue"/>
            <w:tcBorders>
              <w:top w:val="nil"/>
            </w:tcBorders>
            <w:noWrap w:val="0"/>
            <w:vAlign w:val="top"/>
          </w:tcPr>
          <w:p>
            <w:pPr>
              <w:rPr>
                <w:sz w:val="2"/>
                <w:szCs w:val="2"/>
              </w:rPr>
            </w:pPr>
          </w:p>
        </w:tc>
        <w:tc>
          <w:tcPr>
            <w:tcW w:w="620" w:type="dxa"/>
            <w:noWrap w:val="0"/>
            <w:vAlign w:val="top"/>
          </w:tcPr>
          <w:p>
            <w:pPr>
              <w:pStyle w:val="7"/>
              <w:spacing w:line="264" w:lineRule="auto"/>
              <w:ind w:left="200" w:right="177"/>
              <w:jc w:val="both"/>
              <w:rPr>
                <w:sz w:val="22"/>
              </w:rPr>
            </w:pPr>
            <w:r>
              <w:rPr>
                <w:sz w:val="22"/>
              </w:rPr>
              <w:t>商业企</w:t>
            </w:r>
          </w:p>
          <w:p>
            <w:pPr>
              <w:pStyle w:val="7"/>
              <w:ind w:left="200"/>
              <w:rPr>
                <w:sz w:val="22"/>
              </w:rPr>
            </w:pPr>
            <w:r>
              <w:rPr>
                <w:sz w:val="22"/>
              </w:rPr>
              <w:t>业</w:t>
            </w:r>
          </w:p>
        </w:tc>
        <w:tc>
          <w:tcPr>
            <w:tcW w:w="640" w:type="dxa"/>
            <w:noWrap w:val="0"/>
            <w:vAlign w:val="top"/>
          </w:tcPr>
          <w:p>
            <w:pPr>
              <w:pStyle w:val="7"/>
              <w:spacing w:line="264" w:lineRule="auto"/>
              <w:ind w:left="199" w:right="198"/>
              <w:jc w:val="both"/>
              <w:rPr>
                <w:sz w:val="22"/>
              </w:rPr>
            </w:pPr>
            <w:r>
              <w:rPr>
                <w:sz w:val="22"/>
              </w:rPr>
              <w:t>科研机</w:t>
            </w:r>
          </w:p>
          <w:p>
            <w:pPr>
              <w:pStyle w:val="7"/>
              <w:ind w:left="199"/>
              <w:rPr>
                <w:sz w:val="22"/>
              </w:rPr>
            </w:pPr>
            <w:r>
              <w:rPr>
                <w:sz w:val="22"/>
              </w:rPr>
              <w:t>构</w:t>
            </w:r>
          </w:p>
        </w:tc>
        <w:tc>
          <w:tcPr>
            <w:tcW w:w="780" w:type="dxa"/>
            <w:noWrap w:val="0"/>
            <w:vAlign w:val="top"/>
          </w:tcPr>
          <w:p>
            <w:pPr>
              <w:pStyle w:val="7"/>
              <w:spacing w:before="150" w:beforeLines="0" w:line="264" w:lineRule="auto"/>
              <w:ind w:left="159" w:right="158"/>
              <w:jc w:val="both"/>
              <w:rPr>
                <w:sz w:val="22"/>
              </w:rPr>
            </w:pPr>
            <w:r>
              <w:rPr>
                <w:sz w:val="22"/>
              </w:rPr>
              <w:t>社会公益组织</w:t>
            </w:r>
          </w:p>
        </w:tc>
        <w:tc>
          <w:tcPr>
            <w:tcW w:w="780" w:type="dxa"/>
            <w:noWrap w:val="0"/>
            <w:vAlign w:val="top"/>
          </w:tcPr>
          <w:p>
            <w:pPr>
              <w:pStyle w:val="7"/>
              <w:spacing w:before="150" w:beforeLines="0" w:line="264" w:lineRule="auto"/>
              <w:ind w:left="160" w:right="157"/>
              <w:jc w:val="both"/>
              <w:rPr>
                <w:sz w:val="22"/>
              </w:rPr>
            </w:pPr>
            <w:r>
              <w:rPr>
                <w:sz w:val="22"/>
              </w:rPr>
              <w:t>法律服务机构</w:t>
            </w:r>
          </w:p>
        </w:tc>
        <w:tc>
          <w:tcPr>
            <w:tcW w:w="480" w:type="dxa"/>
            <w:noWrap w:val="0"/>
            <w:vAlign w:val="top"/>
          </w:tcPr>
          <w:p>
            <w:pPr>
              <w:pStyle w:val="7"/>
              <w:spacing w:before="8" w:beforeLines="0"/>
              <w:rPr>
                <w:sz w:val="22"/>
              </w:rPr>
            </w:pPr>
          </w:p>
          <w:p>
            <w:pPr>
              <w:pStyle w:val="7"/>
              <w:spacing w:line="273" w:lineRule="auto"/>
              <w:ind w:left="119" w:right="118"/>
              <w:rPr>
                <w:sz w:val="22"/>
              </w:rPr>
            </w:pPr>
            <w:r>
              <w:rPr>
                <w:sz w:val="22"/>
              </w:rPr>
              <w:t>其他</w:t>
            </w:r>
          </w:p>
        </w:tc>
        <w:tc>
          <w:tcPr>
            <w:tcW w:w="500"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0" w:hRule="atLeast"/>
        </w:trPr>
        <w:tc>
          <w:tcPr>
            <w:tcW w:w="4140" w:type="dxa"/>
            <w:gridSpan w:val="3"/>
            <w:noWrap w:val="0"/>
            <w:vAlign w:val="top"/>
          </w:tcPr>
          <w:p>
            <w:pPr>
              <w:pStyle w:val="7"/>
              <w:spacing w:line="272" w:lineRule="exact"/>
              <w:ind w:left="100"/>
              <w:rPr>
                <w:sz w:val="22"/>
              </w:rPr>
            </w:pPr>
            <w:r>
              <w:rPr>
                <w:sz w:val="22"/>
              </w:rPr>
              <w:t>一、本年新收政府信息公开申请数量</w:t>
            </w:r>
          </w:p>
        </w:tc>
        <w:tc>
          <w:tcPr>
            <w:tcW w:w="5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1</w:t>
            </w:r>
          </w:p>
        </w:tc>
        <w:tc>
          <w:tcPr>
            <w:tcW w:w="62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64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7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7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4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50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4140" w:type="dxa"/>
            <w:gridSpan w:val="3"/>
            <w:noWrap w:val="0"/>
            <w:vAlign w:val="top"/>
          </w:tcPr>
          <w:p>
            <w:pPr>
              <w:pStyle w:val="7"/>
              <w:spacing w:line="272" w:lineRule="exact"/>
              <w:ind w:left="100"/>
              <w:rPr>
                <w:sz w:val="22"/>
              </w:rPr>
            </w:pPr>
            <w:r>
              <w:rPr>
                <w:sz w:val="22"/>
              </w:rPr>
              <w:t>二、上年结转政府信息公开申请数量</w:t>
            </w:r>
          </w:p>
        </w:tc>
        <w:tc>
          <w:tcPr>
            <w:tcW w:w="5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62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64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7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7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4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50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0" w:hRule="atLeast"/>
        </w:trPr>
        <w:tc>
          <w:tcPr>
            <w:tcW w:w="1120" w:type="dxa"/>
            <w:vMerge w:val="restart"/>
            <w:noWrap w:val="0"/>
            <w:vAlign w:val="top"/>
          </w:tcPr>
          <w:p>
            <w:pPr>
              <w:pStyle w:val="7"/>
              <w:spacing w:before="70" w:beforeLines="0"/>
              <w:ind w:left="100"/>
              <w:rPr>
                <w:sz w:val="22"/>
              </w:rPr>
            </w:pPr>
            <w:r>
              <w:rPr>
                <w:sz w:val="22"/>
              </w:rPr>
              <w:t>三、本年</w:t>
            </w:r>
          </w:p>
          <w:p>
            <w:pPr>
              <w:pStyle w:val="7"/>
              <w:spacing w:before="50" w:beforeLines="0" w:line="271" w:lineRule="auto"/>
              <w:ind w:left="100" w:right="77"/>
              <w:rPr>
                <w:sz w:val="22"/>
              </w:rPr>
            </w:pPr>
            <w:r>
              <w:rPr>
                <w:sz w:val="22"/>
              </w:rPr>
              <w:t>度办理结果</w:t>
            </w:r>
          </w:p>
        </w:tc>
        <w:tc>
          <w:tcPr>
            <w:tcW w:w="3020" w:type="dxa"/>
            <w:gridSpan w:val="2"/>
            <w:noWrap w:val="0"/>
            <w:vAlign w:val="top"/>
          </w:tcPr>
          <w:p>
            <w:pPr>
              <w:pStyle w:val="7"/>
              <w:spacing w:line="272" w:lineRule="exact"/>
              <w:ind w:left="100"/>
              <w:rPr>
                <w:sz w:val="22"/>
              </w:rPr>
            </w:pPr>
            <w:r>
              <w:rPr>
                <w:sz w:val="22"/>
              </w:rPr>
              <w:t>（一）予以公开</w:t>
            </w:r>
          </w:p>
        </w:tc>
        <w:tc>
          <w:tcPr>
            <w:tcW w:w="5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1</w:t>
            </w:r>
          </w:p>
        </w:tc>
        <w:tc>
          <w:tcPr>
            <w:tcW w:w="62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64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7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7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48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0</w:t>
            </w:r>
          </w:p>
        </w:tc>
        <w:tc>
          <w:tcPr>
            <w:tcW w:w="500" w:type="dxa"/>
            <w:noWrap w:val="0"/>
            <w:vAlign w:val="center"/>
          </w:tcPr>
          <w:p>
            <w:pPr>
              <w:pStyle w:val="7"/>
              <w:jc w:val="center"/>
              <w:rPr>
                <w:rFonts w:hint="eastAsia" w:ascii="Times New Roman" w:eastAsia="宋体"/>
                <w:sz w:val="28"/>
                <w:lang w:val="en-US" w:eastAsia="zh-CN"/>
              </w:rPr>
            </w:pPr>
            <w:r>
              <w:rPr>
                <w:rFonts w:hint="eastAsia" w:ascii="Times New Roman"/>
                <w:sz w:val="28"/>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0" w:hRule="atLeast"/>
        </w:trPr>
        <w:tc>
          <w:tcPr>
            <w:tcW w:w="1120" w:type="dxa"/>
            <w:vMerge w:val="continue"/>
            <w:noWrap w:val="0"/>
            <w:vAlign w:val="top"/>
          </w:tcPr>
          <w:p>
            <w:pPr>
              <w:pStyle w:val="7"/>
              <w:spacing w:before="50" w:beforeLines="0" w:line="271" w:lineRule="auto"/>
              <w:ind w:left="100" w:right="77"/>
              <w:rPr>
                <w:sz w:val="22"/>
              </w:rPr>
            </w:pPr>
          </w:p>
        </w:tc>
        <w:tc>
          <w:tcPr>
            <w:tcW w:w="3020" w:type="dxa"/>
            <w:gridSpan w:val="2"/>
            <w:noWrap w:val="0"/>
            <w:vAlign w:val="top"/>
          </w:tcPr>
          <w:p>
            <w:pPr>
              <w:pStyle w:val="7"/>
              <w:spacing w:line="272" w:lineRule="exact"/>
              <w:ind w:left="100" w:right="-29"/>
              <w:rPr>
                <w:sz w:val="22"/>
              </w:rPr>
            </w:pPr>
            <w:r>
              <w:rPr>
                <w:sz w:val="22"/>
              </w:rPr>
              <w:t>（</w:t>
            </w:r>
            <w:r>
              <w:rPr>
                <w:spacing w:val="-21"/>
                <w:sz w:val="22"/>
              </w:rPr>
              <w:t>二）</w:t>
            </w:r>
            <w:r>
              <w:rPr>
                <w:spacing w:val="-16"/>
                <w:sz w:val="22"/>
              </w:rPr>
              <w:t>部分公开</w:t>
            </w:r>
            <w:r>
              <w:rPr>
                <w:sz w:val="22"/>
              </w:rPr>
              <w:t>（</w:t>
            </w:r>
            <w:r>
              <w:rPr>
                <w:spacing w:val="-11"/>
                <w:sz w:val="22"/>
              </w:rPr>
              <w:t>区分处理的，</w:t>
            </w:r>
          </w:p>
          <w:p>
            <w:pPr>
              <w:pStyle w:val="7"/>
              <w:spacing w:before="38" w:beforeLines="0"/>
              <w:ind w:left="100" w:right="-29"/>
              <w:rPr>
                <w:sz w:val="22"/>
              </w:rPr>
            </w:pPr>
            <w:r>
              <w:rPr>
                <w:spacing w:val="-15"/>
                <w:sz w:val="22"/>
              </w:rPr>
              <w:t>只计这一情形，不计其他情形</w:t>
            </w:r>
            <w:r>
              <w:rPr>
                <w:sz w:val="22"/>
              </w:rPr>
              <w:t>）</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00" w:hRule="atLeast"/>
        </w:trPr>
        <w:tc>
          <w:tcPr>
            <w:tcW w:w="1120" w:type="dxa"/>
            <w:vMerge w:val="continue"/>
            <w:noWrap w:val="0"/>
            <w:vAlign w:val="top"/>
          </w:tcPr>
          <w:p>
            <w:pPr>
              <w:rPr>
                <w:sz w:val="2"/>
                <w:szCs w:val="2"/>
              </w:rPr>
            </w:pPr>
          </w:p>
        </w:tc>
        <w:tc>
          <w:tcPr>
            <w:tcW w:w="1140" w:type="dxa"/>
            <w:vMerge w:val="restart"/>
            <w:noWrap w:val="0"/>
            <w:vAlign w:val="top"/>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7" w:beforeLines="0" w:line="273" w:lineRule="auto"/>
              <w:ind w:left="100" w:right="108"/>
              <w:rPr>
                <w:sz w:val="22"/>
              </w:rPr>
            </w:pPr>
            <w:r>
              <w:rPr>
                <w:sz w:val="22"/>
              </w:rPr>
              <w:t>（三）不予公开</w:t>
            </w:r>
          </w:p>
        </w:tc>
        <w:tc>
          <w:tcPr>
            <w:tcW w:w="1880" w:type="dxa"/>
            <w:noWrap w:val="0"/>
            <w:vAlign w:val="top"/>
          </w:tcPr>
          <w:p>
            <w:pPr>
              <w:pStyle w:val="7"/>
              <w:spacing w:line="272" w:lineRule="exact"/>
              <w:ind w:left="100"/>
              <w:rPr>
                <w:sz w:val="22"/>
              </w:rPr>
            </w:pPr>
            <w:r>
              <w:rPr>
                <w:sz w:val="22"/>
              </w:rPr>
              <w:t>1．属于国家秘密</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before="10" w:beforeLines="0"/>
              <w:ind w:left="100"/>
              <w:rPr>
                <w:sz w:val="22"/>
              </w:rPr>
            </w:pPr>
            <w:r>
              <w:rPr>
                <w:sz w:val="22"/>
              </w:rPr>
              <w:t>2．其他法律行政</w:t>
            </w:r>
          </w:p>
          <w:p>
            <w:pPr>
              <w:pStyle w:val="7"/>
              <w:spacing w:before="18" w:beforeLines="0"/>
              <w:ind w:left="100"/>
              <w:rPr>
                <w:sz w:val="22"/>
              </w:rPr>
            </w:pPr>
            <w:r>
              <w:rPr>
                <w:sz w:val="22"/>
              </w:rPr>
              <w:t>法规禁止公开</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3．危及“三安全</w:t>
            </w:r>
          </w:p>
          <w:p>
            <w:pPr>
              <w:pStyle w:val="7"/>
              <w:spacing w:before="38" w:beforeLines="0"/>
              <w:ind w:left="100"/>
              <w:rPr>
                <w:sz w:val="22"/>
              </w:rPr>
            </w:pPr>
            <w:r>
              <w:rPr>
                <w:sz w:val="22"/>
              </w:rPr>
              <w:t>一稳定”</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4．保护第三方合</w:t>
            </w:r>
          </w:p>
          <w:p>
            <w:pPr>
              <w:pStyle w:val="7"/>
              <w:spacing w:before="38" w:beforeLines="0"/>
              <w:ind w:left="100"/>
              <w:rPr>
                <w:sz w:val="22"/>
              </w:rPr>
            </w:pPr>
            <w:r>
              <w:rPr>
                <w:sz w:val="22"/>
              </w:rPr>
              <w:t>法权益</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5．属于三类内部</w:t>
            </w:r>
          </w:p>
          <w:p>
            <w:pPr>
              <w:pStyle w:val="7"/>
              <w:spacing w:before="18" w:beforeLines="0"/>
              <w:ind w:left="100"/>
              <w:rPr>
                <w:sz w:val="22"/>
              </w:rPr>
            </w:pPr>
            <w:r>
              <w:rPr>
                <w:sz w:val="22"/>
              </w:rPr>
              <w:t>事务信息</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6．属于四类过程</w:t>
            </w:r>
          </w:p>
          <w:p>
            <w:pPr>
              <w:pStyle w:val="7"/>
              <w:spacing w:before="38" w:beforeLines="0"/>
              <w:ind w:left="100"/>
              <w:rPr>
                <w:sz w:val="22"/>
              </w:rPr>
            </w:pPr>
            <w:r>
              <w:rPr>
                <w:sz w:val="22"/>
              </w:rPr>
              <w:t>性信息</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7．属于行政执法</w:t>
            </w:r>
          </w:p>
          <w:p>
            <w:pPr>
              <w:pStyle w:val="7"/>
              <w:spacing w:before="38" w:beforeLines="0"/>
              <w:ind w:left="100"/>
              <w:rPr>
                <w:sz w:val="22"/>
              </w:rPr>
            </w:pPr>
            <w:r>
              <w:rPr>
                <w:sz w:val="22"/>
              </w:rPr>
              <w:t>案卷</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8．属于行政查询</w:t>
            </w:r>
          </w:p>
          <w:p>
            <w:pPr>
              <w:pStyle w:val="7"/>
              <w:spacing w:before="18" w:beforeLines="0"/>
              <w:ind w:left="100"/>
              <w:rPr>
                <w:sz w:val="22"/>
              </w:rPr>
            </w:pPr>
            <w:r>
              <w:rPr>
                <w:sz w:val="22"/>
              </w:rPr>
              <w:t>事项</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restart"/>
            <w:noWrap w:val="0"/>
            <w:vAlign w:val="top"/>
          </w:tcPr>
          <w:p>
            <w:pPr>
              <w:pStyle w:val="7"/>
              <w:rPr>
                <w:sz w:val="22"/>
              </w:rPr>
            </w:pPr>
          </w:p>
          <w:p>
            <w:pPr>
              <w:pStyle w:val="7"/>
              <w:spacing w:before="2" w:beforeLines="0"/>
              <w:rPr>
                <w:sz w:val="27"/>
              </w:rPr>
            </w:pPr>
          </w:p>
          <w:p>
            <w:pPr>
              <w:pStyle w:val="7"/>
              <w:spacing w:line="273" w:lineRule="auto"/>
              <w:ind w:left="100" w:right="108"/>
              <w:rPr>
                <w:sz w:val="22"/>
              </w:rPr>
            </w:pPr>
            <w:r>
              <w:rPr>
                <w:sz w:val="22"/>
              </w:rPr>
              <w:t>（四）无法提供</w:t>
            </w:r>
          </w:p>
        </w:tc>
        <w:tc>
          <w:tcPr>
            <w:tcW w:w="1880" w:type="dxa"/>
            <w:noWrap w:val="0"/>
            <w:vAlign w:val="top"/>
          </w:tcPr>
          <w:p>
            <w:pPr>
              <w:pStyle w:val="7"/>
              <w:spacing w:line="272" w:lineRule="exact"/>
              <w:ind w:left="100"/>
              <w:rPr>
                <w:sz w:val="22"/>
              </w:rPr>
            </w:pPr>
            <w:r>
              <w:rPr>
                <w:sz w:val="22"/>
              </w:rPr>
              <w:t>1．本单位不掌握</w:t>
            </w:r>
          </w:p>
          <w:p>
            <w:pPr>
              <w:pStyle w:val="7"/>
              <w:spacing w:before="38" w:beforeLines="0"/>
              <w:ind w:left="100"/>
              <w:rPr>
                <w:sz w:val="22"/>
              </w:rPr>
            </w:pPr>
            <w:r>
              <w:rPr>
                <w:sz w:val="22"/>
              </w:rPr>
              <w:t>相关政府信息</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2．没有现成信息</w:t>
            </w:r>
          </w:p>
          <w:p>
            <w:pPr>
              <w:pStyle w:val="7"/>
              <w:spacing w:before="38" w:beforeLines="0"/>
              <w:ind w:left="100"/>
              <w:rPr>
                <w:sz w:val="22"/>
              </w:rPr>
            </w:pPr>
            <w:r>
              <w:rPr>
                <w:sz w:val="22"/>
              </w:rPr>
              <w:t>需要另行制作</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3．补正后申请内</w:t>
            </w:r>
          </w:p>
          <w:p>
            <w:pPr>
              <w:pStyle w:val="7"/>
              <w:spacing w:before="18" w:beforeLines="0"/>
              <w:ind w:left="100"/>
              <w:rPr>
                <w:sz w:val="22"/>
              </w:rPr>
            </w:pPr>
            <w:r>
              <w:rPr>
                <w:sz w:val="22"/>
              </w:rPr>
              <w:t>容仍不明确</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restart"/>
            <w:noWrap w:val="0"/>
            <w:vAlign w:val="top"/>
          </w:tcPr>
          <w:p>
            <w:pPr>
              <w:pStyle w:val="7"/>
              <w:rPr>
                <w:sz w:val="22"/>
              </w:rPr>
            </w:pPr>
          </w:p>
          <w:p>
            <w:pPr>
              <w:pStyle w:val="7"/>
              <w:rPr>
                <w:sz w:val="22"/>
              </w:rPr>
            </w:pPr>
          </w:p>
          <w:p>
            <w:pPr>
              <w:pStyle w:val="7"/>
              <w:rPr>
                <w:sz w:val="22"/>
              </w:rPr>
            </w:pPr>
          </w:p>
          <w:p>
            <w:pPr>
              <w:pStyle w:val="7"/>
              <w:rPr>
                <w:sz w:val="22"/>
              </w:rPr>
            </w:pPr>
          </w:p>
          <w:p>
            <w:pPr>
              <w:pStyle w:val="7"/>
              <w:spacing w:before="142" w:beforeLines="0" w:line="271" w:lineRule="auto"/>
              <w:ind w:left="100" w:right="108"/>
              <w:rPr>
                <w:sz w:val="22"/>
              </w:rPr>
            </w:pPr>
            <w:r>
              <w:rPr>
                <w:sz w:val="22"/>
              </w:rPr>
              <w:t>（五）不予处理</w:t>
            </w:r>
          </w:p>
        </w:tc>
        <w:tc>
          <w:tcPr>
            <w:tcW w:w="1880" w:type="dxa"/>
            <w:noWrap w:val="0"/>
            <w:vAlign w:val="top"/>
          </w:tcPr>
          <w:p>
            <w:pPr>
              <w:pStyle w:val="7"/>
              <w:spacing w:before="10" w:beforeLines="0"/>
              <w:ind w:left="100"/>
              <w:rPr>
                <w:sz w:val="22"/>
              </w:rPr>
            </w:pPr>
            <w:r>
              <w:rPr>
                <w:sz w:val="22"/>
              </w:rPr>
              <w:t>1．信访举报投诉</w:t>
            </w:r>
          </w:p>
          <w:p>
            <w:pPr>
              <w:pStyle w:val="7"/>
              <w:spacing w:before="18" w:beforeLines="0"/>
              <w:ind w:left="100"/>
              <w:rPr>
                <w:sz w:val="22"/>
              </w:rPr>
            </w:pPr>
            <w:r>
              <w:rPr>
                <w:sz w:val="22"/>
              </w:rPr>
              <w:t>类申请</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2．重复申请</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3．要求提供公开</w:t>
            </w:r>
          </w:p>
          <w:p>
            <w:pPr>
              <w:pStyle w:val="7"/>
              <w:spacing w:before="38" w:beforeLines="0"/>
              <w:ind w:left="100"/>
              <w:rPr>
                <w:sz w:val="22"/>
              </w:rPr>
            </w:pPr>
            <w:r>
              <w:rPr>
                <w:sz w:val="22"/>
              </w:rPr>
              <w:t>出版物</w:t>
            </w:r>
          </w:p>
        </w:tc>
        <w:tc>
          <w:tcPr>
            <w:tcW w:w="5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72" w:lineRule="exact"/>
              <w:ind w:left="100"/>
              <w:rPr>
                <w:sz w:val="22"/>
              </w:rPr>
            </w:pPr>
            <w:r>
              <w:rPr>
                <w:sz w:val="22"/>
              </w:rPr>
              <w:t>4．无正当理由大</w:t>
            </w:r>
          </w:p>
          <w:p>
            <w:pPr>
              <w:pStyle w:val="7"/>
              <w:spacing w:before="38" w:beforeLines="0"/>
              <w:ind w:left="100"/>
              <w:rPr>
                <w:sz w:val="22"/>
              </w:rPr>
            </w:pPr>
            <w:r>
              <w:rPr>
                <w:sz w:val="22"/>
              </w:rPr>
              <w:t>量反复申请</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7"/>
              <w:spacing w:line="254" w:lineRule="auto"/>
              <w:ind w:left="300" w:right="178" w:hanging="200"/>
              <w:rPr>
                <w:sz w:val="22"/>
              </w:rPr>
            </w:pPr>
            <w:r>
              <w:rPr>
                <w:spacing w:val="-6"/>
                <w:sz w:val="22"/>
              </w:rPr>
              <w:t>5</w:t>
            </w:r>
            <w:r>
              <w:rPr>
                <w:spacing w:val="-13"/>
                <w:sz w:val="22"/>
              </w:rPr>
              <w:t>．要求行政机关</w:t>
            </w:r>
            <w:r>
              <w:rPr>
                <w:spacing w:val="-8"/>
                <w:sz w:val="22"/>
              </w:rPr>
              <w:t>确认或重新出</w:t>
            </w:r>
          </w:p>
          <w:p>
            <w:pPr>
              <w:pStyle w:val="7"/>
              <w:spacing w:before="12" w:beforeLines="0"/>
              <w:ind w:left="300"/>
              <w:rPr>
                <w:sz w:val="22"/>
              </w:rPr>
            </w:pPr>
            <w:r>
              <w:rPr>
                <w:spacing w:val="-8"/>
                <w:sz w:val="22"/>
              </w:rPr>
              <w:t>具已获取信息</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0" w:hRule="atLeast"/>
        </w:trPr>
        <w:tc>
          <w:tcPr>
            <w:tcW w:w="1120" w:type="dxa"/>
            <w:vMerge w:val="continue"/>
            <w:noWrap w:val="0"/>
            <w:vAlign w:val="top"/>
          </w:tcPr>
          <w:p>
            <w:pPr>
              <w:rPr>
                <w:sz w:val="2"/>
                <w:szCs w:val="2"/>
              </w:rPr>
            </w:pPr>
          </w:p>
        </w:tc>
        <w:tc>
          <w:tcPr>
            <w:tcW w:w="3020" w:type="dxa"/>
            <w:gridSpan w:val="2"/>
            <w:noWrap w:val="0"/>
            <w:vAlign w:val="top"/>
          </w:tcPr>
          <w:p>
            <w:pPr>
              <w:pStyle w:val="7"/>
              <w:spacing w:before="70" w:beforeLines="0"/>
              <w:ind w:left="100"/>
              <w:rPr>
                <w:sz w:val="22"/>
              </w:rPr>
            </w:pPr>
            <w:r>
              <w:rPr>
                <w:sz w:val="22"/>
              </w:rPr>
              <w:t>（六）其他处理</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trPr>
        <w:tc>
          <w:tcPr>
            <w:tcW w:w="1120" w:type="dxa"/>
            <w:vMerge w:val="continue"/>
            <w:noWrap w:val="0"/>
            <w:vAlign w:val="top"/>
          </w:tcPr>
          <w:p>
            <w:pPr>
              <w:rPr>
                <w:sz w:val="2"/>
                <w:szCs w:val="2"/>
              </w:rPr>
            </w:pPr>
          </w:p>
        </w:tc>
        <w:tc>
          <w:tcPr>
            <w:tcW w:w="3020" w:type="dxa"/>
            <w:gridSpan w:val="2"/>
            <w:noWrap w:val="0"/>
            <w:vAlign w:val="top"/>
          </w:tcPr>
          <w:p>
            <w:pPr>
              <w:pStyle w:val="7"/>
              <w:spacing w:before="50" w:beforeLines="0"/>
              <w:ind w:left="100"/>
              <w:rPr>
                <w:sz w:val="22"/>
              </w:rPr>
            </w:pPr>
            <w:r>
              <w:rPr>
                <w:sz w:val="22"/>
              </w:rPr>
              <w:t>（七）总计</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4140" w:type="dxa"/>
            <w:gridSpan w:val="3"/>
            <w:noWrap w:val="0"/>
            <w:vAlign w:val="top"/>
          </w:tcPr>
          <w:p>
            <w:pPr>
              <w:pStyle w:val="7"/>
              <w:spacing w:before="10" w:beforeLines="0"/>
              <w:ind w:left="100"/>
              <w:rPr>
                <w:sz w:val="22"/>
              </w:rPr>
            </w:pPr>
            <w:r>
              <w:rPr>
                <w:sz w:val="22"/>
              </w:rPr>
              <w:t>四、结转下年度继续办理</w:t>
            </w:r>
          </w:p>
        </w:tc>
        <w:tc>
          <w:tcPr>
            <w:tcW w:w="5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780" w:type="dxa"/>
            <w:noWrap w:val="0"/>
            <w:vAlign w:val="center"/>
          </w:tcPr>
          <w:p>
            <w:pPr>
              <w:pStyle w:val="7"/>
              <w:jc w:val="center"/>
              <w:rPr>
                <w:rFonts w:hint="eastAsia" w:ascii="Times New Roman" w:hAnsi="宋体" w:eastAsia="宋体" w:cs="宋体"/>
                <w:kern w:val="2"/>
                <w:sz w:val="22"/>
                <w:szCs w:val="24"/>
                <w:lang w:val="en-US" w:eastAsia="zh-CN" w:bidi="ar-SA"/>
              </w:rPr>
            </w:pPr>
            <w:r>
              <w:rPr>
                <w:rFonts w:hint="eastAsia" w:ascii="Times New Roman"/>
                <w:sz w:val="22"/>
                <w:lang w:val="en-US" w:eastAsia="zh-CN"/>
              </w:rPr>
              <w:t>0</w:t>
            </w:r>
          </w:p>
        </w:tc>
        <w:tc>
          <w:tcPr>
            <w:tcW w:w="48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center"/>
          </w:tcPr>
          <w:p>
            <w:pPr>
              <w:pStyle w:val="7"/>
              <w:jc w:val="center"/>
              <w:rPr>
                <w:rFonts w:hint="eastAsia" w:ascii="Times New Roman" w:eastAsia="宋体"/>
                <w:sz w:val="22"/>
                <w:lang w:val="en-US" w:eastAsia="zh-CN"/>
              </w:rPr>
            </w:pPr>
            <w:r>
              <w:rPr>
                <w:rFonts w:hint="eastAsia" w:ascii="Times New Roman"/>
                <w:sz w:val="22"/>
                <w:lang w:val="en-US" w:eastAsia="zh-CN"/>
              </w:rPr>
              <w:t>0</w:t>
            </w:r>
          </w:p>
        </w:tc>
      </w:tr>
    </w:tbl>
    <w:p>
      <w:pPr>
        <w:rPr>
          <w:rFonts w:ascii="黑体" w:hAnsi="黑体" w:eastAsia="黑体"/>
          <w:b/>
          <w:sz w:val="28"/>
          <w:szCs w:val="28"/>
        </w:rPr>
      </w:pPr>
      <w:r>
        <w:rPr>
          <w:rFonts w:hint="eastAsia" w:ascii="黑体" w:hAnsi="黑体" w:eastAsia="黑体"/>
          <w:b/>
          <w:sz w:val="28"/>
          <w:szCs w:val="28"/>
        </w:rPr>
        <w:t>四．政府信息公开行政复议、行政诉讼情况</w:t>
      </w:r>
    </w:p>
    <w:tbl>
      <w:tblPr>
        <w:tblStyle w:val="5"/>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582"/>
        <w:gridCol w:w="582"/>
        <w:gridCol w:w="560"/>
        <w:gridCol w:w="494"/>
        <w:gridCol w:w="582"/>
        <w:gridCol w:w="582"/>
        <w:gridCol w:w="582"/>
        <w:gridCol w:w="582"/>
        <w:gridCol w:w="472"/>
        <w:gridCol w:w="700"/>
        <w:gridCol w:w="534"/>
        <w:gridCol w:w="630"/>
        <w:gridCol w:w="582"/>
        <w:gridCol w:w="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800" w:type="dxa"/>
            <w:gridSpan w:val="5"/>
            <w:vAlign w:val="center"/>
          </w:tcPr>
          <w:p>
            <w:pPr>
              <w:jc w:val="center"/>
              <w:rPr>
                <w:rFonts w:hint="eastAsia"/>
                <w:szCs w:val="21"/>
              </w:rPr>
            </w:pPr>
            <w:r>
              <w:rPr>
                <w:rFonts w:hint="eastAsia"/>
                <w:szCs w:val="21"/>
              </w:rPr>
              <w:t>行政复议</w:t>
            </w:r>
          </w:p>
        </w:tc>
        <w:tc>
          <w:tcPr>
            <w:tcW w:w="5600" w:type="dxa"/>
            <w:gridSpan w:val="10"/>
            <w:vAlign w:val="center"/>
          </w:tcPr>
          <w:p>
            <w:pPr>
              <w:jc w:val="center"/>
              <w:rPr>
                <w:rFonts w:hint="eastAsia"/>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82" w:type="dxa"/>
            <w:vMerge w:val="restart"/>
            <w:vAlign w:val="center"/>
          </w:tcPr>
          <w:p>
            <w:pPr>
              <w:jc w:val="center"/>
              <w:rPr>
                <w:rFonts w:hint="eastAsia"/>
                <w:szCs w:val="21"/>
              </w:rPr>
            </w:pPr>
            <w:r>
              <w:rPr>
                <w:rFonts w:hint="eastAsia"/>
                <w:szCs w:val="21"/>
              </w:rPr>
              <w:t>结果维持</w:t>
            </w:r>
          </w:p>
        </w:tc>
        <w:tc>
          <w:tcPr>
            <w:tcW w:w="582" w:type="dxa"/>
            <w:vMerge w:val="restart"/>
            <w:vAlign w:val="center"/>
          </w:tcPr>
          <w:p>
            <w:pPr>
              <w:jc w:val="center"/>
              <w:rPr>
                <w:rFonts w:hint="eastAsia"/>
                <w:szCs w:val="21"/>
              </w:rPr>
            </w:pPr>
            <w:r>
              <w:rPr>
                <w:rFonts w:hint="eastAsia"/>
                <w:szCs w:val="21"/>
              </w:rPr>
              <w:t>结果纠正</w:t>
            </w:r>
          </w:p>
        </w:tc>
        <w:tc>
          <w:tcPr>
            <w:tcW w:w="582" w:type="dxa"/>
            <w:vMerge w:val="restart"/>
            <w:vAlign w:val="center"/>
          </w:tcPr>
          <w:p>
            <w:pPr>
              <w:jc w:val="center"/>
              <w:rPr>
                <w:rFonts w:hint="eastAsia"/>
                <w:szCs w:val="21"/>
              </w:rPr>
            </w:pPr>
            <w:r>
              <w:rPr>
                <w:rFonts w:hint="eastAsia"/>
                <w:szCs w:val="21"/>
              </w:rPr>
              <w:t>其他结果</w:t>
            </w:r>
          </w:p>
        </w:tc>
        <w:tc>
          <w:tcPr>
            <w:tcW w:w="560" w:type="dxa"/>
            <w:vMerge w:val="restart"/>
            <w:vAlign w:val="center"/>
          </w:tcPr>
          <w:p>
            <w:pPr>
              <w:jc w:val="center"/>
              <w:rPr>
                <w:rFonts w:hint="eastAsia"/>
                <w:szCs w:val="21"/>
              </w:rPr>
            </w:pPr>
            <w:r>
              <w:rPr>
                <w:rFonts w:hint="eastAsia"/>
                <w:szCs w:val="21"/>
              </w:rPr>
              <w:t>尚未审结</w:t>
            </w:r>
          </w:p>
        </w:tc>
        <w:tc>
          <w:tcPr>
            <w:tcW w:w="494" w:type="dxa"/>
            <w:vMerge w:val="restart"/>
            <w:vAlign w:val="center"/>
          </w:tcPr>
          <w:p>
            <w:pPr>
              <w:jc w:val="center"/>
              <w:rPr>
                <w:rFonts w:hint="eastAsia"/>
                <w:szCs w:val="21"/>
              </w:rPr>
            </w:pPr>
            <w:r>
              <w:rPr>
                <w:rFonts w:hint="eastAsia"/>
                <w:szCs w:val="21"/>
              </w:rPr>
              <w:t>总计</w:t>
            </w:r>
          </w:p>
        </w:tc>
        <w:tc>
          <w:tcPr>
            <w:tcW w:w="2800" w:type="dxa"/>
            <w:gridSpan w:val="5"/>
            <w:vAlign w:val="center"/>
          </w:tcPr>
          <w:p>
            <w:pPr>
              <w:jc w:val="center"/>
              <w:rPr>
                <w:rFonts w:hint="eastAsia"/>
                <w:szCs w:val="21"/>
              </w:rPr>
            </w:pPr>
            <w:r>
              <w:rPr>
                <w:rFonts w:hint="eastAsia"/>
                <w:szCs w:val="21"/>
              </w:rPr>
              <w:t>未经复议直接起诉</w:t>
            </w:r>
          </w:p>
        </w:tc>
        <w:tc>
          <w:tcPr>
            <w:tcW w:w="2800" w:type="dxa"/>
            <w:gridSpan w:val="5"/>
            <w:vAlign w:val="center"/>
          </w:tcPr>
          <w:p>
            <w:pPr>
              <w:jc w:val="center"/>
              <w:rPr>
                <w:rFonts w:hint="eastAsia"/>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82" w:type="dxa"/>
            <w:vMerge w:val="continue"/>
            <w:vAlign w:val="center"/>
          </w:tcPr>
          <w:p>
            <w:pPr>
              <w:jc w:val="center"/>
              <w:rPr>
                <w:rFonts w:hint="eastAsia"/>
                <w:sz w:val="18"/>
                <w:szCs w:val="18"/>
              </w:rPr>
            </w:pPr>
          </w:p>
        </w:tc>
        <w:tc>
          <w:tcPr>
            <w:tcW w:w="582" w:type="dxa"/>
            <w:vMerge w:val="continue"/>
            <w:vAlign w:val="center"/>
          </w:tcPr>
          <w:p>
            <w:pPr>
              <w:jc w:val="center"/>
              <w:rPr>
                <w:rFonts w:hint="eastAsia"/>
                <w:sz w:val="18"/>
                <w:szCs w:val="18"/>
              </w:rPr>
            </w:pPr>
          </w:p>
        </w:tc>
        <w:tc>
          <w:tcPr>
            <w:tcW w:w="582" w:type="dxa"/>
            <w:vMerge w:val="continue"/>
            <w:vAlign w:val="center"/>
          </w:tcPr>
          <w:p>
            <w:pPr>
              <w:jc w:val="center"/>
              <w:rPr>
                <w:rFonts w:hint="eastAsia"/>
                <w:sz w:val="18"/>
                <w:szCs w:val="18"/>
              </w:rPr>
            </w:pPr>
          </w:p>
        </w:tc>
        <w:tc>
          <w:tcPr>
            <w:tcW w:w="560" w:type="dxa"/>
            <w:vMerge w:val="continue"/>
            <w:vAlign w:val="center"/>
          </w:tcPr>
          <w:p>
            <w:pPr>
              <w:jc w:val="center"/>
              <w:rPr>
                <w:rFonts w:hint="eastAsia"/>
                <w:szCs w:val="21"/>
              </w:rPr>
            </w:pPr>
          </w:p>
        </w:tc>
        <w:tc>
          <w:tcPr>
            <w:tcW w:w="494" w:type="dxa"/>
            <w:vMerge w:val="continue"/>
            <w:vAlign w:val="center"/>
          </w:tcPr>
          <w:p>
            <w:pPr>
              <w:jc w:val="center"/>
              <w:rPr>
                <w:rFonts w:hint="eastAsia"/>
                <w:szCs w:val="21"/>
              </w:rPr>
            </w:pPr>
          </w:p>
        </w:tc>
        <w:tc>
          <w:tcPr>
            <w:tcW w:w="582" w:type="dxa"/>
            <w:vAlign w:val="center"/>
          </w:tcPr>
          <w:p>
            <w:pPr>
              <w:jc w:val="center"/>
              <w:rPr>
                <w:rFonts w:hint="eastAsia"/>
                <w:szCs w:val="21"/>
              </w:rPr>
            </w:pPr>
            <w:r>
              <w:rPr>
                <w:rFonts w:hint="eastAsia"/>
                <w:szCs w:val="21"/>
              </w:rPr>
              <w:t>结果维持</w:t>
            </w:r>
          </w:p>
        </w:tc>
        <w:tc>
          <w:tcPr>
            <w:tcW w:w="582" w:type="dxa"/>
            <w:vAlign w:val="center"/>
          </w:tcPr>
          <w:p>
            <w:pPr>
              <w:jc w:val="center"/>
              <w:rPr>
                <w:rFonts w:hint="eastAsia"/>
                <w:szCs w:val="21"/>
              </w:rPr>
            </w:pPr>
            <w:r>
              <w:rPr>
                <w:rFonts w:hint="eastAsia"/>
                <w:szCs w:val="21"/>
              </w:rPr>
              <w:t>结果纠正</w:t>
            </w:r>
          </w:p>
        </w:tc>
        <w:tc>
          <w:tcPr>
            <w:tcW w:w="582" w:type="dxa"/>
            <w:vAlign w:val="center"/>
          </w:tcPr>
          <w:p>
            <w:pPr>
              <w:jc w:val="center"/>
              <w:rPr>
                <w:rFonts w:hint="eastAsia"/>
                <w:szCs w:val="21"/>
              </w:rPr>
            </w:pPr>
            <w:r>
              <w:rPr>
                <w:rFonts w:hint="eastAsia"/>
                <w:szCs w:val="21"/>
              </w:rPr>
              <w:t>其他结果</w:t>
            </w:r>
          </w:p>
        </w:tc>
        <w:tc>
          <w:tcPr>
            <w:tcW w:w="582" w:type="dxa"/>
            <w:vAlign w:val="center"/>
          </w:tcPr>
          <w:p>
            <w:pPr>
              <w:jc w:val="center"/>
              <w:rPr>
                <w:rFonts w:hint="eastAsia"/>
                <w:szCs w:val="21"/>
              </w:rPr>
            </w:pPr>
            <w:r>
              <w:rPr>
                <w:rFonts w:hint="eastAsia"/>
                <w:szCs w:val="21"/>
              </w:rPr>
              <w:t>尚未审结</w:t>
            </w:r>
          </w:p>
        </w:tc>
        <w:tc>
          <w:tcPr>
            <w:tcW w:w="472" w:type="dxa"/>
            <w:vAlign w:val="center"/>
          </w:tcPr>
          <w:p>
            <w:pPr>
              <w:jc w:val="center"/>
              <w:rPr>
                <w:rFonts w:hint="eastAsia"/>
                <w:szCs w:val="21"/>
              </w:rPr>
            </w:pPr>
            <w:r>
              <w:rPr>
                <w:rFonts w:hint="eastAsia"/>
                <w:szCs w:val="21"/>
              </w:rPr>
              <w:t>总计</w:t>
            </w:r>
          </w:p>
        </w:tc>
        <w:tc>
          <w:tcPr>
            <w:tcW w:w="700" w:type="dxa"/>
            <w:vAlign w:val="center"/>
          </w:tcPr>
          <w:p>
            <w:pPr>
              <w:jc w:val="center"/>
              <w:rPr>
                <w:rFonts w:hint="eastAsia"/>
                <w:szCs w:val="21"/>
              </w:rPr>
            </w:pPr>
            <w:r>
              <w:rPr>
                <w:rFonts w:hint="eastAsia"/>
                <w:szCs w:val="21"/>
              </w:rPr>
              <w:t>结果维持</w:t>
            </w:r>
          </w:p>
        </w:tc>
        <w:tc>
          <w:tcPr>
            <w:tcW w:w="534" w:type="dxa"/>
            <w:vAlign w:val="center"/>
          </w:tcPr>
          <w:p>
            <w:pPr>
              <w:jc w:val="center"/>
              <w:rPr>
                <w:rFonts w:hint="eastAsia"/>
                <w:szCs w:val="21"/>
              </w:rPr>
            </w:pPr>
            <w:r>
              <w:rPr>
                <w:rFonts w:hint="eastAsia"/>
                <w:szCs w:val="21"/>
              </w:rPr>
              <w:t>结果纠正</w:t>
            </w:r>
          </w:p>
        </w:tc>
        <w:tc>
          <w:tcPr>
            <w:tcW w:w="630" w:type="dxa"/>
            <w:vAlign w:val="center"/>
          </w:tcPr>
          <w:p>
            <w:pPr>
              <w:jc w:val="center"/>
              <w:rPr>
                <w:rFonts w:hint="eastAsia"/>
                <w:szCs w:val="21"/>
              </w:rPr>
            </w:pPr>
            <w:r>
              <w:rPr>
                <w:rFonts w:hint="eastAsia"/>
                <w:szCs w:val="21"/>
              </w:rPr>
              <w:t>其他结果</w:t>
            </w:r>
          </w:p>
        </w:tc>
        <w:tc>
          <w:tcPr>
            <w:tcW w:w="582" w:type="dxa"/>
            <w:vAlign w:val="center"/>
          </w:tcPr>
          <w:p>
            <w:pPr>
              <w:jc w:val="center"/>
              <w:rPr>
                <w:rFonts w:hint="eastAsia"/>
                <w:szCs w:val="21"/>
              </w:rPr>
            </w:pPr>
            <w:r>
              <w:rPr>
                <w:rFonts w:hint="eastAsia"/>
                <w:szCs w:val="21"/>
              </w:rPr>
              <w:t>尚未审结</w:t>
            </w:r>
          </w:p>
        </w:tc>
        <w:tc>
          <w:tcPr>
            <w:tcW w:w="354" w:type="dxa"/>
            <w:vAlign w:val="center"/>
          </w:tcPr>
          <w:p>
            <w:pPr>
              <w:jc w:val="cente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2"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582"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582"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560" w:type="dxa"/>
            <w:vAlign w:val="center"/>
          </w:tcPr>
          <w:p>
            <w:pPr>
              <w:rPr>
                <w:rFonts w:hint="eastAsia" w:eastAsiaTheme="minorEastAsia"/>
                <w:szCs w:val="21"/>
                <w:lang w:val="en-US" w:eastAsia="zh-CN"/>
              </w:rPr>
            </w:pPr>
            <w:r>
              <w:rPr>
                <w:rFonts w:hint="eastAsia"/>
                <w:szCs w:val="21"/>
                <w:lang w:val="en-US" w:eastAsia="zh-CN"/>
              </w:rPr>
              <w:t>0</w:t>
            </w:r>
          </w:p>
        </w:tc>
        <w:tc>
          <w:tcPr>
            <w:tcW w:w="494" w:type="dxa"/>
            <w:vAlign w:val="center"/>
          </w:tcPr>
          <w:p>
            <w:pPr>
              <w:rPr>
                <w:rFonts w:hint="eastAsia" w:eastAsiaTheme="minorEastAsia"/>
                <w:szCs w:val="21"/>
                <w:lang w:val="en-US" w:eastAsia="zh-CN"/>
              </w:rPr>
            </w:pPr>
            <w:r>
              <w:rPr>
                <w:rFonts w:hint="eastAsia"/>
                <w:szCs w:val="21"/>
                <w:lang w:val="en-US" w:eastAsia="zh-CN"/>
              </w:rPr>
              <w:t>0</w:t>
            </w:r>
          </w:p>
        </w:tc>
        <w:tc>
          <w:tcPr>
            <w:tcW w:w="582" w:type="dxa"/>
            <w:vAlign w:val="center"/>
          </w:tcPr>
          <w:p>
            <w:pPr>
              <w:rPr>
                <w:rFonts w:hint="eastAsia" w:eastAsiaTheme="minorEastAsia"/>
                <w:szCs w:val="21"/>
                <w:lang w:val="en-US" w:eastAsia="zh-CN"/>
              </w:rPr>
            </w:pPr>
            <w:r>
              <w:rPr>
                <w:rFonts w:hint="eastAsia"/>
                <w:szCs w:val="21"/>
                <w:lang w:val="en-US" w:eastAsia="zh-CN"/>
              </w:rPr>
              <w:t>0</w:t>
            </w:r>
          </w:p>
        </w:tc>
        <w:tc>
          <w:tcPr>
            <w:tcW w:w="582" w:type="dxa"/>
            <w:vAlign w:val="center"/>
          </w:tcPr>
          <w:p>
            <w:pPr>
              <w:rPr>
                <w:rFonts w:hint="eastAsia" w:eastAsiaTheme="minorEastAsia"/>
                <w:szCs w:val="21"/>
                <w:lang w:val="en-US" w:eastAsia="zh-CN"/>
              </w:rPr>
            </w:pPr>
            <w:r>
              <w:rPr>
                <w:rFonts w:hint="eastAsia"/>
                <w:szCs w:val="21"/>
                <w:lang w:val="en-US" w:eastAsia="zh-CN"/>
              </w:rPr>
              <w:t>0</w:t>
            </w:r>
          </w:p>
        </w:tc>
        <w:tc>
          <w:tcPr>
            <w:tcW w:w="582" w:type="dxa"/>
            <w:vAlign w:val="center"/>
          </w:tcPr>
          <w:p>
            <w:pPr>
              <w:rPr>
                <w:rFonts w:hint="eastAsia" w:eastAsiaTheme="minorEastAsia"/>
                <w:szCs w:val="21"/>
                <w:lang w:val="en-US" w:eastAsia="zh-CN"/>
              </w:rPr>
            </w:pPr>
            <w:r>
              <w:rPr>
                <w:rFonts w:hint="eastAsia"/>
                <w:szCs w:val="21"/>
                <w:lang w:val="en-US" w:eastAsia="zh-CN"/>
              </w:rPr>
              <w:t>0</w:t>
            </w:r>
          </w:p>
        </w:tc>
        <w:tc>
          <w:tcPr>
            <w:tcW w:w="582" w:type="dxa"/>
            <w:vAlign w:val="center"/>
          </w:tcPr>
          <w:p>
            <w:pPr>
              <w:rPr>
                <w:rFonts w:hint="eastAsia" w:eastAsiaTheme="minorEastAsia"/>
                <w:szCs w:val="21"/>
                <w:lang w:val="en-US" w:eastAsia="zh-CN"/>
              </w:rPr>
            </w:pPr>
            <w:r>
              <w:rPr>
                <w:rFonts w:hint="eastAsia"/>
                <w:szCs w:val="21"/>
                <w:lang w:val="en-US" w:eastAsia="zh-CN"/>
              </w:rPr>
              <w:t>0</w:t>
            </w:r>
          </w:p>
        </w:tc>
        <w:tc>
          <w:tcPr>
            <w:tcW w:w="472" w:type="dxa"/>
            <w:vAlign w:val="center"/>
          </w:tcPr>
          <w:p>
            <w:pPr>
              <w:rPr>
                <w:rFonts w:hint="eastAsia" w:eastAsiaTheme="minorEastAsia"/>
                <w:szCs w:val="21"/>
                <w:lang w:val="en-US" w:eastAsia="zh-CN"/>
              </w:rPr>
            </w:pPr>
            <w:r>
              <w:rPr>
                <w:rFonts w:hint="eastAsia"/>
                <w:szCs w:val="21"/>
                <w:lang w:val="en-US" w:eastAsia="zh-CN"/>
              </w:rPr>
              <w:t>0</w:t>
            </w:r>
          </w:p>
        </w:tc>
        <w:tc>
          <w:tcPr>
            <w:tcW w:w="700" w:type="dxa"/>
            <w:vAlign w:val="center"/>
          </w:tcPr>
          <w:p>
            <w:pPr>
              <w:rPr>
                <w:rFonts w:hint="eastAsia" w:eastAsiaTheme="minorEastAsia"/>
                <w:szCs w:val="21"/>
                <w:lang w:val="en-US" w:eastAsia="zh-CN"/>
              </w:rPr>
            </w:pPr>
            <w:r>
              <w:rPr>
                <w:rFonts w:hint="eastAsia"/>
                <w:szCs w:val="21"/>
                <w:lang w:val="en-US" w:eastAsia="zh-CN"/>
              </w:rPr>
              <w:t>0</w:t>
            </w:r>
          </w:p>
        </w:tc>
        <w:tc>
          <w:tcPr>
            <w:tcW w:w="534" w:type="dxa"/>
            <w:vAlign w:val="center"/>
          </w:tcPr>
          <w:p>
            <w:pPr>
              <w:rPr>
                <w:rFonts w:hint="eastAsia" w:eastAsiaTheme="minorEastAsia"/>
                <w:szCs w:val="21"/>
                <w:lang w:val="en-US" w:eastAsia="zh-CN"/>
              </w:rPr>
            </w:pPr>
            <w:r>
              <w:rPr>
                <w:rFonts w:hint="eastAsia"/>
                <w:szCs w:val="21"/>
                <w:lang w:val="en-US" w:eastAsia="zh-CN"/>
              </w:rPr>
              <w:t>0</w:t>
            </w:r>
          </w:p>
        </w:tc>
        <w:tc>
          <w:tcPr>
            <w:tcW w:w="630" w:type="dxa"/>
            <w:vAlign w:val="center"/>
          </w:tcPr>
          <w:p>
            <w:pPr>
              <w:rPr>
                <w:rFonts w:hint="eastAsia" w:eastAsiaTheme="minorEastAsia"/>
                <w:szCs w:val="21"/>
                <w:lang w:val="en-US" w:eastAsia="zh-CN"/>
              </w:rPr>
            </w:pPr>
            <w:r>
              <w:rPr>
                <w:rFonts w:hint="eastAsia"/>
                <w:szCs w:val="21"/>
                <w:lang w:val="en-US" w:eastAsia="zh-CN"/>
              </w:rPr>
              <w:t>0</w:t>
            </w:r>
          </w:p>
        </w:tc>
        <w:tc>
          <w:tcPr>
            <w:tcW w:w="582" w:type="dxa"/>
            <w:vAlign w:val="center"/>
          </w:tcPr>
          <w:p>
            <w:pPr>
              <w:rPr>
                <w:rFonts w:hint="eastAsia" w:eastAsiaTheme="minorEastAsia"/>
                <w:szCs w:val="21"/>
                <w:lang w:val="en-US" w:eastAsia="zh-CN"/>
              </w:rPr>
            </w:pPr>
            <w:r>
              <w:rPr>
                <w:rFonts w:hint="eastAsia"/>
                <w:szCs w:val="21"/>
                <w:lang w:val="en-US" w:eastAsia="zh-CN"/>
              </w:rPr>
              <w:t>0</w:t>
            </w:r>
          </w:p>
        </w:tc>
        <w:tc>
          <w:tcPr>
            <w:tcW w:w="354" w:type="dxa"/>
            <w:vAlign w:val="center"/>
          </w:tcPr>
          <w:p>
            <w:pPr>
              <w:rPr>
                <w:rFonts w:hint="eastAsia" w:eastAsiaTheme="minorEastAsia"/>
                <w:szCs w:val="21"/>
                <w:lang w:val="en-US" w:eastAsia="zh-CN"/>
              </w:rPr>
            </w:pPr>
            <w:r>
              <w:rPr>
                <w:rFonts w:hint="eastAsia"/>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157" w:afterAutospacing="0" w:line="560" w:lineRule="atLeast"/>
        <w:ind w:left="0" w:right="0" w:firstLine="640"/>
        <w:rPr>
          <w:rFonts w:ascii="宋体" w:hAnsi="宋体" w:eastAsia="宋体" w:cs="宋体"/>
          <w:b w:val="0"/>
          <w:i w:val="0"/>
          <w:caps w:val="0"/>
          <w:color w:val="000000"/>
          <w:spacing w:val="0"/>
          <w:sz w:val="19"/>
          <w:szCs w:val="19"/>
        </w:rPr>
      </w:pPr>
      <w:r>
        <w:rPr>
          <w:rFonts w:ascii="黑体" w:hAnsi="宋体" w:eastAsia="黑体" w:cs="黑体"/>
          <w:b w:val="0"/>
          <w:i w:val="0"/>
          <w:caps w:val="0"/>
          <w:color w:val="000000"/>
          <w:spacing w:val="0"/>
          <w:sz w:val="32"/>
          <w:szCs w:val="32"/>
          <w:bdr w:val="none" w:color="auto" w:sz="0" w:space="0"/>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b w:val="0"/>
          <w:i w:val="0"/>
          <w:caps w:val="0"/>
          <w:color w:val="000000"/>
          <w:spacing w:val="0"/>
          <w:sz w:val="19"/>
          <w:szCs w:val="19"/>
        </w:rPr>
      </w:pPr>
      <w:r>
        <w:rPr>
          <w:rFonts w:ascii="仿宋_GB2312" w:hAnsi="宋体" w:eastAsia="仿宋_GB2312" w:cs="仿宋_GB2312"/>
          <w:b w:val="0"/>
          <w:i w:val="0"/>
          <w:caps w:val="0"/>
          <w:color w:val="000000"/>
          <w:spacing w:val="0"/>
          <w:sz w:val="32"/>
          <w:szCs w:val="32"/>
          <w:bdr w:val="none" w:color="auto" w:sz="0" w:space="0"/>
        </w:rPr>
        <w:t>自使用信息公开新平台以来，</w:t>
      </w:r>
      <w:r>
        <w:rPr>
          <w:rFonts w:hint="eastAsia" w:ascii="仿宋_GB2312" w:hAnsi="宋体" w:eastAsia="仿宋_GB2312" w:cs="仿宋_GB2312"/>
          <w:b w:val="0"/>
          <w:i w:val="0"/>
          <w:caps w:val="0"/>
          <w:color w:val="000000"/>
          <w:spacing w:val="0"/>
          <w:sz w:val="32"/>
          <w:szCs w:val="32"/>
          <w:bdr w:val="none" w:color="auto" w:sz="0" w:space="0"/>
          <w:lang w:eastAsia="zh-CN"/>
        </w:rPr>
        <w:t>县水利局</w:t>
      </w:r>
      <w:r>
        <w:rPr>
          <w:rFonts w:ascii="仿宋_GB2312" w:hAnsi="宋体" w:eastAsia="仿宋_GB2312" w:cs="仿宋_GB2312"/>
          <w:b w:val="0"/>
          <w:i w:val="0"/>
          <w:caps w:val="0"/>
          <w:color w:val="000000"/>
          <w:spacing w:val="0"/>
          <w:sz w:val="32"/>
          <w:szCs w:val="32"/>
          <w:bdr w:val="none" w:color="auto" w:sz="0" w:space="0"/>
        </w:rPr>
        <w:t>按照</w:t>
      </w:r>
      <w:r>
        <w:rPr>
          <w:rFonts w:hint="eastAsia" w:ascii="仿宋_GB2312" w:hAnsi="宋体" w:eastAsia="仿宋_GB2312" w:cs="仿宋_GB2312"/>
          <w:b w:val="0"/>
          <w:i w:val="0"/>
          <w:caps w:val="0"/>
          <w:color w:val="000000"/>
          <w:spacing w:val="0"/>
          <w:sz w:val="32"/>
          <w:szCs w:val="32"/>
          <w:bdr w:val="none" w:color="auto" w:sz="0" w:space="0"/>
          <w:lang w:eastAsia="zh-CN"/>
        </w:rPr>
        <w:t>县</w:t>
      </w:r>
      <w:r>
        <w:rPr>
          <w:rFonts w:ascii="仿宋_GB2312" w:hAnsi="宋体" w:eastAsia="仿宋_GB2312" w:cs="仿宋_GB2312"/>
          <w:b w:val="0"/>
          <w:i w:val="0"/>
          <w:caps w:val="0"/>
          <w:color w:val="000000"/>
          <w:spacing w:val="0"/>
          <w:sz w:val="32"/>
          <w:szCs w:val="32"/>
          <w:bdr w:val="none" w:color="auto" w:sz="0" w:space="0"/>
        </w:rPr>
        <w:t>政府办统一要求进行问题整改。对照整改通知，积极整改出现的问题，目前已整改完毕。在接下来的工作中，会严格按照各项要求及时、规范上传各项信息。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仿宋_GB2312" w:hAnsi="宋体" w:eastAsia="仿宋_GB2312" w:cs="仿宋_GB2312"/>
          <w:b w:val="0"/>
          <w:i w:val="0"/>
          <w:caps w:val="0"/>
          <w:color w:val="000000"/>
          <w:spacing w:val="0"/>
          <w:sz w:val="32"/>
          <w:szCs w:val="32"/>
        </w:rPr>
      </w:pPr>
      <w:r>
        <w:rPr>
          <w:rFonts w:ascii="仿宋_GB2312" w:hAnsi="宋体" w:eastAsia="仿宋_GB2312" w:cs="仿宋_GB2312"/>
          <w:b w:val="0"/>
          <w:i w:val="0"/>
          <w:caps w:val="0"/>
          <w:color w:val="000000"/>
          <w:spacing w:val="0"/>
          <w:sz w:val="32"/>
          <w:szCs w:val="32"/>
        </w:rPr>
        <w:t>1、</w:t>
      </w:r>
      <w:r>
        <w:rPr>
          <w:rFonts w:hint="eastAsia" w:ascii="仿宋_GB2312" w:hAnsi="宋体" w:eastAsia="仿宋_GB2312" w:cs="仿宋_GB2312"/>
          <w:b w:val="0"/>
          <w:i w:val="0"/>
          <w:caps w:val="0"/>
          <w:color w:val="000000"/>
          <w:spacing w:val="0"/>
          <w:sz w:val="32"/>
          <w:szCs w:val="32"/>
        </w:rPr>
        <w:t>建立长效机制。</w:t>
      </w:r>
      <w:r>
        <w:rPr>
          <w:rFonts w:ascii="仿宋_GB2312" w:hAnsi="宋体" w:eastAsia="仿宋_GB2312" w:cs="仿宋_GB2312"/>
          <w:b w:val="0"/>
          <w:i w:val="0"/>
          <w:caps w:val="0"/>
          <w:color w:val="000000"/>
          <w:spacing w:val="0"/>
          <w:sz w:val="32"/>
          <w:szCs w:val="32"/>
        </w:rPr>
        <w:t>不断完善政务信息公开制度，加强中间过程的检查督导工作，促进政务信息公开工作更加规范和完整。对原有的政府信息公开目录进行补充完善，保证公开信息的完整性和准确性。强化责任意识，提高采集业务数据的及时性、准确性，及时更新信息内容、提高信息公开工作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lang w:val="en-US" w:eastAsia="zh-CN"/>
        </w:rPr>
        <w:t>2、</w:t>
      </w:r>
      <w:r>
        <w:rPr>
          <w:rFonts w:hint="eastAsia" w:ascii="仿宋_GB2312" w:hAnsi="宋体" w:eastAsia="仿宋_GB2312" w:cs="仿宋_GB2312"/>
          <w:b w:val="0"/>
          <w:i w:val="0"/>
          <w:caps w:val="0"/>
          <w:color w:val="000000"/>
          <w:spacing w:val="0"/>
          <w:sz w:val="32"/>
          <w:szCs w:val="32"/>
        </w:rPr>
        <w:t>充实公开内容。按照“以公开为原则，不公开为例外”的总体要求，进一步按照政府公开信息目录，重点推进政府的信息公开公众。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60" w:lineRule="atLeast"/>
        <w:ind w:left="0" w:right="0" w:firstLine="640"/>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rPr>
        <w:t>3、</w:t>
      </w:r>
      <w:r>
        <w:rPr>
          <w:rFonts w:ascii="仿宋_GB2312" w:hAnsi="宋体" w:eastAsia="仿宋_GB2312" w:cs="仿宋_GB2312"/>
          <w:b w:val="0"/>
          <w:i w:val="0"/>
          <w:caps w:val="0"/>
          <w:color w:val="000000"/>
          <w:spacing w:val="0"/>
          <w:sz w:val="32"/>
          <w:szCs w:val="32"/>
        </w:rPr>
        <w:t>规范工作流程。</w:t>
      </w:r>
      <w:r>
        <w:rPr>
          <w:rFonts w:hint="eastAsia" w:ascii="仿宋_GB2312" w:hAnsi="宋体" w:eastAsia="仿宋_GB2312" w:cs="仿宋_GB2312"/>
          <w:b w:val="0"/>
          <w:i w:val="0"/>
          <w:caps w:val="0"/>
          <w:color w:val="000000"/>
          <w:spacing w:val="0"/>
          <w:sz w:val="32"/>
          <w:szCs w:val="32"/>
        </w:rPr>
        <w:t>规范信息发布，继续探索政府信息公开与办公信息化建设相结合的有效方式，以信息公开促进群众监督参与，以信息公开促进依法行政水平，不断提高工作和服务质量，切实维护公众的知情权、参与权和监督权。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60" w:lineRule="atLeast"/>
        <w:ind w:left="0" w:right="0" w:firstLine="640"/>
        <w:rPr>
          <w:rFonts w:hint="eastAsia" w:ascii="宋体" w:hAnsi="宋体" w:eastAsia="宋体" w:cs="宋体"/>
          <w:b w:val="0"/>
          <w:i w:val="0"/>
          <w:caps w:val="0"/>
          <w:color w:val="000000"/>
          <w:spacing w:val="0"/>
          <w:sz w:val="19"/>
          <w:szCs w:val="19"/>
        </w:rPr>
      </w:pPr>
      <w:r>
        <w:rPr>
          <w:rFonts w:hint="eastAsia" w:ascii="黑体" w:hAnsi="宋体" w:eastAsia="黑体" w:cs="黑体"/>
          <w:b w:val="0"/>
          <w:i w:val="0"/>
          <w:caps w:val="0"/>
          <w:color w:val="000000"/>
          <w:spacing w:val="0"/>
          <w:sz w:val="32"/>
          <w:szCs w:val="32"/>
          <w:bdr w:val="none" w:color="auto" w:sz="0" w:space="0"/>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宋体" w:eastAsia="仿宋_GB2312" w:cs="仿宋_GB2312"/>
          <w:b w:val="0"/>
          <w:i w:val="0"/>
          <w:caps w:val="0"/>
          <w:color w:val="000000"/>
          <w:spacing w:val="0"/>
          <w:sz w:val="32"/>
          <w:szCs w:val="32"/>
          <w:bdr w:val="none" w:color="auto" w:sz="0" w:space="0"/>
        </w:rPr>
      </w:pPr>
      <w:r>
        <w:rPr>
          <w:rFonts w:hint="eastAsia" w:ascii="仿宋_GB2312" w:hAnsi="宋体" w:eastAsia="仿宋_GB2312" w:cs="仿宋_GB2312"/>
          <w:b w:val="0"/>
          <w:i w:val="0"/>
          <w:caps w:val="0"/>
          <w:color w:val="000000"/>
          <w:spacing w:val="0"/>
          <w:sz w:val="32"/>
          <w:szCs w:val="32"/>
          <w:bdr w:val="none" w:color="auto" w:sz="0" w:space="0"/>
        </w:rPr>
        <w:t>无其他需要报告的事项。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宋体" w:eastAsia="仿宋_GB2312" w:cs="仿宋_GB2312"/>
          <w:b w:val="0"/>
          <w:i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宋体" w:eastAsia="仿宋_GB2312" w:cs="仿宋_GB2312"/>
          <w:b w:val="0"/>
          <w:i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宋体" w:eastAsia="仿宋_GB2312" w:cs="仿宋_GB2312"/>
          <w:b w:val="0"/>
          <w:i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宋体" w:eastAsia="仿宋_GB2312" w:cs="仿宋_GB2312"/>
          <w:b w:val="0"/>
          <w:i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宋体" w:eastAsia="仿宋_GB2312" w:cs="仿宋_GB2312"/>
          <w:b w:val="0"/>
          <w:i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_GB2312" w:hAnsi="宋体" w:eastAsia="仿宋_GB2312" w:cs="仿宋_GB2312"/>
          <w:b w:val="0"/>
          <w:i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center"/>
        <w:rPr>
          <w:rFonts w:hint="eastAsia" w:ascii="仿宋_GB2312" w:hAnsi="宋体" w:eastAsia="仿宋_GB2312" w:cs="仿宋_GB2312"/>
          <w:b w:val="0"/>
          <w:i w:val="0"/>
          <w:caps w:val="0"/>
          <w:color w:val="000000"/>
          <w:spacing w:val="0"/>
          <w:sz w:val="32"/>
          <w:szCs w:val="32"/>
          <w:bdr w:val="none" w:color="auto" w:sz="0" w:space="0"/>
          <w:lang w:eastAsia="zh-CN"/>
        </w:rPr>
      </w:pPr>
      <w:r>
        <w:rPr>
          <w:rFonts w:hint="eastAsia" w:ascii="仿宋_GB2312" w:hAnsi="宋体" w:eastAsia="仿宋_GB2312" w:cs="仿宋_GB2312"/>
          <w:b w:val="0"/>
          <w:i w:val="0"/>
          <w:caps w:val="0"/>
          <w:color w:val="000000"/>
          <w:spacing w:val="0"/>
          <w:sz w:val="32"/>
          <w:szCs w:val="32"/>
          <w:bdr w:val="none" w:color="auto" w:sz="0" w:space="0"/>
          <w:lang w:val="en-US" w:eastAsia="zh-CN"/>
        </w:rPr>
        <w:t xml:space="preserve">                                </w:t>
      </w:r>
      <w:bookmarkStart w:id="0" w:name="_GoBack"/>
      <w:bookmarkEnd w:id="0"/>
      <w:r>
        <w:rPr>
          <w:rFonts w:hint="eastAsia" w:ascii="仿宋_GB2312" w:hAnsi="宋体" w:eastAsia="仿宋_GB2312" w:cs="仿宋_GB2312"/>
          <w:b w:val="0"/>
          <w:i w:val="0"/>
          <w:caps w:val="0"/>
          <w:color w:val="000000"/>
          <w:spacing w:val="0"/>
          <w:sz w:val="32"/>
          <w:szCs w:val="32"/>
          <w:bdr w:val="none" w:color="auto" w:sz="0" w:space="0"/>
          <w:lang w:eastAsia="zh-CN"/>
        </w:rPr>
        <w:t>桓台县水利局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right"/>
        <w:rPr>
          <w:rFonts w:hint="default" w:ascii="仿宋_GB2312" w:hAnsi="宋体" w:eastAsia="仿宋_GB2312" w:cs="仿宋_GB2312"/>
          <w:b w:val="0"/>
          <w:i w:val="0"/>
          <w:caps w:val="0"/>
          <w:color w:val="000000"/>
          <w:spacing w:val="0"/>
          <w:sz w:val="32"/>
          <w:szCs w:val="32"/>
          <w:bdr w:val="none" w:color="auto" w:sz="0" w:space="0"/>
          <w:lang w:val="en-US" w:eastAsia="zh-CN"/>
        </w:rPr>
      </w:pPr>
      <w:r>
        <w:rPr>
          <w:rFonts w:hint="eastAsia" w:ascii="仿宋_GB2312" w:hAnsi="宋体" w:eastAsia="仿宋_GB2312" w:cs="仿宋_GB2312"/>
          <w:b w:val="0"/>
          <w:i w:val="0"/>
          <w:caps w:val="0"/>
          <w:color w:val="000000"/>
          <w:spacing w:val="0"/>
          <w:sz w:val="32"/>
          <w:szCs w:val="32"/>
          <w:bdr w:val="none" w:color="auto" w:sz="0" w:space="0"/>
          <w:lang w:val="en-US" w:eastAsia="zh-CN"/>
        </w:rPr>
        <w:t>2021年1月26日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bdr w:val="none" w:color="auto" w:sz="0" w:space="0"/>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p>
      <w:pPr>
        <w:ind w:firstLine="640" w:firstLineChars="200"/>
        <w:jc w:val="left"/>
        <w:rPr>
          <w:rFonts w:hint="eastAsia" w:ascii="仿宋_GB2312" w:hAnsi="宋体" w:eastAsia="仿宋_GB2312" w:cs="仿宋_GB2312"/>
          <w:b w:val="0"/>
          <w:i w:val="0"/>
          <w:caps w:val="0"/>
          <w:color w:val="000000"/>
          <w:spacing w:val="0"/>
          <w:sz w:val="32"/>
          <w:szCs w:val="32"/>
          <w:bdr w:val="none" w:color="auto" w:sz="0" w:space="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660B"/>
    <w:multiLevelType w:val="singleLevel"/>
    <w:tmpl w:val="A452660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20EF2"/>
    <w:rsid w:val="3FC12D29"/>
    <w:rsid w:val="45D358E5"/>
    <w:rsid w:val="4B6C2538"/>
    <w:rsid w:val="55155E60"/>
    <w:rsid w:val="56477162"/>
    <w:rsid w:val="56F4155A"/>
    <w:rsid w:val="58423826"/>
    <w:rsid w:val="6D54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uiPriority w:val="0"/>
    <w:rPr>
      <w:rFonts w:ascii="宋体" w:hAnsi="宋体" w:eastAsia="宋体" w:cs="宋体"/>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2021-01-26T03:07:33Z</dcterms:created>
  <dc:creator>Administrator</dc:creator>
  <cp:lastModifiedBy>Administrator</cp:lastModifiedBy>
  <dcterms:modified xsi:type="dcterms:W3CDTF">2021-01-26T07:18:35Z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