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桓台县商务局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再生资源</w:t>
      </w:r>
      <w:r>
        <w:rPr>
          <w:rFonts w:hint="eastAsia" w:ascii="方正小标宋简体" w:eastAsia="方正小标宋简体"/>
          <w:sz w:val="44"/>
          <w:szCs w:val="44"/>
        </w:rPr>
        <w:t>备案服务事项指南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再生资源回收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管理办法》（商务部、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公安部、建设部、工商总局、环保总局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符合工商行政管理登记条件的再生资源企业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1、企业注册：企业登录商务部网站，从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业务系统统一平台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emanage.mofcom.gov.cn/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），录入企业完整信息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进行企业注册，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获得用户名和密码。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Times New Roman" w:eastAsia="仿宋_GB2312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</w:rPr>
        <w:t>2、企业登录：再生资源企业用得到的用户名和密码登录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商务部业务信息管理平台再生资源</w:t>
      </w:r>
      <w:r>
        <w:rPr>
          <w:rFonts w:hint="default" w:ascii="仿宋_GB2312" w:hAnsi="Times New Roman" w:eastAsia="仿宋_GB2312"/>
          <w:sz w:val="32"/>
          <w:szCs w:val="32"/>
        </w:rPr>
        <w:t>系统。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Times New Roman" w:eastAsia="仿宋_GB2312"/>
          <w:sz w:val="32"/>
          <w:szCs w:val="32"/>
        </w:rPr>
      </w:pPr>
      <w:bookmarkStart w:id="0" w:name="_GoBack"/>
      <w:r>
        <w:rPr>
          <w:rFonts w:hint="default" w:ascii="仿宋_GB2312" w:hAnsi="Times New Roman" w:eastAsia="仿宋_GB2312"/>
          <w:sz w:val="32"/>
          <w:szCs w:val="32"/>
        </w:rPr>
        <w:t>3、企业备案：再生资源企业登录系统后填报再生资源备案申请表。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、收费依据和标准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、咨询监督电话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桓台县商务局8180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再生资源回收经营者备案业务流程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</w:rPr>
      </w:pPr>
      <w:r>
        <w:rPr>
          <w:sz w:val="32"/>
        </w:rPr>
        <w:pict>
          <v:shape id="_x0000_s1036" o:spid="_x0000_s1036" o:spt="202" type="#_x0000_t202" style="position:absolute;left:0pt;margin-left:308.2pt;margin-top:21.9pt;height:167.2pt;width:74.25pt;z-index:2516766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企业备案公示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5" o:spid="_x0000_s1035" o:spt="13" type="#_x0000_t13" style="position:absolute;left:0pt;margin-left:263.95pt;margin-top:93.85pt;height:19.5pt;width:36pt;z-index:251675648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3" o:spid="_x0000_s1033" o:spt="202" type="#_x0000_t202" style="position:absolute;left:0pt;margin-left:184.45pt;margin-top:22.65pt;height:167.2pt;width:75.05pt;z-index:2516674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再生资源信息管理系统获取信息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2" o:spid="_x0000_s1032" o:spt="202" type="#_x0000_t202" style="position:absolute;left:0pt;margin-left:68.95pt;margin-top:23.35pt;height:166.5pt;width:70.45pt;z-index:2516664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商务部再生资源信息共享平台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1" o:spid="_x0000_s1031" o:spt="13" type="#_x0000_t13" style="position:absolute;left:0pt;margin-left:145.45pt;margin-top:93.1pt;height:19.5pt;width:36pt;z-index:251665408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0" o:spid="_x0000_s1030" o:spt="13" type="#_x0000_t13" style="position:absolute;left:0pt;margin-left:23.2pt;margin-top:93.85pt;height:19.5pt;width:36pt;z-index:251661312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27" o:spid="_x0000_s1027" o:spt="202" type="#_x0000_t202" style="position:absolute;left:0pt;margin-left:-55.55pt;margin-top:23.35pt;height:167.95pt;width:72pt;z-index:2516582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工行部门（市场监管）采集企业信息</w:t>
                  </w:r>
                </w:p>
              </w:txbxContent>
            </v:textbox>
          </v:shape>
        </w:pic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3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推送</w: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4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w:pict>
          <v:shape id="_x0000_s1039" o:spid="_x0000_s1039" o:spt="67" type="#_x0000_t67" style="position:absolute;left:0pt;margin-left:337.45pt;margin-top:73.5pt;height:34.5pt;width:19.5pt;z-index:251682816;mso-width-relative:page;mso-height-relative:page;" fillcolor="#FFFFFF" filled="t" stroked="t" coordsize="21600,21600" adj="162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8" o:spid="_x0000_s1038" o:spt="202" type="#_x0000_t202" style="position:absolute;left:0pt;margin-left:308.25pt;margin-top:111.75pt;height:160.5pt;width:74.95pt;z-index:25168179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企业备案通过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数据</w:t>
      </w:r>
    </w:p>
    <w:p>
      <w:pPr>
        <w:bidi w:val="0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229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w:pict>
          <v:shape id="_x0000_s1043" o:spid="_x0000_s1043" o:spt="202" type="#_x0000_t202" style="position:absolute;left:0pt;margin-left:70.45pt;margin-top:32.25pt;height:159.8pt;width:69pt;z-index:2517125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上报经营年报（选填）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2" o:spid="_x0000_s1042" o:spt="66" type="#_x0000_t66" style="position:absolute;left:0pt;margin-left:147.7pt;margin-top:94.5pt;height:19.5pt;width:36.75pt;z-index:251711488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1" o:spid="_x0000_s1041" o:spt="202" type="#_x0000_t202" style="position:absolute;left:0pt;margin-left:187.4pt;margin-top:31.5pt;height:161.25pt;width:70.55pt;z-index:2516848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企业打印备案登记证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0" o:spid="_x0000_s1040" o:spt="66" type="#_x0000_t66" style="position:absolute;left:0pt;margin-left:266.95pt;margin-top:90pt;height:19.5pt;width:36.75pt;z-index:251683840;mso-width-relative:page;mso-height-relative:page;" fillcolor="#FFFFFF" filled="t" stroked="t" coordsize="21600,21600" adj="5400,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30天</w:t>
      </w:r>
    </w:p>
    <w:p>
      <w:pPr>
        <w:bidi w:val="0"/>
        <w:rPr>
          <w:rFonts w:hint="default"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企业或个体工商户到工商（市场监管）部门填写备案登记信息；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工商（市场监管）部门核准企业或个体工商户基本信息后，将数据推送至省商务厅，省商务厅再将数据推送至商务部再生资源信息共享平台；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信息共享平台接受数据后，通过企业或个体工商户填写的手机号，将再生资源信息管理系统的登录账号和初始密码发送给企业（个体工商户）；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企业或个体工商户第一次登陆再生资源信息管理系统时，该企业或个体工商户状态显示为“备案公示”；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公示时间为30天，公示结束后，状态变更为“备案通过”；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备案通过后，企业或个体工商户可登录再生资源信息管理系统，自行打印“再生资源回收企业备案登记证”；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备案通过后，企业或个体工商户自愿登录再生资源信息管理系统上报经营年报。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839FD"/>
    <w:multiLevelType w:val="singleLevel"/>
    <w:tmpl w:val="9BC839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22BB"/>
    <w:rsid w:val="002338DA"/>
    <w:rsid w:val="00320572"/>
    <w:rsid w:val="0032403C"/>
    <w:rsid w:val="00527BB4"/>
    <w:rsid w:val="007D22BB"/>
    <w:rsid w:val="00AC308B"/>
    <w:rsid w:val="018C0194"/>
    <w:rsid w:val="05F4413B"/>
    <w:rsid w:val="067F40CF"/>
    <w:rsid w:val="08E42509"/>
    <w:rsid w:val="0DAE2974"/>
    <w:rsid w:val="120B74C3"/>
    <w:rsid w:val="19962F04"/>
    <w:rsid w:val="2521646F"/>
    <w:rsid w:val="2748076B"/>
    <w:rsid w:val="49790CAC"/>
    <w:rsid w:val="6D4A64D1"/>
    <w:rsid w:val="76F328BA"/>
    <w:rsid w:val="7DB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000000"/>
      <w:u w:val="none"/>
    </w:rPr>
  </w:style>
  <w:style w:type="character" w:styleId="6">
    <w:name w:val="Hyperlink"/>
    <w:basedOn w:val="4"/>
    <w:semiHidden/>
    <w:unhideWhenUsed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4"/>
    <w:link w:val="2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sp1"/>
    <w:basedOn w:val="4"/>
    <w:uiPriority w:val="0"/>
    <w:rPr>
      <w:color w:val="95959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3"/>
    <customShpInfo spid="_x0000_s1032"/>
    <customShpInfo spid="_x0000_s1031"/>
    <customShpInfo spid="_x0000_s1030"/>
    <customShpInfo spid="_x0000_s1027"/>
    <customShpInfo spid="_x0000_s1039"/>
    <customShpInfo spid="_x0000_s1038"/>
    <customShpInfo spid="_x0000_s1043"/>
    <customShpInfo spid="_x0000_s1042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770</Characters>
  <Lines>6</Lines>
  <Paragraphs>1</Paragraphs>
  <TotalTime>19</TotalTime>
  <ScaleCrop>false</ScaleCrop>
  <LinksUpToDate>false</LinksUpToDate>
  <CharactersWithSpaces>904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2019-12-13T01:59:00Z</dcterms:created>
  <dc:creator>User</dc:creator>
  <cp:lastModifiedBy>Administrator</cp:lastModifiedBy>
  <dcterms:modified xsi:type="dcterms:W3CDTF">2019-12-16T03:26:54Z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