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sz w:val="20"/>
        </w:rPr>
      </w:pPr>
      <w:bookmarkStart w:id="0" w:name="_GoBack"/>
      <w:bookmarkEnd w:id="0"/>
    </w:p>
    <w:p>
      <w:pPr>
        <w:pStyle w:val="3"/>
        <w:spacing w:before="3"/>
        <w:ind w:left="0"/>
        <w:rPr>
          <w:sz w:val="21"/>
        </w:rPr>
      </w:pPr>
    </w:p>
    <w:p>
      <w:pPr>
        <w:spacing w:after="0"/>
        <w:rPr>
          <w:sz w:val="21"/>
        </w:rPr>
        <w:sectPr>
          <w:footerReference r:id="rId5" w:type="default"/>
          <w:footerReference r:id="rId6" w:type="even"/>
          <w:pgSz w:w="11910" w:h="16840"/>
          <w:pgMar w:top="1600" w:right="280" w:bottom="1200" w:left="960" w:header="0" w:footer="1009" w:gutter="0"/>
          <w:pgNumType w:start="20"/>
          <w:cols w:space="720" w:num="1"/>
        </w:sectPr>
      </w:pPr>
    </w:p>
    <w:p>
      <w:pPr>
        <w:pStyle w:val="3"/>
        <w:spacing w:before="56"/>
        <w:ind w:left="502"/>
        <w:rPr>
          <w:rFonts w:hint="eastAsia" w:ascii="黑体" w:eastAsia="黑体"/>
        </w:rPr>
      </w:pPr>
    </w:p>
    <w:p>
      <w:pPr>
        <w:pStyle w:val="3"/>
        <w:spacing w:before="7"/>
        <w:ind w:left="0"/>
        <w:rPr>
          <w:rFonts w:ascii="黑体"/>
          <w:sz w:val="4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桓台县商务局</w:t>
      </w:r>
    </w:p>
    <w:p>
      <w:pPr>
        <w:spacing w:after="0"/>
        <w:jc w:val="center"/>
        <w:sectPr>
          <w:type w:val="continuous"/>
          <w:pgSz w:w="11910" w:h="16840"/>
          <w:pgMar w:top="1340" w:right="280" w:bottom="1020" w:left="960" w:header="720" w:footer="720" w:gutter="0"/>
          <w:cols w:equalWidth="0" w:num="2">
            <w:col w:w="1384" w:space="40"/>
            <w:col w:w="9246"/>
          </w:cols>
        </w:sectPr>
      </w:pPr>
      <w:r>
        <w:rPr>
          <w:rFonts w:hint="eastAsia" w:ascii="方正小标宋简体" w:hAnsi="方正小标宋简体" w:eastAsia="方正小标宋简体" w:cs="方正小标宋简体"/>
          <w:b w:val="0"/>
          <w:bCs w:val="0"/>
          <w:sz w:val="44"/>
          <w:szCs w:val="44"/>
          <w:lang w:val="en-US" w:eastAsia="zh-CN"/>
        </w:rPr>
        <w:t>2021年度</w:t>
      </w:r>
      <w:r>
        <w:rPr>
          <w:rFonts w:hint="eastAsia" w:ascii="方正小标宋简体" w:hAnsi="方正小标宋简体" w:eastAsia="方正小标宋简体" w:cs="方正小标宋简体"/>
          <w:b w:val="0"/>
          <w:bCs w:val="0"/>
          <w:sz w:val="44"/>
          <w:szCs w:val="44"/>
        </w:rPr>
        <w:t>政府信息公开工作年度报告</w:t>
      </w:r>
    </w:p>
    <w:p>
      <w:pPr>
        <w:pStyle w:val="3"/>
        <w:ind w:left="0"/>
        <w:rPr>
          <w:rFonts w:ascii="方正小标宋简体"/>
          <w:sz w:val="20"/>
        </w:rPr>
      </w:pPr>
    </w:p>
    <w:p>
      <w:pPr>
        <w:pStyle w:val="3"/>
        <w:ind w:left="0" w:firstLine="640" w:firstLineChars="200"/>
        <w:rPr>
          <w:rFonts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本报告根据《中华人民共和国政府信息公开条例》的规定，由桓台县</w:t>
      </w:r>
      <w:r>
        <w:rPr>
          <w:rFonts w:hint="eastAsia" w:ascii="仿宋" w:hAnsi="仿宋" w:eastAsia="仿宋" w:cs="仿宋"/>
          <w:i w:val="0"/>
          <w:iCs w:val="0"/>
          <w:caps w:val="0"/>
          <w:color w:val="000000"/>
          <w:spacing w:val="0"/>
          <w:sz w:val="32"/>
          <w:szCs w:val="32"/>
          <w:shd w:val="clear" w:fill="FFFFFF"/>
          <w:lang w:eastAsia="zh-CN"/>
        </w:rPr>
        <w:t>商务局</w:t>
      </w:r>
      <w:r>
        <w:rPr>
          <w:rFonts w:hint="eastAsia" w:ascii="仿宋" w:hAnsi="仿宋" w:eastAsia="仿宋" w:cs="仿宋"/>
          <w:i w:val="0"/>
          <w:iCs w:val="0"/>
          <w:caps w:val="0"/>
          <w:color w:val="000000"/>
          <w:spacing w:val="0"/>
          <w:sz w:val="32"/>
          <w:szCs w:val="32"/>
          <w:shd w:val="clear" w:fill="FFFFFF"/>
        </w:rPr>
        <w:t>编制。本年度报告分为总体情况、主动公开政府信息情况、收到和处理政府信息公开申请情况、政府信息公开行政复议及行政诉讼情况、存在的主要问题及改进情况、其他需要报告的事项等六部分内容。统计数据时限自2021年1月1日至2021年12月31日。现将有关情况报告如下：</w:t>
      </w:r>
    </w:p>
    <w:p>
      <w:pPr>
        <w:pStyle w:val="3"/>
        <w:spacing w:before="56"/>
        <w:ind w:left="502"/>
        <w:rPr>
          <w:rFonts w:ascii="仿宋" w:hAnsi="仿宋" w:eastAsia="仿宋" w:cs="仿宋"/>
          <w:i w:val="0"/>
          <w:iCs w:val="0"/>
          <w:caps w:val="0"/>
          <w:color w:val="000000"/>
          <w:spacing w:val="0"/>
          <w:sz w:val="32"/>
          <w:szCs w:val="32"/>
          <w:shd w:val="clear" w:fill="FFFFFF"/>
        </w:rPr>
      </w:pPr>
      <w:r>
        <w:rPr>
          <w:rFonts w:hint="eastAsia" w:ascii="黑体" w:eastAsia="黑体"/>
        </w:rPr>
        <w:t>一、总体情况</w:t>
      </w:r>
    </w:p>
    <w:p>
      <w:pPr>
        <w:pStyle w:val="3"/>
        <w:ind w:left="0" w:firstLine="640" w:firstLineChars="200"/>
        <w:rPr>
          <w:rFonts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（一）主动公开情况</w:t>
      </w:r>
    </w:p>
    <w:p>
      <w:pPr>
        <w:pStyle w:val="3"/>
        <w:ind w:left="0" w:firstLine="640" w:firstLineChars="200"/>
        <w:rPr>
          <w:rFonts w:hint="eastAsia" w:ascii="仿宋" w:hAnsi="仿宋" w:eastAsia="仿宋" w:cs="仿宋"/>
          <w:i w:val="0"/>
          <w:iCs w:val="0"/>
          <w:caps w:val="0"/>
          <w:color w:val="000000"/>
          <w:spacing w:val="0"/>
          <w:sz w:val="32"/>
          <w:szCs w:val="32"/>
          <w:shd w:val="clear" w:fill="FFFFFF"/>
          <w:lang w:eastAsia="zh-CN"/>
        </w:rPr>
      </w:pPr>
      <w:r>
        <w:rPr>
          <w:rFonts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rPr>
        <w:t>1年，我</w:t>
      </w:r>
      <w:r>
        <w:rPr>
          <w:rFonts w:hint="eastAsia" w:ascii="仿宋" w:hAnsi="仿宋" w:eastAsia="仿宋" w:cs="仿宋"/>
          <w:i w:val="0"/>
          <w:iCs w:val="0"/>
          <w:caps w:val="0"/>
          <w:color w:val="000000"/>
          <w:spacing w:val="0"/>
          <w:sz w:val="32"/>
          <w:szCs w:val="32"/>
          <w:shd w:val="clear" w:fill="FFFFFF"/>
          <w:lang w:eastAsia="zh-CN"/>
        </w:rPr>
        <w:t>局</w:t>
      </w:r>
      <w:r>
        <w:rPr>
          <w:rFonts w:hint="eastAsia" w:ascii="仿宋" w:hAnsi="仿宋" w:eastAsia="仿宋" w:cs="仿宋"/>
          <w:i w:val="0"/>
          <w:iCs w:val="0"/>
          <w:caps w:val="0"/>
          <w:color w:val="000000"/>
          <w:spacing w:val="0"/>
          <w:sz w:val="32"/>
          <w:szCs w:val="32"/>
          <w:shd w:val="clear" w:fill="FFFFFF"/>
        </w:rPr>
        <w:t>认真贯彻落实《中华人民共和国政府信息公开条例》，着力健全完善信息公开工作体系，强化信息公开载体建设，结合工作实际，深入推进决策公开、执行公开、管理公开、服务公开、结果公开和重点领域信息公开，在扩大公众知情权、满足公众信息需求方面取得了积极成效。2021年，桓台县商务局在桓台县政府门户网站政府信息公开专栏主动公开各类信息共</w:t>
      </w:r>
      <w:r>
        <w:rPr>
          <w:rFonts w:hint="eastAsia" w:ascii="仿宋" w:hAnsi="仿宋" w:eastAsia="仿宋" w:cs="仿宋"/>
          <w:i w:val="0"/>
          <w:iCs w:val="0"/>
          <w:caps w:val="0"/>
          <w:color w:val="000000"/>
          <w:spacing w:val="0"/>
          <w:sz w:val="32"/>
          <w:szCs w:val="32"/>
          <w:shd w:val="clear" w:fill="FFFFFF"/>
          <w:lang w:val="en-US" w:eastAsia="zh-CN"/>
        </w:rPr>
        <w:t>51</w:t>
      </w:r>
      <w:r>
        <w:rPr>
          <w:rFonts w:hint="eastAsia" w:ascii="仿宋" w:hAnsi="仿宋" w:eastAsia="仿宋" w:cs="仿宋"/>
          <w:i w:val="0"/>
          <w:iCs w:val="0"/>
          <w:caps w:val="0"/>
          <w:color w:val="000000"/>
          <w:spacing w:val="0"/>
          <w:sz w:val="32"/>
          <w:szCs w:val="32"/>
          <w:shd w:val="clear" w:fill="FFFFFF"/>
        </w:rPr>
        <w:t>条，包括</w:t>
      </w:r>
      <w:r>
        <w:rPr>
          <w:rFonts w:hint="eastAsia" w:ascii="仿宋" w:hAnsi="仿宋" w:eastAsia="仿宋" w:cs="仿宋"/>
          <w:i w:val="0"/>
          <w:iCs w:val="0"/>
          <w:caps w:val="0"/>
          <w:color w:val="000000"/>
          <w:spacing w:val="0"/>
          <w:sz w:val="32"/>
          <w:szCs w:val="32"/>
          <w:shd w:val="clear" w:fill="FFFFFF"/>
          <w:lang w:eastAsia="zh-CN"/>
        </w:rPr>
        <w:t>机构职能</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eastAsia="zh-CN"/>
        </w:rPr>
        <w:t>政策文件、政府会议、政策解读、“双随机一公开”、行政执法信息、优化服务等信息，并及时更新，推进政府信息公开工作。</w:t>
      </w:r>
    </w:p>
    <w:p>
      <w:pPr>
        <w:pStyle w:val="3"/>
        <w:numPr>
          <w:ilvl w:val="0"/>
          <w:numId w:val="1"/>
        </w:numPr>
        <w:ind w:left="0" w:firstLine="640" w:firstLineChars="20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依申请公开情况</w:t>
      </w:r>
    </w:p>
    <w:p>
      <w:pPr>
        <w:pStyle w:val="3"/>
        <w:ind w:left="0" w:firstLine="640" w:firstLineChars="20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深化依申请公开工作，建立健全受理办理流程，确保在规定时限内高质量办结群众申请件。</w:t>
      </w:r>
      <w:r>
        <w:rPr>
          <w:rFonts w:hint="eastAsia" w:ascii="仿宋" w:hAnsi="仿宋" w:eastAsia="仿宋" w:cs="仿宋"/>
          <w:i w:val="0"/>
          <w:iCs w:val="0"/>
          <w:caps w:val="0"/>
          <w:color w:val="000000"/>
          <w:spacing w:val="0"/>
          <w:sz w:val="32"/>
          <w:szCs w:val="32"/>
          <w:shd w:val="clear" w:fill="FFFFFF"/>
          <w:lang w:val="en-US" w:eastAsia="zh-CN"/>
        </w:rPr>
        <w:t>2021年度，本单位未收到依申请公开件</w:t>
      </w:r>
      <w:r>
        <w:rPr>
          <w:rFonts w:hint="eastAsia" w:ascii="仿宋" w:hAnsi="仿宋" w:eastAsia="仿宋" w:cs="仿宋"/>
          <w:i w:val="0"/>
          <w:iCs w:val="0"/>
          <w:caps w:val="0"/>
          <w:color w:val="000000"/>
          <w:spacing w:val="0"/>
          <w:sz w:val="32"/>
          <w:szCs w:val="32"/>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bidi="zh-CN"/>
        </w:rPr>
      </w:pPr>
      <w:r>
        <w:rPr>
          <w:rFonts w:hint="eastAsia" w:ascii="仿宋" w:hAnsi="仿宋" w:eastAsia="仿宋" w:cs="仿宋"/>
          <w:i w:val="0"/>
          <w:iCs w:val="0"/>
          <w:caps w:val="0"/>
          <w:color w:val="000000"/>
          <w:spacing w:val="0"/>
          <w:sz w:val="32"/>
          <w:szCs w:val="32"/>
          <w:shd w:val="clear" w:fill="FFFFFF"/>
          <w:lang w:val="zh-CN" w:eastAsia="zh-CN" w:bidi="zh-CN"/>
        </w:rPr>
        <w:t>政府信息管理</w:t>
      </w:r>
      <w:r>
        <w:rPr>
          <w:rFonts w:hint="eastAsia" w:ascii="仿宋" w:hAnsi="仿宋" w:eastAsia="仿宋" w:cs="仿宋"/>
          <w:i w:val="0"/>
          <w:iCs w:val="0"/>
          <w:caps w:val="0"/>
          <w:color w:val="000000"/>
          <w:spacing w:val="0"/>
          <w:sz w:val="32"/>
          <w:szCs w:val="32"/>
          <w:shd w:val="clear" w:fill="FFFFFF"/>
          <w:lang w:val="en-US" w:eastAsia="zh-CN" w:bidi="zh-CN"/>
        </w:rPr>
        <w:t>情况</w:t>
      </w:r>
    </w:p>
    <w:p>
      <w:pPr>
        <w:pStyle w:val="3"/>
        <w:ind w:left="0" w:firstLine="640" w:firstLineChars="20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在严格执行《政府信息公开条例》有关要求的基础上，不断完善信息公开督查考核机制，将政府信息公开工作情况与机关绩效考核相结合，按照职能分工，强化具体责任，推进工作落实，提高工作效率。制定考核办法，对科室信息报送数量、考核和表彰等进一步作了明确规定，提高公开信息的质量。</w:t>
      </w:r>
    </w:p>
    <w:p>
      <w:pPr>
        <w:pStyle w:val="3"/>
        <w:ind w:left="0" w:firstLine="640" w:firstLineChars="20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w:t>
      </w:r>
      <w:r>
        <w:rPr>
          <w:rFonts w:hint="eastAsia" w:ascii="仿宋" w:hAnsi="仿宋" w:eastAsia="仿宋" w:cs="仿宋"/>
          <w:i w:val="0"/>
          <w:iCs w:val="0"/>
          <w:caps w:val="0"/>
          <w:color w:val="000000"/>
          <w:spacing w:val="0"/>
          <w:sz w:val="32"/>
          <w:szCs w:val="32"/>
          <w:shd w:val="clear" w:fill="FFFFFF"/>
          <w:lang w:val="en-US" w:eastAsia="zh-CN" w:bidi="zh-CN"/>
        </w:rPr>
        <w:t>四）平台建设情况</w:t>
      </w:r>
    </w:p>
    <w:p>
      <w:pPr>
        <w:pStyle w:val="3"/>
        <w:ind w:left="0" w:firstLine="640" w:firstLineChars="200"/>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积极发挥“桓台招商”微信公众号等新媒体平台特点和传播优势，创新发布方式，营造了良好的舆论氛围。对于上级各项政策，利用政府信息公开平台、微信公众号“桓台招商”等平台及时进行解读。</w:t>
      </w:r>
    </w:p>
    <w:p>
      <w:pPr>
        <w:pStyle w:val="3"/>
        <w:ind w:left="0" w:firstLine="640" w:firstLineChars="20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（五）监督保障情况</w:t>
      </w:r>
    </w:p>
    <w:p>
      <w:pPr>
        <w:pStyle w:val="3"/>
        <w:ind w:left="0" w:firstLine="640" w:firstLineChars="20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在严格执行《政府信息公开条例》有关要求的基础上，不断完善信息公开督查考核机制，将政府信息公开工作情况与机关绩效考核相结合，按照职能分工，强化具体责任，推进工作落实，提高工作效率。</w:t>
      </w:r>
    </w:p>
    <w:p>
      <w:pPr>
        <w:pStyle w:val="3"/>
        <w:spacing w:before="5"/>
        <w:ind w:left="0"/>
        <w:rPr>
          <w:sz w:val="33"/>
        </w:rPr>
      </w:pPr>
    </w:p>
    <w:p>
      <w:pPr>
        <w:pStyle w:val="3"/>
        <w:ind w:left="502"/>
        <w:rPr>
          <w:rFonts w:hint="eastAsia" w:ascii="黑体" w:eastAsia="黑体"/>
        </w:rPr>
      </w:pPr>
      <w:r>
        <w:rPr>
          <w:rFonts w:hint="eastAsia" w:ascii="黑体" w:eastAsia="黑体"/>
        </w:rPr>
        <w:t>二、主动公开政府信息情况</w:t>
      </w:r>
    </w:p>
    <w:p>
      <w:pPr>
        <w:pStyle w:val="3"/>
        <w:ind w:left="0"/>
        <w:rPr>
          <w:rFonts w:ascii="黑体"/>
          <w:sz w:val="20"/>
        </w:rPr>
      </w:pPr>
    </w:p>
    <w:p>
      <w:pPr>
        <w:pStyle w:val="3"/>
        <w:ind w:left="0"/>
        <w:rPr>
          <w:rFonts w:ascii="黑体"/>
          <w:sz w:val="20"/>
        </w:rPr>
      </w:pPr>
    </w:p>
    <w:p>
      <w:pPr>
        <w:pStyle w:val="3"/>
        <w:ind w:left="0"/>
        <w:rPr>
          <w:rFonts w:ascii="黑体"/>
          <w:sz w:val="17"/>
        </w:rPr>
      </w:pPr>
    </w:p>
    <w:tbl>
      <w:tblPr>
        <w:tblStyle w:val="4"/>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35"/>
        <w:gridCol w:w="2435"/>
        <w:gridCol w:w="2435"/>
        <w:gridCol w:w="243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2" w:hRule="atLeast"/>
        </w:trPr>
        <w:tc>
          <w:tcPr>
            <w:tcW w:w="9741" w:type="dxa"/>
            <w:gridSpan w:val="4"/>
            <w:shd w:val="clear" w:color="auto" w:fill="C6D9F1"/>
          </w:tcPr>
          <w:p>
            <w:pPr>
              <w:pStyle w:val="8"/>
              <w:spacing w:before="131"/>
              <w:ind w:left="3769" w:right="3752"/>
              <w:jc w:val="center"/>
              <w:rPr>
                <w:rFonts w:hint="eastAsia" w:ascii="黑体" w:eastAsia="黑体"/>
                <w:sz w:val="24"/>
              </w:rPr>
            </w:pPr>
            <w:r>
              <w:rPr>
                <w:rFonts w:hint="eastAsia" w:ascii="黑体" w:eastAsia="黑体"/>
                <w:sz w:val="24"/>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2435" w:type="dxa"/>
          </w:tcPr>
          <w:p>
            <w:pPr>
              <w:pStyle w:val="8"/>
              <w:spacing w:before="15" w:line="305" w:lineRule="exact"/>
              <w:ind w:left="356" w:right="339"/>
              <w:jc w:val="center"/>
              <w:rPr>
                <w:sz w:val="24"/>
              </w:rPr>
            </w:pPr>
            <w:r>
              <w:rPr>
                <w:sz w:val="24"/>
              </w:rPr>
              <w:t>信息内容</w:t>
            </w:r>
          </w:p>
        </w:tc>
        <w:tc>
          <w:tcPr>
            <w:tcW w:w="2435" w:type="dxa"/>
          </w:tcPr>
          <w:p>
            <w:pPr>
              <w:pStyle w:val="8"/>
              <w:spacing w:before="15" w:line="305" w:lineRule="exact"/>
              <w:ind w:left="496"/>
              <w:rPr>
                <w:sz w:val="24"/>
              </w:rPr>
            </w:pPr>
            <w:r>
              <w:rPr>
                <w:sz w:val="24"/>
              </w:rPr>
              <w:t>本年制发件数</w:t>
            </w:r>
          </w:p>
        </w:tc>
        <w:tc>
          <w:tcPr>
            <w:tcW w:w="2435" w:type="dxa"/>
          </w:tcPr>
          <w:p>
            <w:pPr>
              <w:pStyle w:val="8"/>
              <w:spacing w:before="15" w:line="305" w:lineRule="exact"/>
              <w:ind w:left="496"/>
              <w:rPr>
                <w:sz w:val="24"/>
              </w:rPr>
            </w:pPr>
            <w:r>
              <w:rPr>
                <w:sz w:val="24"/>
              </w:rPr>
              <w:t>本年废止件数</w:t>
            </w:r>
          </w:p>
        </w:tc>
        <w:tc>
          <w:tcPr>
            <w:tcW w:w="2436" w:type="dxa"/>
          </w:tcPr>
          <w:p>
            <w:pPr>
              <w:pStyle w:val="8"/>
              <w:spacing w:before="15" w:line="305" w:lineRule="exact"/>
              <w:ind w:left="495"/>
              <w:rPr>
                <w:sz w:val="24"/>
              </w:rPr>
            </w:pPr>
            <w:r>
              <w:rPr>
                <w:sz w:val="24"/>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2435" w:type="dxa"/>
          </w:tcPr>
          <w:p>
            <w:pPr>
              <w:pStyle w:val="8"/>
              <w:spacing w:before="15" w:line="305" w:lineRule="exact"/>
              <w:ind w:left="356" w:right="339"/>
              <w:jc w:val="center"/>
              <w:rPr>
                <w:sz w:val="24"/>
              </w:rPr>
            </w:pPr>
            <w:r>
              <w:rPr>
                <w:sz w:val="24"/>
              </w:rPr>
              <w:t>规章</w:t>
            </w:r>
          </w:p>
        </w:tc>
        <w:tc>
          <w:tcPr>
            <w:tcW w:w="2435"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2435"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2436"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2435" w:type="dxa"/>
          </w:tcPr>
          <w:p>
            <w:pPr>
              <w:pStyle w:val="8"/>
              <w:spacing w:before="15" w:line="305" w:lineRule="exact"/>
              <w:ind w:left="356" w:right="339"/>
              <w:jc w:val="center"/>
              <w:rPr>
                <w:sz w:val="24"/>
              </w:rPr>
            </w:pPr>
            <w:r>
              <w:rPr>
                <w:sz w:val="24"/>
              </w:rPr>
              <w:t>行政规范性文件</w:t>
            </w:r>
          </w:p>
        </w:tc>
        <w:tc>
          <w:tcPr>
            <w:tcW w:w="2435"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2435"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2436"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trPr>
        <w:tc>
          <w:tcPr>
            <w:tcW w:w="9741" w:type="dxa"/>
            <w:gridSpan w:val="4"/>
            <w:shd w:val="clear" w:color="auto" w:fill="C6D9F1"/>
          </w:tcPr>
          <w:p>
            <w:pPr>
              <w:pStyle w:val="8"/>
              <w:spacing w:before="129"/>
              <w:ind w:left="3769" w:right="3752"/>
              <w:jc w:val="center"/>
              <w:rPr>
                <w:rFonts w:hint="eastAsia" w:ascii="黑体" w:eastAsia="黑体"/>
                <w:sz w:val="24"/>
              </w:rPr>
            </w:pPr>
            <w:r>
              <w:rPr>
                <w:rFonts w:hint="eastAsia" w:ascii="黑体" w:eastAsia="黑体"/>
                <w:sz w:val="24"/>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2435" w:type="dxa"/>
          </w:tcPr>
          <w:p>
            <w:pPr>
              <w:pStyle w:val="8"/>
              <w:spacing w:before="15" w:line="305" w:lineRule="exact"/>
              <w:ind w:left="356" w:right="339"/>
              <w:jc w:val="center"/>
              <w:rPr>
                <w:sz w:val="24"/>
              </w:rPr>
            </w:pPr>
            <w:r>
              <w:rPr>
                <w:sz w:val="24"/>
              </w:rPr>
              <w:t>信息内容</w:t>
            </w:r>
          </w:p>
        </w:tc>
        <w:tc>
          <w:tcPr>
            <w:tcW w:w="7306" w:type="dxa"/>
            <w:gridSpan w:val="3"/>
          </w:tcPr>
          <w:p>
            <w:pPr>
              <w:pStyle w:val="8"/>
              <w:spacing w:before="15" w:line="305" w:lineRule="exact"/>
              <w:ind w:left="2071" w:right="2055"/>
              <w:jc w:val="center"/>
              <w:rPr>
                <w:sz w:val="24"/>
              </w:rPr>
            </w:pPr>
            <w:r>
              <w:rPr>
                <w:sz w:val="24"/>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2435" w:type="dxa"/>
          </w:tcPr>
          <w:p>
            <w:pPr>
              <w:pStyle w:val="8"/>
              <w:spacing w:before="15" w:line="305" w:lineRule="exact"/>
              <w:ind w:left="356" w:right="339"/>
              <w:jc w:val="center"/>
              <w:rPr>
                <w:sz w:val="24"/>
              </w:rPr>
            </w:pPr>
            <w:r>
              <w:rPr>
                <w:sz w:val="24"/>
              </w:rPr>
              <w:t>行政许可</w:t>
            </w:r>
          </w:p>
        </w:tc>
        <w:tc>
          <w:tcPr>
            <w:tcW w:w="7306" w:type="dxa"/>
            <w:gridSpan w:val="3"/>
          </w:tcPr>
          <w:p>
            <w:pPr>
              <w:pStyle w:val="8"/>
              <w:jc w:val="center"/>
              <w:rPr>
                <w:rFonts w:hint="eastAsia" w:ascii="Times New Roman" w:eastAsia="仿宋"/>
                <w:sz w:val="26"/>
                <w:lang w:val="en-US" w:eastAsia="zh-CN"/>
              </w:rPr>
            </w:pPr>
            <w:r>
              <w:rPr>
                <w:rFonts w:hint="eastAsia" w:ascii="Times New Roman"/>
                <w:sz w:val="26"/>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3" w:hRule="atLeast"/>
        </w:trPr>
        <w:tc>
          <w:tcPr>
            <w:tcW w:w="9741" w:type="dxa"/>
            <w:gridSpan w:val="4"/>
            <w:shd w:val="clear" w:color="auto" w:fill="C6D9F1"/>
          </w:tcPr>
          <w:p>
            <w:pPr>
              <w:pStyle w:val="8"/>
              <w:spacing w:before="117"/>
              <w:ind w:left="3769" w:right="3752"/>
              <w:jc w:val="center"/>
              <w:rPr>
                <w:rFonts w:hint="eastAsia" w:ascii="黑体" w:eastAsia="黑体"/>
                <w:sz w:val="24"/>
              </w:rPr>
            </w:pPr>
            <w:r>
              <w:rPr>
                <w:rFonts w:hint="eastAsia" w:ascii="黑体" w:eastAsia="黑体"/>
                <w:sz w:val="24"/>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2435" w:type="dxa"/>
          </w:tcPr>
          <w:p>
            <w:pPr>
              <w:pStyle w:val="8"/>
              <w:spacing w:before="15" w:line="305" w:lineRule="exact"/>
              <w:ind w:left="356" w:right="339"/>
              <w:jc w:val="center"/>
              <w:rPr>
                <w:sz w:val="24"/>
              </w:rPr>
            </w:pPr>
            <w:r>
              <w:rPr>
                <w:sz w:val="24"/>
              </w:rPr>
              <w:t>信息内容</w:t>
            </w:r>
          </w:p>
        </w:tc>
        <w:tc>
          <w:tcPr>
            <w:tcW w:w="7306" w:type="dxa"/>
            <w:gridSpan w:val="3"/>
          </w:tcPr>
          <w:p>
            <w:pPr>
              <w:pStyle w:val="8"/>
              <w:spacing w:before="15" w:line="305" w:lineRule="exact"/>
              <w:ind w:left="2071" w:right="2055"/>
              <w:jc w:val="center"/>
              <w:rPr>
                <w:sz w:val="24"/>
              </w:rPr>
            </w:pPr>
            <w:r>
              <w:rPr>
                <w:sz w:val="24"/>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2435" w:type="dxa"/>
          </w:tcPr>
          <w:p>
            <w:pPr>
              <w:pStyle w:val="8"/>
              <w:spacing w:before="15" w:line="305" w:lineRule="exact"/>
              <w:ind w:left="356" w:right="339"/>
              <w:jc w:val="center"/>
              <w:rPr>
                <w:sz w:val="24"/>
              </w:rPr>
            </w:pPr>
            <w:r>
              <w:rPr>
                <w:sz w:val="24"/>
              </w:rPr>
              <w:t>行政处罚</w:t>
            </w:r>
          </w:p>
        </w:tc>
        <w:tc>
          <w:tcPr>
            <w:tcW w:w="7306" w:type="dxa"/>
            <w:gridSpan w:val="3"/>
          </w:tcPr>
          <w:p>
            <w:pPr>
              <w:pStyle w:val="8"/>
              <w:jc w:val="center"/>
              <w:rPr>
                <w:rFonts w:hint="eastAsia" w:ascii="Times New Roman" w:eastAsia="仿宋"/>
                <w:sz w:val="26"/>
                <w:lang w:val="en-US" w:eastAsia="zh-CN"/>
              </w:rPr>
            </w:pPr>
            <w:r>
              <w:rPr>
                <w:rFonts w:hint="eastAsia" w:ascii="Times New Roman"/>
                <w:sz w:val="26"/>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2435" w:type="dxa"/>
          </w:tcPr>
          <w:p>
            <w:pPr>
              <w:pStyle w:val="8"/>
              <w:spacing w:before="15" w:line="305" w:lineRule="exact"/>
              <w:ind w:left="356" w:right="339"/>
              <w:jc w:val="center"/>
              <w:rPr>
                <w:sz w:val="24"/>
              </w:rPr>
            </w:pPr>
            <w:r>
              <w:rPr>
                <w:sz w:val="24"/>
              </w:rPr>
              <w:t>行政强制</w:t>
            </w:r>
          </w:p>
        </w:tc>
        <w:tc>
          <w:tcPr>
            <w:tcW w:w="7306" w:type="dxa"/>
            <w:gridSpan w:val="3"/>
          </w:tcPr>
          <w:p>
            <w:pPr>
              <w:pStyle w:val="8"/>
              <w:jc w:val="center"/>
              <w:rPr>
                <w:rFonts w:hint="eastAsia" w:ascii="Times New Roman" w:eastAsia="仿宋"/>
                <w:sz w:val="26"/>
                <w:lang w:val="en-US" w:eastAsia="zh-CN"/>
              </w:rPr>
            </w:pPr>
            <w:r>
              <w:rPr>
                <w:rFonts w:hint="eastAsia" w:ascii="Times New Roman"/>
                <w:sz w:val="26"/>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trPr>
        <w:tc>
          <w:tcPr>
            <w:tcW w:w="9741" w:type="dxa"/>
            <w:gridSpan w:val="4"/>
            <w:shd w:val="clear" w:color="auto" w:fill="C6D9F1"/>
          </w:tcPr>
          <w:p>
            <w:pPr>
              <w:pStyle w:val="8"/>
              <w:spacing w:before="147"/>
              <w:ind w:left="3769" w:right="3752"/>
              <w:jc w:val="center"/>
              <w:rPr>
                <w:rFonts w:hint="eastAsia" w:ascii="黑体" w:eastAsia="黑体"/>
                <w:sz w:val="24"/>
              </w:rPr>
            </w:pPr>
            <w:r>
              <w:rPr>
                <w:rFonts w:hint="eastAsia" w:ascii="黑体" w:eastAsia="黑体"/>
                <w:sz w:val="24"/>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2435" w:type="dxa"/>
          </w:tcPr>
          <w:p>
            <w:pPr>
              <w:pStyle w:val="8"/>
              <w:spacing w:before="15" w:line="305" w:lineRule="exact"/>
              <w:ind w:left="356" w:right="339"/>
              <w:jc w:val="center"/>
              <w:rPr>
                <w:sz w:val="24"/>
              </w:rPr>
            </w:pPr>
            <w:r>
              <w:rPr>
                <w:sz w:val="24"/>
              </w:rPr>
              <w:t>信息内容</w:t>
            </w:r>
          </w:p>
        </w:tc>
        <w:tc>
          <w:tcPr>
            <w:tcW w:w="7306" w:type="dxa"/>
            <w:gridSpan w:val="3"/>
          </w:tcPr>
          <w:p>
            <w:pPr>
              <w:pStyle w:val="8"/>
              <w:spacing w:before="15" w:line="305" w:lineRule="exact"/>
              <w:ind w:left="2071" w:right="2055"/>
              <w:jc w:val="center"/>
              <w:rPr>
                <w:sz w:val="24"/>
              </w:rPr>
            </w:pPr>
            <w:r>
              <w:rPr>
                <w:sz w:val="24"/>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2435" w:type="dxa"/>
          </w:tcPr>
          <w:p>
            <w:pPr>
              <w:pStyle w:val="8"/>
              <w:spacing w:before="15" w:line="305" w:lineRule="exact"/>
              <w:ind w:left="356" w:right="339"/>
              <w:jc w:val="center"/>
              <w:rPr>
                <w:sz w:val="24"/>
              </w:rPr>
            </w:pPr>
            <w:r>
              <w:rPr>
                <w:sz w:val="24"/>
              </w:rPr>
              <w:t>行政事业性收费</w:t>
            </w:r>
          </w:p>
        </w:tc>
        <w:tc>
          <w:tcPr>
            <w:tcW w:w="7306" w:type="dxa"/>
            <w:gridSpan w:val="3"/>
          </w:tcPr>
          <w:p>
            <w:pPr>
              <w:pStyle w:val="8"/>
              <w:jc w:val="center"/>
              <w:rPr>
                <w:rFonts w:hint="eastAsia" w:ascii="Times New Roman" w:eastAsia="仿宋"/>
                <w:sz w:val="26"/>
                <w:lang w:val="en-US" w:eastAsia="zh-CN"/>
              </w:rPr>
            </w:pPr>
            <w:r>
              <w:rPr>
                <w:rFonts w:hint="eastAsia" w:ascii="Times New Roman"/>
                <w:sz w:val="26"/>
                <w:lang w:val="en-US" w:eastAsia="zh-CN"/>
              </w:rPr>
              <w:t>0</w:t>
            </w:r>
          </w:p>
        </w:tc>
      </w:tr>
    </w:tbl>
    <w:p>
      <w:pPr>
        <w:spacing w:after="0"/>
        <w:rPr>
          <w:rFonts w:ascii="Times New Roman"/>
          <w:sz w:val="26"/>
        </w:rPr>
        <w:sectPr>
          <w:type w:val="continuous"/>
          <w:pgSz w:w="11910" w:h="16840"/>
          <w:pgMar w:top="1340" w:right="280" w:bottom="1020" w:left="960" w:header="720" w:footer="720" w:gutter="0"/>
          <w:cols w:space="720" w:num="1"/>
        </w:sectPr>
      </w:pPr>
    </w:p>
    <w:p>
      <w:pPr>
        <w:pStyle w:val="3"/>
        <w:ind w:left="0"/>
        <w:rPr>
          <w:rFonts w:ascii="黑体"/>
          <w:sz w:val="20"/>
        </w:rPr>
      </w:pPr>
    </w:p>
    <w:p>
      <w:pPr>
        <w:pStyle w:val="3"/>
        <w:spacing w:before="9"/>
        <w:ind w:left="0"/>
        <w:rPr>
          <w:rFonts w:ascii="黑体"/>
          <w:sz w:val="15"/>
        </w:rPr>
      </w:pPr>
    </w:p>
    <w:p>
      <w:pPr>
        <w:pStyle w:val="3"/>
        <w:spacing w:before="56"/>
        <w:ind w:left="502"/>
        <w:rPr>
          <w:rFonts w:hint="eastAsia" w:ascii="黑体" w:eastAsia="黑体"/>
        </w:rPr>
      </w:pPr>
      <w:r>
        <w:rPr>
          <w:rFonts w:hint="eastAsia" w:ascii="黑体" w:eastAsia="黑体"/>
        </w:rPr>
        <w:t>三、收到和处理政府信息公开申请情况</w:t>
      </w:r>
    </w:p>
    <w:p>
      <w:pPr>
        <w:pStyle w:val="3"/>
        <w:ind w:left="0"/>
        <w:rPr>
          <w:rFonts w:ascii="黑体"/>
          <w:sz w:val="20"/>
        </w:rPr>
      </w:pPr>
    </w:p>
    <w:p>
      <w:pPr>
        <w:pStyle w:val="3"/>
        <w:ind w:left="0"/>
        <w:rPr>
          <w:rFonts w:ascii="黑体"/>
          <w:sz w:val="20"/>
        </w:rPr>
      </w:pPr>
    </w:p>
    <w:p>
      <w:pPr>
        <w:pStyle w:val="3"/>
        <w:spacing w:before="11"/>
        <w:ind w:left="0"/>
        <w:rPr>
          <w:rFonts w:ascii="黑体"/>
          <w:sz w:val="16"/>
        </w:rPr>
      </w:pPr>
    </w:p>
    <w:tbl>
      <w:tblPr>
        <w:tblStyle w:val="4"/>
        <w:tblW w:w="0" w:type="auto"/>
        <w:tblInd w:w="41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6"/>
        <w:gridCol w:w="1695"/>
        <w:gridCol w:w="3363"/>
        <w:gridCol w:w="577"/>
        <w:gridCol w:w="623"/>
        <w:gridCol w:w="635"/>
        <w:gridCol w:w="635"/>
        <w:gridCol w:w="843"/>
        <w:gridCol w:w="686"/>
        <w:gridCol w:w="6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5524" w:type="dxa"/>
            <w:gridSpan w:val="3"/>
            <w:vMerge w:val="restart"/>
            <w:tcBorders>
              <w:bottom w:val="single" w:color="76746C" w:sz="8" w:space="0"/>
            </w:tcBorders>
          </w:tcPr>
          <w:p>
            <w:pPr>
              <w:pStyle w:val="8"/>
              <w:rPr>
                <w:rFonts w:ascii="黑体"/>
                <w:sz w:val="24"/>
              </w:rPr>
            </w:pPr>
          </w:p>
          <w:p>
            <w:pPr>
              <w:pStyle w:val="8"/>
              <w:spacing w:before="183" w:line="242" w:lineRule="auto"/>
              <w:ind w:left="107" w:right="89"/>
              <w:rPr>
                <w:rFonts w:hint="eastAsia" w:ascii="楷体" w:eastAsia="楷体"/>
                <w:sz w:val="24"/>
              </w:rPr>
            </w:pPr>
            <w:r>
              <w:rPr>
                <w:rFonts w:hint="eastAsia" w:ascii="楷体" w:eastAsia="楷体"/>
                <w:sz w:val="24"/>
              </w:rPr>
              <w:t>（本列数据的勾稽关系为：第一项加第二项之和， 等于第三项加第四项之和）</w:t>
            </w:r>
          </w:p>
        </w:tc>
        <w:tc>
          <w:tcPr>
            <w:tcW w:w="4629" w:type="dxa"/>
            <w:gridSpan w:val="7"/>
          </w:tcPr>
          <w:p>
            <w:pPr>
              <w:pStyle w:val="8"/>
              <w:spacing w:before="2" w:line="290" w:lineRule="exact"/>
              <w:ind w:left="1685" w:right="1683"/>
              <w:jc w:val="center"/>
              <w:rPr>
                <w:rFonts w:hint="eastAsia" w:ascii="黑体" w:eastAsia="黑体"/>
                <w:sz w:val="24"/>
              </w:rPr>
            </w:pPr>
            <w:r>
              <w:rPr>
                <w:rFonts w:hint="eastAsia" w:ascii="黑体" w:eastAsia="黑体"/>
                <w:sz w:val="24"/>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5524" w:type="dxa"/>
            <w:gridSpan w:val="3"/>
            <w:vMerge w:val="continue"/>
            <w:tcBorders>
              <w:top w:val="nil"/>
              <w:bottom w:val="single" w:color="76746C" w:sz="8" w:space="0"/>
            </w:tcBorders>
          </w:tcPr>
          <w:p>
            <w:pPr>
              <w:rPr>
                <w:sz w:val="2"/>
                <w:szCs w:val="2"/>
              </w:rPr>
            </w:pPr>
          </w:p>
        </w:tc>
        <w:tc>
          <w:tcPr>
            <w:tcW w:w="577" w:type="dxa"/>
            <w:vMerge w:val="restart"/>
          </w:tcPr>
          <w:p>
            <w:pPr>
              <w:pStyle w:val="8"/>
              <w:spacing w:before="167" w:line="242" w:lineRule="auto"/>
              <w:ind w:left="166" w:right="150"/>
              <w:jc w:val="both"/>
              <w:rPr>
                <w:rFonts w:hint="eastAsia" w:ascii="黑体" w:eastAsia="黑体"/>
                <w:sz w:val="24"/>
              </w:rPr>
            </w:pPr>
            <w:r>
              <w:rPr>
                <w:rFonts w:hint="eastAsia" w:ascii="黑体" w:eastAsia="黑体"/>
                <w:sz w:val="24"/>
              </w:rPr>
              <w:t>自然人</w:t>
            </w:r>
          </w:p>
        </w:tc>
        <w:tc>
          <w:tcPr>
            <w:tcW w:w="3422" w:type="dxa"/>
            <w:gridSpan w:val="5"/>
          </w:tcPr>
          <w:p>
            <w:pPr>
              <w:pStyle w:val="8"/>
              <w:spacing w:before="2" w:line="290" w:lineRule="exact"/>
              <w:ind w:left="863"/>
              <w:rPr>
                <w:rFonts w:hint="eastAsia" w:ascii="黑体" w:eastAsia="黑体"/>
                <w:sz w:val="24"/>
              </w:rPr>
            </w:pPr>
            <w:r>
              <w:rPr>
                <w:rFonts w:hint="eastAsia" w:ascii="黑体" w:eastAsia="黑体"/>
                <w:sz w:val="24"/>
              </w:rPr>
              <w:t>法人或其他组织</w:t>
            </w:r>
          </w:p>
        </w:tc>
        <w:tc>
          <w:tcPr>
            <w:tcW w:w="630" w:type="dxa"/>
            <w:vMerge w:val="restart"/>
            <w:tcBorders>
              <w:bottom w:val="single" w:color="76746C" w:sz="8" w:space="0"/>
            </w:tcBorders>
          </w:tcPr>
          <w:p>
            <w:pPr>
              <w:pStyle w:val="8"/>
              <w:rPr>
                <w:rFonts w:ascii="黑体"/>
                <w:sz w:val="24"/>
              </w:rPr>
            </w:pPr>
          </w:p>
          <w:p>
            <w:pPr>
              <w:pStyle w:val="8"/>
              <w:spacing w:before="172"/>
              <w:ind w:left="62"/>
              <w:rPr>
                <w:rFonts w:hint="eastAsia" w:ascii="黑体" w:eastAsia="黑体"/>
                <w:sz w:val="24"/>
              </w:rPr>
            </w:pPr>
            <w:r>
              <w:rPr>
                <w:rFonts w:hint="eastAsia" w:ascii="黑体" w:eastAsia="黑体"/>
                <w:sz w:val="24"/>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5524" w:type="dxa"/>
            <w:gridSpan w:val="3"/>
            <w:vMerge w:val="continue"/>
            <w:tcBorders>
              <w:top w:val="nil"/>
              <w:bottom w:val="single" w:color="76746C" w:sz="8" w:space="0"/>
            </w:tcBorders>
          </w:tcPr>
          <w:p>
            <w:pPr>
              <w:rPr>
                <w:sz w:val="2"/>
                <w:szCs w:val="2"/>
              </w:rPr>
            </w:pPr>
          </w:p>
        </w:tc>
        <w:tc>
          <w:tcPr>
            <w:tcW w:w="577" w:type="dxa"/>
            <w:vMerge w:val="continue"/>
            <w:tcBorders>
              <w:top w:val="nil"/>
            </w:tcBorders>
          </w:tcPr>
          <w:p>
            <w:pPr>
              <w:rPr>
                <w:sz w:val="2"/>
                <w:szCs w:val="2"/>
              </w:rPr>
            </w:pPr>
          </w:p>
        </w:tc>
        <w:tc>
          <w:tcPr>
            <w:tcW w:w="623" w:type="dxa"/>
          </w:tcPr>
          <w:p>
            <w:pPr>
              <w:pStyle w:val="8"/>
              <w:spacing w:before="158" w:line="242" w:lineRule="auto"/>
              <w:ind w:left="66" w:right="54"/>
              <w:rPr>
                <w:rFonts w:hint="eastAsia" w:ascii="黑体" w:eastAsia="黑体"/>
                <w:sz w:val="24"/>
              </w:rPr>
            </w:pPr>
            <w:r>
              <w:rPr>
                <w:rFonts w:hint="eastAsia" w:ascii="黑体" w:eastAsia="黑体"/>
                <w:sz w:val="24"/>
              </w:rPr>
              <w:t>商业企业</w:t>
            </w:r>
          </w:p>
        </w:tc>
        <w:tc>
          <w:tcPr>
            <w:tcW w:w="635" w:type="dxa"/>
          </w:tcPr>
          <w:p>
            <w:pPr>
              <w:pStyle w:val="8"/>
              <w:spacing w:before="158" w:line="242" w:lineRule="auto"/>
              <w:ind w:left="71" w:right="61"/>
              <w:rPr>
                <w:rFonts w:hint="eastAsia" w:ascii="黑体" w:eastAsia="黑体"/>
                <w:sz w:val="24"/>
              </w:rPr>
            </w:pPr>
            <w:r>
              <w:rPr>
                <w:rFonts w:hint="eastAsia" w:ascii="黑体" w:eastAsia="黑体"/>
                <w:sz w:val="24"/>
              </w:rPr>
              <w:t>科研机构</w:t>
            </w:r>
          </w:p>
        </w:tc>
        <w:tc>
          <w:tcPr>
            <w:tcW w:w="635" w:type="dxa"/>
          </w:tcPr>
          <w:p>
            <w:pPr>
              <w:pStyle w:val="8"/>
              <w:spacing w:before="2"/>
              <w:ind w:left="71"/>
              <w:rPr>
                <w:rFonts w:hint="eastAsia" w:ascii="黑体" w:eastAsia="黑体"/>
                <w:sz w:val="24"/>
              </w:rPr>
            </w:pPr>
            <w:r>
              <w:rPr>
                <w:rFonts w:hint="eastAsia" w:ascii="黑体" w:eastAsia="黑体"/>
                <w:sz w:val="24"/>
              </w:rPr>
              <w:t>社会</w:t>
            </w:r>
          </w:p>
          <w:p>
            <w:pPr>
              <w:pStyle w:val="8"/>
              <w:spacing w:before="2" w:line="310" w:lineRule="atLeast"/>
              <w:ind w:left="71" w:right="63"/>
              <w:rPr>
                <w:rFonts w:hint="eastAsia" w:ascii="黑体" w:eastAsia="黑体"/>
                <w:sz w:val="24"/>
              </w:rPr>
            </w:pPr>
            <w:r>
              <w:rPr>
                <w:rFonts w:hint="eastAsia" w:ascii="黑体" w:eastAsia="黑体"/>
                <w:spacing w:val="-10"/>
                <w:sz w:val="24"/>
              </w:rPr>
              <w:t>公益组织</w:t>
            </w:r>
          </w:p>
        </w:tc>
        <w:tc>
          <w:tcPr>
            <w:tcW w:w="843" w:type="dxa"/>
          </w:tcPr>
          <w:p>
            <w:pPr>
              <w:pStyle w:val="8"/>
              <w:spacing w:before="158" w:line="242" w:lineRule="auto"/>
              <w:ind w:left="52" w:right="48"/>
              <w:rPr>
                <w:rFonts w:hint="eastAsia" w:ascii="黑体" w:eastAsia="黑体"/>
                <w:sz w:val="24"/>
              </w:rPr>
            </w:pPr>
            <w:r>
              <w:rPr>
                <w:rFonts w:hint="eastAsia" w:ascii="黑体" w:eastAsia="黑体"/>
                <w:sz w:val="24"/>
              </w:rPr>
              <w:t>法律服务机构</w:t>
            </w:r>
          </w:p>
        </w:tc>
        <w:tc>
          <w:tcPr>
            <w:tcW w:w="686" w:type="dxa"/>
          </w:tcPr>
          <w:p>
            <w:pPr>
              <w:pStyle w:val="8"/>
              <w:spacing w:before="6"/>
              <w:rPr>
                <w:rFonts w:ascii="黑体"/>
                <w:sz w:val="24"/>
              </w:rPr>
            </w:pPr>
          </w:p>
          <w:p>
            <w:pPr>
              <w:pStyle w:val="8"/>
              <w:ind w:left="93"/>
              <w:rPr>
                <w:rFonts w:hint="eastAsia" w:ascii="黑体" w:eastAsia="黑体"/>
                <w:sz w:val="24"/>
              </w:rPr>
            </w:pPr>
            <w:r>
              <w:rPr>
                <w:rFonts w:hint="eastAsia" w:ascii="黑体" w:eastAsia="黑体"/>
                <w:sz w:val="24"/>
              </w:rPr>
              <w:t>其他</w:t>
            </w:r>
          </w:p>
        </w:tc>
        <w:tc>
          <w:tcPr>
            <w:tcW w:w="630" w:type="dxa"/>
            <w:vMerge w:val="continue"/>
            <w:tcBorders>
              <w:top w:val="nil"/>
              <w:bottom w:val="single" w:color="76746C" w:sz="8"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5524" w:type="dxa"/>
            <w:gridSpan w:val="3"/>
            <w:tcBorders>
              <w:top w:val="single" w:color="76746C" w:sz="8" w:space="0"/>
            </w:tcBorders>
          </w:tcPr>
          <w:p>
            <w:pPr>
              <w:pStyle w:val="8"/>
              <w:spacing w:before="2" w:line="290" w:lineRule="exact"/>
              <w:ind w:left="840"/>
              <w:rPr>
                <w:rFonts w:hint="eastAsia" w:ascii="黑体" w:eastAsia="黑体"/>
                <w:sz w:val="24"/>
              </w:rPr>
            </w:pPr>
            <w:r>
              <w:rPr>
                <w:rFonts w:hint="eastAsia" w:ascii="黑体" w:eastAsia="黑体"/>
                <w:sz w:val="24"/>
              </w:rPr>
              <w:t>一、本年新收政府信息公开申请数量</w:t>
            </w:r>
          </w:p>
        </w:tc>
        <w:tc>
          <w:tcPr>
            <w:tcW w:w="577" w:type="dxa"/>
          </w:tcPr>
          <w:p>
            <w:pPr>
              <w:pStyle w:val="8"/>
              <w:jc w:val="center"/>
              <w:rPr>
                <w:rFonts w:hint="eastAsia" w:ascii="Times New Roman" w:eastAsia="仿宋"/>
                <w:sz w:val="22"/>
                <w:lang w:val="en-US" w:eastAsia="zh-CN"/>
              </w:rPr>
            </w:pPr>
            <w:r>
              <w:rPr>
                <w:rFonts w:hint="eastAsia" w:ascii="Times New Roman"/>
                <w:sz w:val="22"/>
                <w:lang w:val="en-US" w:eastAsia="zh-CN"/>
              </w:rPr>
              <w:t>0</w:t>
            </w:r>
          </w:p>
        </w:tc>
        <w:tc>
          <w:tcPr>
            <w:tcW w:w="623" w:type="dxa"/>
          </w:tcPr>
          <w:p>
            <w:pPr>
              <w:pStyle w:val="8"/>
              <w:jc w:val="center"/>
              <w:rPr>
                <w:rFonts w:hint="eastAsia" w:ascii="Times New Roman" w:eastAsia="仿宋"/>
                <w:sz w:val="22"/>
                <w:lang w:val="en-US" w:eastAsia="zh-CN"/>
              </w:rPr>
            </w:pPr>
            <w:r>
              <w:rPr>
                <w:rFonts w:hint="eastAsia" w:ascii="Times New Roman"/>
                <w:sz w:val="22"/>
                <w:lang w:val="en-US" w:eastAsia="zh-CN"/>
              </w:rPr>
              <w:t>0</w:t>
            </w:r>
          </w:p>
        </w:tc>
        <w:tc>
          <w:tcPr>
            <w:tcW w:w="635" w:type="dxa"/>
          </w:tcPr>
          <w:p>
            <w:pPr>
              <w:pStyle w:val="8"/>
              <w:jc w:val="center"/>
              <w:rPr>
                <w:rFonts w:hint="eastAsia" w:ascii="Times New Roman" w:eastAsia="仿宋"/>
                <w:sz w:val="22"/>
                <w:lang w:val="en-US" w:eastAsia="zh-CN"/>
              </w:rPr>
            </w:pPr>
            <w:r>
              <w:rPr>
                <w:rFonts w:hint="eastAsia" w:ascii="Times New Roman"/>
                <w:sz w:val="22"/>
                <w:lang w:val="en-US" w:eastAsia="zh-CN"/>
              </w:rPr>
              <w:t>0</w:t>
            </w:r>
          </w:p>
        </w:tc>
        <w:tc>
          <w:tcPr>
            <w:tcW w:w="635" w:type="dxa"/>
          </w:tcPr>
          <w:p>
            <w:pPr>
              <w:pStyle w:val="8"/>
              <w:jc w:val="center"/>
              <w:rPr>
                <w:rFonts w:hint="eastAsia" w:ascii="Times New Roman" w:eastAsia="仿宋"/>
                <w:sz w:val="22"/>
                <w:lang w:val="en-US" w:eastAsia="zh-CN"/>
              </w:rPr>
            </w:pPr>
            <w:r>
              <w:rPr>
                <w:rFonts w:hint="eastAsia" w:ascii="Times New Roman"/>
                <w:sz w:val="22"/>
                <w:lang w:val="en-US" w:eastAsia="zh-CN"/>
              </w:rPr>
              <w:t>0</w:t>
            </w:r>
          </w:p>
        </w:tc>
        <w:tc>
          <w:tcPr>
            <w:tcW w:w="843" w:type="dxa"/>
          </w:tcPr>
          <w:p>
            <w:pPr>
              <w:pStyle w:val="8"/>
              <w:jc w:val="center"/>
              <w:rPr>
                <w:rFonts w:hint="eastAsia" w:ascii="Times New Roman" w:eastAsia="仿宋"/>
                <w:sz w:val="22"/>
                <w:lang w:val="en-US" w:eastAsia="zh-CN"/>
              </w:rPr>
            </w:pPr>
            <w:r>
              <w:rPr>
                <w:rFonts w:hint="eastAsia" w:ascii="Times New Roman"/>
                <w:sz w:val="22"/>
                <w:lang w:val="en-US" w:eastAsia="zh-CN"/>
              </w:rPr>
              <w:t>0</w:t>
            </w:r>
          </w:p>
        </w:tc>
        <w:tc>
          <w:tcPr>
            <w:tcW w:w="686" w:type="dxa"/>
          </w:tcPr>
          <w:p>
            <w:pPr>
              <w:pStyle w:val="8"/>
              <w:jc w:val="center"/>
              <w:rPr>
                <w:rFonts w:hint="eastAsia" w:ascii="Times New Roman" w:eastAsia="仿宋"/>
                <w:sz w:val="22"/>
                <w:lang w:val="en-US" w:eastAsia="zh-CN"/>
              </w:rPr>
            </w:pPr>
            <w:r>
              <w:rPr>
                <w:rFonts w:hint="eastAsia" w:ascii="Times New Roman"/>
                <w:sz w:val="22"/>
                <w:lang w:val="en-US" w:eastAsia="zh-CN"/>
              </w:rPr>
              <w:t>0</w:t>
            </w:r>
          </w:p>
        </w:tc>
        <w:tc>
          <w:tcPr>
            <w:tcW w:w="630" w:type="dxa"/>
            <w:tcBorders>
              <w:top w:val="single" w:color="76746C" w:sz="8" w:space="0"/>
            </w:tcBorders>
          </w:tcPr>
          <w:p>
            <w:pPr>
              <w:pStyle w:val="8"/>
              <w:jc w:val="center"/>
              <w:rPr>
                <w:rFonts w:hint="eastAsia" w:ascii="Times New Roman" w:eastAsia="仿宋"/>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5524" w:type="dxa"/>
            <w:gridSpan w:val="3"/>
          </w:tcPr>
          <w:p>
            <w:pPr>
              <w:pStyle w:val="8"/>
              <w:spacing w:before="2" w:line="290" w:lineRule="exact"/>
              <w:ind w:left="840"/>
              <w:rPr>
                <w:rFonts w:hint="eastAsia" w:ascii="黑体" w:eastAsia="黑体"/>
                <w:sz w:val="24"/>
              </w:rPr>
            </w:pPr>
            <w:r>
              <w:rPr>
                <w:rFonts w:hint="eastAsia" w:ascii="黑体" w:eastAsia="黑体"/>
                <w:sz w:val="24"/>
              </w:rPr>
              <w:t>二、上年结转政府信息公开申请数量</w:t>
            </w:r>
          </w:p>
        </w:tc>
        <w:tc>
          <w:tcPr>
            <w:tcW w:w="577" w:type="dxa"/>
          </w:tcPr>
          <w:p>
            <w:pPr>
              <w:pStyle w:val="8"/>
              <w:jc w:val="center"/>
              <w:rPr>
                <w:rFonts w:hint="eastAsia" w:ascii="Times New Roman" w:eastAsia="仿宋"/>
                <w:sz w:val="22"/>
                <w:lang w:val="en-US" w:eastAsia="zh-CN"/>
              </w:rPr>
            </w:pPr>
            <w:r>
              <w:rPr>
                <w:rFonts w:hint="eastAsia" w:ascii="Times New Roman"/>
                <w:sz w:val="22"/>
                <w:lang w:val="en-US" w:eastAsia="zh-CN"/>
              </w:rPr>
              <w:t>0</w:t>
            </w:r>
          </w:p>
        </w:tc>
        <w:tc>
          <w:tcPr>
            <w:tcW w:w="623" w:type="dxa"/>
          </w:tcPr>
          <w:p>
            <w:pPr>
              <w:pStyle w:val="8"/>
              <w:jc w:val="center"/>
              <w:rPr>
                <w:rFonts w:hint="eastAsia" w:ascii="Times New Roman" w:eastAsia="仿宋"/>
                <w:sz w:val="22"/>
                <w:lang w:val="en-US" w:eastAsia="zh-CN"/>
              </w:rPr>
            </w:pPr>
            <w:r>
              <w:rPr>
                <w:rFonts w:hint="eastAsia" w:ascii="Times New Roman"/>
                <w:sz w:val="22"/>
                <w:lang w:val="en-US" w:eastAsia="zh-CN"/>
              </w:rPr>
              <w:t>0</w:t>
            </w:r>
          </w:p>
        </w:tc>
        <w:tc>
          <w:tcPr>
            <w:tcW w:w="635" w:type="dxa"/>
          </w:tcPr>
          <w:p>
            <w:pPr>
              <w:pStyle w:val="8"/>
              <w:jc w:val="center"/>
              <w:rPr>
                <w:rFonts w:hint="eastAsia" w:ascii="Times New Roman" w:eastAsia="仿宋"/>
                <w:sz w:val="22"/>
                <w:lang w:val="en-US" w:eastAsia="zh-CN"/>
              </w:rPr>
            </w:pPr>
            <w:r>
              <w:rPr>
                <w:rFonts w:hint="eastAsia" w:ascii="Times New Roman"/>
                <w:sz w:val="22"/>
                <w:lang w:val="en-US" w:eastAsia="zh-CN"/>
              </w:rPr>
              <w:t>0</w:t>
            </w:r>
          </w:p>
        </w:tc>
        <w:tc>
          <w:tcPr>
            <w:tcW w:w="635" w:type="dxa"/>
          </w:tcPr>
          <w:p>
            <w:pPr>
              <w:pStyle w:val="8"/>
              <w:jc w:val="center"/>
              <w:rPr>
                <w:rFonts w:hint="eastAsia" w:ascii="Times New Roman" w:eastAsia="仿宋"/>
                <w:sz w:val="22"/>
                <w:lang w:val="en-US" w:eastAsia="zh-CN"/>
              </w:rPr>
            </w:pPr>
            <w:r>
              <w:rPr>
                <w:rFonts w:hint="eastAsia" w:ascii="Times New Roman"/>
                <w:sz w:val="22"/>
                <w:lang w:val="en-US" w:eastAsia="zh-CN"/>
              </w:rPr>
              <w:t>0</w:t>
            </w:r>
          </w:p>
        </w:tc>
        <w:tc>
          <w:tcPr>
            <w:tcW w:w="843" w:type="dxa"/>
          </w:tcPr>
          <w:p>
            <w:pPr>
              <w:pStyle w:val="8"/>
              <w:jc w:val="center"/>
              <w:rPr>
                <w:rFonts w:hint="eastAsia" w:ascii="Times New Roman" w:eastAsia="仿宋"/>
                <w:sz w:val="22"/>
                <w:lang w:val="en-US" w:eastAsia="zh-CN"/>
              </w:rPr>
            </w:pPr>
            <w:r>
              <w:rPr>
                <w:rFonts w:hint="eastAsia" w:ascii="Times New Roman"/>
                <w:sz w:val="22"/>
                <w:lang w:val="en-US" w:eastAsia="zh-CN"/>
              </w:rPr>
              <w:t>0</w:t>
            </w:r>
          </w:p>
        </w:tc>
        <w:tc>
          <w:tcPr>
            <w:tcW w:w="686" w:type="dxa"/>
          </w:tcPr>
          <w:p>
            <w:pPr>
              <w:pStyle w:val="8"/>
              <w:jc w:val="center"/>
              <w:rPr>
                <w:rFonts w:hint="eastAsia" w:ascii="Times New Roman" w:eastAsia="仿宋"/>
                <w:sz w:val="22"/>
                <w:lang w:val="en-US" w:eastAsia="zh-CN"/>
              </w:rPr>
            </w:pPr>
            <w:r>
              <w:rPr>
                <w:rFonts w:hint="eastAsia" w:ascii="Times New Roman"/>
                <w:sz w:val="22"/>
                <w:lang w:val="en-US" w:eastAsia="zh-CN"/>
              </w:rPr>
              <w:t>0</w:t>
            </w:r>
          </w:p>
        </w:tc>
        <w:tc>
          <w:tcPr>
            <w:tcW w:w="630" w:type="dxa"/>
          </w:tcPr>
          <w:p>
            <w:pPr>
              <w:pStyle w:val="8"/>
              <w:jc w:val="center"/>
              <w:rPr>
                <w:rFonts w:hint="eastAsia" w:ascii="Times New Roman" w:eastAsia="仿宋"/>
                <w:sz w:val="22"/>
                <w:lang w:val="en-US" w:eastAsia="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66" w:type="dxa"/>
            <w:vMerge w:val="restart"/>
            <w:tcBorders>
              <w:bottom w:val="single" w:color="76746C" w:sz="8" w:space="0"/>
            </w:tcBorders>
          </w:tcPr>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rPr>
                <w:rFonts w:ascii="黑体"/>
                <w:sz w:val="24"/>
              </w:rPr>
            </w:pPr>
          </w:p>
          <w:p>
            <w:pPr>
              <w:pStyle w:val="8"/>
              <w:spacing w:before="11"/>
              <w:rPr>
                <w:rFonts w:ascii="黑体"/>
                <w:sz w:val="31"/>
              </w:rPr>
            </w:pPr>
          </w:p>
          <w:p>
            <w:pPr>
              <w:pStyle w:val="8"/>
              <w:ind w:left="111"/>
              <w:rPr>
                <w:rFonts w:hint="eastAsia" w:ascii="黑体" w:eastAsia="黑体"/>
                <w:sz w:val="24"/>
              </w:rPr>
            </w:pPr>
            <w:r>
              <w:rPr>
                <w:rFonts w:hint="eastAsia" w:ascii="黑体" w:eastAsia="黑体"/>
                <w:sz w:val="24"/>
              </w:rPr>
              <w:t>三</w:t>
            </w:r>
          </w:p>
          <w:p>
            <w:pPr>
              <w:pStyle w:val="8"/>
              <w:spacing w:before="5" w:line="242" w:lineRule="auto"/>
              <w:ind w:left="111" w:right="92"/>
              <w:jc w:val="both"/>
              <w:rPr>
                <w:rFonts w:hint="eastAsia" w:ascii="黑体" w:eastAsia="黑体"/>
                <w:sz w:val="24"/>
              </w:rPr>
            </w:pPr>
            <w:r>
              <w:rPr>
                <w:rFonts w:hint="eastAsia" w:ascii="黑体" w:eastAsia="黑体"/>
                <w:sz w:val="24"/>
              </w:rPr>
              <w:t>、本年度办理结果</w:t>
            </w:r>
          </w:p>
        </w:tc>
        <w:tc>
          <w:tcPr>
            <w:tcW w:w="5058" w:type="dxa"/>
            <w:gridSpan w:val="2"/>
          </w:tcPr>
          <w:p>
            <w:pPr>
              <w:pStyle w:val="8"/>
              <w:spacing w:before="2" w:line="289" w:lineRule="exact"/>
              <w:ind w:left="55"/>
              <w:rPr>
                <w:rFonts w:hint="eastAsia" w:ascii="黑体" w:eastAsia="黑体"/>
                <w:sz w:val="24"/>
              </w:rPr>
            </w:pPr>
            <w:r>
              <w:rPr>
                <w:rFonts w:hint="eastAsia" w:ascii="黑体" w:eastAsia="黑体"/>
                <w:sz w:val="24"/>
              </w:rPr>
              <w:t>（一）予以公开</w:t>
            </w:r>
          </w:p>
        </w:tc>
        <w:tc>
          <w:tcPr>
            <w:tcW w:w="577"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23"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35"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35"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843"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86"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30"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66" w:type="dxa"/>
            <w:vMerge w:val="continue"/>
            <w:tcBorders>
              <w:top w:val="nil"/>
              <w:bottom w:val="single" w:color="76746C" w:sz="8" w:space="0"/>
            </w:tcBorders>
          </w:tcPr>
          <w:p>
            <w:pPr>
              <w:rPr>
                <w:sz w:val="2"/>
                <w:szCs w:val="2"/>
              </w:rPr>
            </w:pPr>
          </w:p>
        </w:tc>
        <w:tc>
          <w:tcPr>
            <w:tcW w:w="5058" w:type="dxa"/>
            <w:gridSpan w:val="2"/>
          </w:tcPr>
          <w:p>
            <w:pPr>
              <w:pStyle w:val="8"/>
              <w:spacing w:before="2"/>
              <w:ind w:left="55"/>
              <w:rPr>
                <w:rFonts w:hint="eastAsia" w:ascii="黑体" w:eastAsia="黑体"/>
                <w:sz w:val="24"/>
              </w:rPr>
            </w:pPr>
            <w:r>
              <w:rPr>
                <w:rFonts w:hint="eastAsia" w:ascii="黑体" w:eastAsia="黑体"/>
                <w:sz w:val="24"/>
              </w:rPr>
              <w:t>（二）部分公开（区分处理的，只计这一情形</w:t>
            </w:r>
          </w:p>
          <w:p>
            <w:pPr>
              <w:pStyle w:val="8"/>
              <w:spacing w:before="4" w:line="290" w:lineRule="exact"/>
              <w:ind w:left="55"/>
              <w:rPr>
                <w:rFonts w:hint="eastAsia" w:ascii="黑体" w:eastAsia="黑体"/>
                <w:sz w:val="24"/>
              </w:rPr>
            </w:pPr>
            <w:r>
              <w:rPr>
                <w:rFonts w:hint="eastAsia" w:ascii="黑体" w:eastAsia="黑体"/>
                <w:sz w:val="24"/>
              </w:rPr>
              <w:t>不计其他情形）</w:t>
            </w:r>
          </w:p>
        </w:tc>
        <w:tc>
          <w:tcPr>
            <w:tcW w:w="577"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23"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35"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35"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843"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86"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30"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66" w:type="dxa"/>
            <w:vMerge w:val="continue"/>
            <w:tcBorders>
              <w:top w:val="nil"/>
              <w:bottom w:val="single" w:color="76746C" w:sz="8" w:space="0"/>
            </w:tcBorders>
          </w:tcPr>
          <w:p>
            <w:pPr>
              <w:rPr>
                <w:sz w:val="2"/>
                <w:szCs w:val="2"/>
              </w:rPr>
            </w:pPr>
          </w:p>
        </w:tc>
        <w:tc>
          <w:tcPr>
            <w:tcW w:w="1695" w:type="dxa"/>
            <w:vMerge w:val="restart"/>
            <w:tcBorders>
              <w:bottom w:val="single" w:color="76746C" w:sz="8" w:space="0"/>
            </w:tcBorders>
          </w:tcPr>
          <w:p>
            <w:pPr>
              <w:pStyle w:val="8"/>
              <w:rPr>
                <w:rFonts w:ascii="黑体"/>
                <w:sz w:val="24"/>
              </w:rPr>
            </w:pPr>
          </w:p>
          <w:p>
            <w:pPr>
              <w:pStyle w:val="8"/>
              <w:rPr>
                <w:rFonts w:ascii="黑体"/>
                <w:sz w:val="24"/>
              </w:rPr>
            </w:pPr>
          </w:p>
          <w:p>
            <w:pPr>
              <w:pStyle w:val="8"/>
              <w:rPr>
                <w:rFonts w:ascii="黑体"/>
                <w:sz w:val="24"/>
              </w:rPr>
            </w:pPr>
          </w:p>
          <w:p>
            <w:pPr>
              <w:pStyle w:val="8"/>
              <w:spacing w:before="10"/>
              <w:rPr>
                <w:rFonts w:ascii="黑体"/>
                <w:sz w:val="18"/>
              </w:rPr>
            </w:pPr>
          </w:p>
          <w:p>
            <w:pPr>
              <w:pStyle w:val="8"/>
              <w:ind w:left="55"/>
              <w:rPr>
                <w:rFonts w:hint="eastAsia" w:ascii="黑体" w:eastAsia="黑体"/>
                <w:sz w:val="24"/>
              </w:rPr>
            </w:pPr>
            <w:r>
              <w:rPr>
                <w:rFonts w:hint="eastAsia" w:ascii="黑体" w:eastAsia="黑体"/>
                <w:sz w:val="24"/>
              </w:rPr>
              <w:t>（三</w:t>
            </w:r>
            <w:r>
              <w:rPr>
                <w:rFonts w:hint="eastAsia" w:ascii="黑体" w:eastAsia="黑体"/>
                <w:spacing w:val="-100"/>
                <w:sz w:val="24"/>
              </w:rPr>
              <w:t>）</w:t>
            </w:r>
            <w:r>
              <w:rPr>
                <w:rFonts w:hint="eastAsia" w:ascii="黑体" w:eastAsia="黑体"/>
                <w:sz w:val="24"/>
              </w:rPr>
              <w:t>不予公开</w:t>
            </w:r>
          </w:p>
        </w:tc>
        <w:tc>
          <w:tcPr>
            <w:tcW w:w="3363" w:type="dxa"/>
          </w:tcPr>
          <w:p>
            <w:pPr>
              <w:pStyle w:val="8"/>
              <w:spacing w:before="2" w:line="290" w:lineRule="exact"/>
              <w:ind w:left="55"/>
              <w:rPr>
                <w:sz w:val="24"/>
              </w:rPr>
            </w:pPr>
            <w:r>
              <w:rPr>
                <w:sz w:val="24"/>
              </w:rPr>
              <w:t>1.属于国家秘密</w:t>
            </w:r>
          </w:p>
        </w:tc>
        <w:tc>
          <w:tcPr>
            <w:tcW w:w="577"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23"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35"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35"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843"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86"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30"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89" w:lineRule="exact"/>
              <w:ind w:left="55"/>
              <w:rPr>
                <w:sz w:val="24"/>
              </w:rPr>
            </w:pPr>
            <w:r>
              <w:rPr>
                <w:sz w:val="24"/>
              </w:rPr>
              <w:t>2.其他法律行政法规禁止公开</w:t>
            </w:r>
          </w:p>
        </w:tc>
        <w:tc>
          <w:tcPr>
            <w:tcW w:w="577"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23"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35"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35"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843"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86"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c>
          <w:tcPr>
            <w:tcW w:w="630" w:type="dxa"/>
            <w:vAlign w:val="top"/>
          </w:tcPr>
          <w:p>
            <w:pPr>
              <w:pStyle w:val="8"/>
              <w:ind w:left="0" w:leftChars="0" w:right="0" w:rightChars="0"/>
              <w:jc w:val="center"/>
              <w:rPr>
                <w:rFonts w:hint="eastAsia" w:ascii="Times New Roman" w:hAnsi="仿宋" w:eastAsia="仿宋" w:cs="仿宋"/>
                <w:sz w:val="22"/>
                <w:szCs w:val="22"/>
                <w:lang w:val="en-US" w:eastAsia="zh-CN" w:bidi="zh-CN"/>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90" w:lineRule="exact"/>
              <w:ind w:left="55"/>
              <w:rPr>
                <w:sz w:val="24"/>
              </w:rPr>
            </w:pPr>
            <w:r>
              <w:rPr>
                <w:sz w:val="24"/>
              </w:rPr>
              <w:t>3.危及“三安全一稳定”</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90" w:lineRule="exact"/>
              <w:ind w:left="55"/>
              <w:rPr>
                <w:sz w:val="24"/>
              </w:rPr>
            </w:pPr>
            <w:r>
              <w:rPr>
                <w:sz w:val="24"/>
              </w:rPr>
              <w:t>4.保护第三方合法权益</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89" w:lineRule="exact"/>
              <w:ind w:left="55"/>
              <w:rPr>
                <w:sz w:val="24"/>
              </w:rPr>
            </w:pPr>
            <w:r>
              <w:rPr>
                <w:sz w:val="24"/>
              </w:rPr>
              <w:t>5.属于三类内部事务信息</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90" w:lineRule="exact"/>
              <w:ind w:left="55"/>
              <w:rPr>
                <w:sz w:val="24"/>
              </w:rPr>
            </w:pPr>
            <w:r>
              <w:rPr>
                <w:sz w:val="24"/>
              </w:rPr>
              <w:t>6.属于四类过程性信息</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90" w:lineRule="exact"/>
              <w:ind w:left="55"/>
              <w:rPr>
                <w:sz w:val="24"/>
              </w:rPr>
            </w:pPr>
            <w:r>
              <w:rPr>
                <w:sz w:val="24"/>
              </w:rPr>
              <w:t>7.属于行政执法案卷</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89" w:lineRule="exact"/>
              <w:ind w:left="55"/>
              <w:rPr>
                <w:sz w:val="24"/>
              </w:rPr>
            </w:pPr>
            <w:r>
              <w:rPr>
                <w:sz w:val="24"/>
              </w:rPr>
              <w:t>8.属于行政查询事项</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66" w:type="dxa"/>
            <w:vMerge w:val="continue"/>
            <w:tcBorders>
              <w:top w:val="nil"/>
              <w:bottom w:val="single" w:color="76746C" w:sz="8" w:space="0"/>
            </w:tcBorders>
          </w:tcPr>
          <w:p>
            <w:pPr>
              <w:rPr>
                <w:sz w:val="2"/>
                <w:szCs w:val="2"/>
              </w:rPr>
            </w:pPr>
          </w:p>
        </w:tc>
        <w:tc>
          <w:tcPr>
            <w:tcW w:w="1695" w:type="dxa"/>
            <w:vMerge w:val="restart"/>
            <w:tcBorders>
              <w:top w:val="single" w:color="76746C" w:sz="8" w:space="0"/>
              <w:bottom w:val="single" w:color="76746C" w:sz="8" w:space="0"/>
            </w:tcBorders>
          </w:tcPr>
          <w:p>
            <w:pPr>
              <w:pStyle w:val="8"/>
              <w:spacing w:before="1"/>
              <w:rPr>
                <w:rFonts w:ascii="黑体"/>
                <w:sz w:val="26"/>
              </w:rPr>
            </w:pPr>
          </w:p>
          <w:p>
            <w:pPr>
              <w:pStyle w:val="8"/>
              <w:ind w:left="55"/>
              <w:rPr>
                <w:rFonts w:hint="eastAsia" w:ascii="黑体" w:eastAsia="黑体"/>
                <w:sz w:val="24"/>
              </w:rPr>
            </w:pPr>
            <w:r>
              <w:rPr>
                <w:rFonts w:hint="eastAsia" w:ascii="黑体" w:eastAsia="黑体"/>
                <w:sz w:val="24"/>
              </w:rPr>
              <w:t>（四</w:t>
            </w:r>
            <w:r>
              <w:rPr>
                <w:rFonts w:hint="eastAsia" w:ascii="黑体" w:eastAsia="黑体"/>
                <w:spacing w:val="-100"/>
                <w:sz w:val="24"/>
              </w:rPr>
              <w:t>）</w:t>
            </w:r>
            <w:r>
              <w:rPr>
                <w:rFonts w:hint="eastAsia" w:ascii="黑体" w:eastAsia="黑体"/>
                <w:sz w:val="24"/>
              </w:rPr>
              <w:t>无法提供</w:t>
            </w:r>
          </w:p>
        </w:tc>
        <w:tc>
          <w:tcPr>
            <w:tcW w:w="3363" w:type="dxa"/>
          </w:tcPr>
          <w:p>
            <w:pPr>
              <w:pStyle w:val="8"/>
              <w:spacing w:before="2" w:line="290" w:lineRule="exact"/>
              <w:ind w:left="55"/>
              <w:rPr>
                <w:sz w:val="24"/>
              </w:rPr>
            </w:pPr>
            <w:r>
              <w:rPr>
                <w:sz w:val="24"/>
              </w:rPr>
              <w:t>1.本机关不掌握相关政府信息</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90" w:lineRule="exact"/>
              <w:ind w:left="55"/>
              <w:rPr>
                <w:sz w:val="24"/>
              </w:rPr>
            </w:pPr>
            <w:r>
              <w:rPr>
                <w:sz w:val="24"/>
              </w:rPr>
              <w:t>2.没有现成信息需要另行制作</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89" w:lineRule="exact"/>
              <w:ind w:left="55"/>
              <w:rPr>
                <w:sz w:val="24"/>
              </w:rPr>
            </w:pPr>
            <w:r>
              <w:rPr>
                <w:sz w:val="24"/>
              </w:rPr>
              <w:t>3.补正后申请内容仍不明确</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66" w:type="dxa"/>
            <w:vMerge w:val="continue"/>
            <w:tcBorders>
              <w:top w:val="nil"/>
              <w:bottom w:val="single" w:color="76746C" w:sz="8" w:space="0"/>
            </w:tcBorders>
          </w:tcPr>
          <w:p>
            <w:pPr>
              <w:rPr>
                <w:sz w:val="2"/>
                <w:szCs w:val="2"/>
              </w:rPr>
            </w:pPr>
          </w:p>
        </w:tc>
        <w:tc>
          <w:tcPr>
            <w:tcW w:w="1695" w:type="dxa"/>
            <w:vMerge w:val="restart"/>
            <w:tcBorders>
              <w:top w:val="single" w:color="76746C" w:sz="8" w:space="0"/>
              <w:bottom w:val="single" w:color="76746C" w:sz="8" w:space="0"/>
            </w:tcBorders>
          </w:tcPr>
          <w:p>
            <w:pPr>
              <w:pStyle w:val="8"/>
              <w:rPr>
                <w:rFonts w:ascii="黑体"/>
                <w:sz w:val="24"/>
              </w:rPr>
            </w:pPr>
          </w:p>
          <w:p>
            <w:pPr>
              <w:pStyle w:val="8"/>
              <w:rPr>
                <w:rFonts w:ascii="黑体"/>
                <w:sz w:val="24"/>
              </w:rPr>
            </w:pPr>
          </w:p>
          <w:p>
            <w:pPr>
              <w:pStyle w:val="8"/>
              <w:spacing w:before="207"/>
              <w:ind w:left="55"/>
              <w:rPr>
                <w:rFonts w:hint="eastAsia" w:ascii="黑体" w:eastAsia="黑体"/>
                <w:sz w:val="24"/>
              </w:rPr>
            </w:pPr>
            <w:r>
              <w:rPr>
                <w:rFonts w:hint="eastAsia" w:ascii="黑体" w:eastAsia="黑体"/>
                <w:sz w:val="24"/>
              </w:rPr>
              <w:t>（五</w:t>
            </w:r>
            <w:r>
              <w:rPr>
                <w:rFonts w:hint="eastAsia" w:ascii="黑体" w:eastAsia="黑体"/>
                <w:spacing w:val="-100"/>
                <w:sz w:val="24"/>
              </w:rPr>
              <w:t>）</w:t>
            </w:r>
            <w:r>
              <w:rPr>
                <w:rFonts w:hint="eastAsia" w:ascii="黑体" w:eastAsia="黑体"/>
                <w:sz w:val="24"/>
              </w:rPr>
              <w:t>不予处理</w:t>
            </w:r>
          </w:p>
        </w:tc>
        <w:tc>
          <w:tcPr>
            <w:tcW w:w="3363" w:type="dxa"/>
          </w:tcPr>
          <w:p>
            <w:pPr>
              <w:pStyle w:val="8"/>
              <w:spacing w:before="2" w:line="290" w:lineRule="exact"/>
              <w:ind w:left="55"/>
              <w:rPr>
                <w:sz w:val="24"/>
              </w:rPr>
            </w:pPr>
            <w:r>
              <w:rPr>
                <w:sz w:val="24"/>
              </w:rPr>
              <w:t>1.信访举报投诉类申请</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90" w:lineRule="exact"/>
              <w:ind w:left="55"/>
              <w:rPr>
                <w:sz w:val="24"/>
              </w:rPr>
            </w:pPr>
            <w:r>
              <w:rPr>
                <w:sz w:val="24"/>
              </w:rPr>
              <w:t>2.重复申请</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89" w:lineRule="exact"/>
              <w:ind w:left="55"/>
              <w:rPr>
                <w:sz w:val="24"/>
              </w:rPr>
            </w:pPr>
            <w:r>
              <w:rPr>
                <w:sz w:val="24"/>
              </w:rPr>
              <w:t>3.要求提供公开出版物</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90" w:lineRule="exact"/>
              <w:ind w:left="55"/>
              <w:rPr>
                <w:sz w:val="24"/>
              </w:rPr>
            </w:pPr>
            <w:r>
              <w:rPr>
                <w:sz w:val="24"/>
              </w:rPr>
              <w:t>4.无正当理由大量反复申请</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Borders>
              <w:bottom w:val="single" w:color="76746C" w:sz="8" w:space="0"/>
            </w:tcBorders>
          </w:tcPr>
          <w:p>
            <w:pPr>
              <w:pStyle w:val="8"/>
              <w:spacing w:before="2"/>
              <w:ind w:left="55"/>
              <w:rPr>
                <w:sz w:val="24"/>
              </w:rPr>
            </w:pPr>
            <w:r>
              <w:rPr>
                <w:sz w:val="24"/>
              </w:rPr>
              <w:t>5.要求行政机关确认或重新出</w:t>
            </w:r>
          </w:p>
          <w:p>
            <w:pPr>
              <w:pStyle w:val="8"/>
              <w:spacing w:before="4" w:line="290" w:lineRule="exact"/>
              <w:ind w:left="55"/>
              <w:rPr>
                <w:sz w:val="24"/>
              </w:rPr>
            </w:pPr>
            <w:r>
              <w:rPr>
                <w:sz w:val="24"/>
              </w:rPr>
              <w:t>具已获取信息</w:t>
            </w:r>
          </w:p>
        </w:tc>
        <w:tc>
          <w:tcPr>
            <w:tcW w:w="577" w:type="dxa"/>
            <w:tcBorders>
              <w:bottom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23" w:type="dxa"/>
            <w:tcBorders>
              <w:bottom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35" w:type="dxa"/>
            <w:tcBorders>
              <w:bottom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35" w:type="dxa"/>
            <w:tcBorders>
              <w:bottom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843" w:type="dxa"/>
            <w:tcBorders>
              <w:bottom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86" w:type="dxa"/>
            <w:tcBorders>
              <w:bottom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30" w:type="dxa"/>
            <w:tcBorders>
              <w:bottom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466" w:type="dxa"/>
            <w:vMerge w:val="continue"/>
            <w:tcBorders>
              <w:top w:val="nil"/>
              <w:bottom w:val="single" w:color="76746C" w:sz="8" w:space="0"/>
            </w:tcBorders>
          </w:tcPr>
          <w:p>
            <w:pPr>
              <w:rPr>
                <w:sz w:val="2"/>
                <w:szCs w:val="2"/>
              </w:rPr>
            </w:pPr>
          </w:p>
        </w:tc>
        <w:tc>
          <w:tcPr>
            <w:tcW w:w="1695" w:type="dxa"/>
            <w:vMerge w:val="restart"/>
            <w:tcBorders>
              <w:top w:val="single" w:color="76746C" w:sz="8" w:space="0"/>
              <w:bottom w:val="single" w:color="76746C" w:sz="8" w:space="0"/>
            </w:tcBorders>
          </w:tcPr>
          <w:p>
            <w:pPr>
              <w:pStyle w:val="8"/>
              <w:rPr>
                <w:rFonts w:ascii="黑体"/>
                <w:sz w:val="24"/>
              </w:rPr>
            </w:pPr>
          </w:p>
          <w:p>
            <w:pPr>
              <w:pStyle w:val="8"/>
              <w:rPr>
                <w:rFonts w:ascii="黑体"/>
                <w:sz w:val="24"/>
              </w:rPr>
            </w:pPr>
          </w:p>
          <w:p>
            <w:pPr>
              <w:pStyle w:val="8"/>
              <w:spacing w:before="9"/>
              <w:rPr>
                <w:rFonts w:ascii="黑体"/>
                <w:sz w:val="26"/>
              </w:rPr>
            </w:pPr>
          </w:p>
          <w:p>
            <w:pPr>
              <w:pStyle w:val="8"/>
              <w:ind w:left="55"/>
              <w:rPr>
                <w:rFonts w:hint="eastAsia" w:ascii="黑体" w:eastAsia="黑体"/>
                <w:sz w:val="24"/>
              </w:rPr>
            </w:pPr>
            <w:r>
              <w:rPr>
                <w:rFonts w:hint="eastAsia" w:ascii="黑体" w:eastAsia="黑体"/>
                <w:sz w:val="24"/>
              </w:rPr>
              <w:t>（六</w:t>
            </w:r>
            <w:r>
              <w:rPr>
                <w:rFonts w:hint="eastAsia" w:ascii="黑体" w:eastAsia="黑体"/>
                <w:spacing w:val="-100"/>
                <w:sz w:val="24"/>
              </w:rPr>
              <w:t>）</w:t>
            </w:r>
            <w:r>
              <w:rPr>
                <w:rFonts w:hint="eastAsia" w:ascii="黑体" w:eastAsia="黑体"/>
                <w:sz w:val="24"/>
              </w:rPr>
              <w:t>其他处理</w:t>
            </w:r>
          </w:p>
        </w:tc>
        <w:tc>
          <w:tcPr>
            <w:tcW w:w="3363" w:type="dxa"/>
            <w:tcBorders>
              <w:top w:val="single" w:color="76746C" w:sz="8" w:space="0"/>
            </w:tcBorders>
          </w:tcPr>
          <w:p>
            <w:pPr>
              <w:pStyle w:val="8"/>
              <w:spacing w:before="2" w:line="242" w:lineRule="auto"/>
              <w:ind w:left="55" w:right="26"/>
              <w:rPr>
                <w:sz w:val="24"/>
              </w:rPr>
            </w:pPr>
            <w:r>
              <w:rPr>
                <w:spacing w:val="4"/>
                <w:sz w:val="24"/>
              </w:rPr>
              <w:t>1</w:t>
            </w:r>
            <w:r>
              <w:rPr>
                <w:spacing w:val="7"/>
                <w:sz w:val="24"/>
              </w:rPr>
              <w:t>.申请人无正当理由逾期不补</w:t>
            </w:r>
            <w:r>
              <w:rPr>
                <w:spacing w:val="-12"/>
                <w:sz w:val="24"/>
              </w:rPr>
              <w:t>正、行政机关不再处理其政府信</w:t>
            </w:r>
          </w:p>
          <w:p>
            <w:pPr>
              <w:pStyle w:val="8"/>
              <w:spacing w:before="3" w:line="289" w:lineRule="exact"/>
              <w:ind w:left="55"/>
              <w:rPr>
                <w:sz w:val="24"/>
              </w:rPr>
            </w:pPr>
            <w:r>
              <w:rPr>
                <w:sz w:val="24"/>
              </w:rPr>
              <w:t>息公开申请</w:t>
            </w:r>
          </w:p>
        </w:tc>
        <w:tc>
          <w:tcPr>
            <w:tcW w:w="577" w:type="dxa"/>
            <w:tcBorders>
              <w:top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23" w:type="dxa"/>
            <w:tcBorders>
              <w:top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35" w:type="dxa"/>
            <w:tcBorders>
              <w:top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35" w:type="dxa"/>
            <w:tcBorders>
              <w:top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843" w:type="dxa"/>
            <w:tcBorders>
              <w:top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86" w:type="dxa"/>
            <w:tcBorders>
              <w:top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30" w:type="dxa"/>
            <w:tcBorders>
              <w:top w:val="single" w:color="76746C" w:sz="8" w:space="0"/>
            </w:tcBorders>
            <w:vAlign w:val="top"/>
          </w:tcPr>
          <w:p>
            <w:pPr>
              <w:pStyle w:val="8"/>
              <w:ind w:left="0" w:leftChars="0" w:right="0" w:rightChars="0"/>
              <w:jc w:val="center"/>
              <w:rPr>
                <w:rFonts w:ascii="Times New Roman"/>
                <w:sz w:val="24"/>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42" w:lineRule="auto"/>
              <w:ind w:left="55" w:right="26"/>
              <w:rPr>
                <w:sz w:val="24"/>
              </w:rPr>
            </w:pPr>
            <w:r>
              <w:rPr>
                <w:spacing w:val="4"/>
                <w:sz w:val="24"/>
              </w:rPr>
              <w:t>2</w:t>
            </w:r>
            <w:r>
              <w:rPr>
                <w:spacing w:val="7"/>
                <w:sz w:val="24"/>
              </w:rPr>
              <w:t>.申请人逾期未按收费通知要</w:t>
            </w:r>
            <w:r>
              <w:rPr>
                <w:spacing w:val="-11"/>
                <w:sz w:val="24"/>
              </w:rPr>
              <w:t>求缴纳费用、行政机关不再处理</w:t>
            </w:r>
          </w:p>
          <w:p>
            <w:pPr>
              <w:pStyle w:val="8"/>
              <w:spacing w:before="3" w:line="290" w:lineRule="exact"/>
              <w:ind w:left="55"/>
              <w:rPr>
                <w:sz w:val="24"/>
              </w:rPr>
            </w:pPr>
            <w:r>
              <w:rPr>
                <w:sz w:val="24"/>
              </w:rPr>
              <w:t>其政府信息公开申请</w:t>
            </w:r>
          </w:p>
        </w:tc>
        <w:tc>
          <w:tcPr>
            <w:tcW w:w="577" w:type="dxa"/>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4"/>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4"/>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466" w:type="dxa"/>
            <w:vMerge w:val="continue"/>
            <w:tcBorders>
              <w:top w:val="nil"/>
              <w:bottom w:val="single" w:color="76746C" w:sz="8" w:space="0"/>
            </w:tcBorders>
          </w:tcPr>
          <w:p>
            <w:pPr>
              <w:rPr>
                <w:sz w:val="2"/>
                <w:szCs w:val="2"/>
              </w:rPr>
            </w:pPr>
          </w:p>
        </w:tc>
        <w:tc>
          <w:tcPr>
            <w:tcW w:w="1695" w:type="dxa"/>
            <w:vMerge w:val="continue"/>
            <w:tcBorders>
              <w:top w:val="nil"/>
              <w:bottom w:val="single" w:color="76746C" w:sz="8" w:space="0"/>
            </w:tcBorders>
          </w:tcPr>
          <w:p>
            <w:pPr>
              <w:rPr>
                <w:sz w:val="2"/>
                <w:szCs w:val="2"/>
              </w:rPr>
            </w:pPr>
          </w:p>
        </w:tc>
        <w:tc>
          <w:tcPr>
            <w:tcW w:w="3363" w:type="dxa"/>
          </w:tcPr>
          <w:p>
            <w:pPr>
              <w:pStyle w:val="8"/>
              <w:spacing w:before="2" w:line="290" w:lineRule="exact"/>
              <w:ind w:left="55"/>
              <w:rPr>
                <w:sz w:val="24"/>
              </w:rPr>
            </w:pPr>
            <w:r>
              <w:rPr>
                <w:sz w:val="24"/>
              </w:rPr>
              <w:t>3.其他</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466" w:type="dxa"/>
            <w:vMerge w:val="continue"/>
            <w:tcBorders>
              <w:top w:val="nil"/>
              <w:bottom w:val="single" w:color="76746C" w:sz="8" w:space="0"/>
            </w:tcBorders>
          </w:tcPr>
          <w:p>
            <w:pPr>
              <w:rPr>
                <w:sz w:val="2"/>
                <w:szCs w:val="2"/>
              </w:rPr>
            </w:pPr>
          </w:p>
        </w:tc>
        <w:tc>
          <w:tcPr>
            <w:tcW w:w="5058" w:type="dxa"/>
            <w:gridSpan w:val="2"/>
            <w:tcBorders>
              <w:top w:val="single" w:color="76746C" w:sz="8" w:space="0"/>
            </w:tcBorders>
          </w:tcPr>
          <w:p>
            <w:pPr>
              <w:pStyle w:val="8"/>
              <w:spacing w:before="2" w:line="289" w:lineRule="exact"/>
              <w:ind w:left="55"/>
              <w:rPr>
                <w:rFonts w:hint="eastAsia" w:ascii="黑体" w:eastAsia="黑体"/>
                <w:sz w:val="24"/>
              </w:rPr>
            </w:pPr>
            <w:r>
              <w:rPr>
                <w:rFonts w:hint="eastAsia" w:ascii="黑体" w:eastAsia="黑体"/>
                <w:sz w:val="24"/>
              </w:rPr>
              <w:t>（七）总计</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5524" w:type="dxa"/>
            <w:gridSpan w:val="3"/>
            <w:tcBorders>
              <w:top w:val="single" w:color="76746C" w:sz="8" w:space="0"/>
            </w:tcBorders>
          </w:tcPr>
          <w:p>
            <w:pPr>
              <w:pStyle w:val="8"/>
              <w:spacing w:before="2" w:line="290" w:lineRule="exact"/>
              <w:ind w:left="57"/>
              <w:rPr>
                <w:rFonts w:hint="eastAsia" w:ascii="黑体" w:eastAsia="黑体"/>
                <w:sz w:val="24"/>
              </w:rPr>
            </w:pPr>
            <w:r>
              <w:rPr>
                <w:rFonts w:hint="eastAsia" w:ascii="黑体" w:eastAsia="黑体"/>
                <w:sz w:val="24"/>
              </w:rPr>
              <w:t>四、结转下年度继续办理</w:t>
            </w:r>
          </w:p>
        </w:tc>
        <w:tc>
          <w:tcPr>
            <w:tcW w:w="577"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2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5"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843"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86"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c>
          <w:tcPr>
            <w:tcW w:w="630" w:type="dxa"/>
            <w:vAlign w:val="top"/>
          </w:tcPr>
          <w:p>
            <w:pPr>
              <w:pStyle w:val="8"/>
              <w:ind w:left="0" w:leftChars="0" w:right="0" w:rightChars="0"/>
              <w:jc w:val="center"/>
              <w:rPr>
                <w:rFonts w:ascii="Times New Roman"/>
                <w:sz w:val="22"/>
              </w:rPr>
            </w:pPr>
            <w:r>
              <w:rPr>
                <w:rFonts w:hint="eastAsia" w:ascii="Times New Roman"/>
                <w:sz w:val="22"/>
                <w:lang w:val="en-US" w:eastAsia="zh-CN"/>
              </w:rPr>
              <w:t>0</w:t>
            </w:r>
          </w:p>
        </w:tc>
      </w:tr>
    </w:tbl>
    <w:p>
      <w:pPr>
        <w:spacing w:after="0"/>
        <w:rPr>
          <w:rFonts w:ascii="Times New Roman"/>
          <w:sz w:val="22"/>
        </w:rPr>
        <w:sectPr>
          <w:pgSz w:w="11910" w:h="16840"/>
          <w:pgMar w:top="1600" w:right="280" w:bottom="1200" w:left="960" w:header="0" w:footer="1009" w:gutter="0"/>
          <w:cols w:space="720" w:num="1"/>
        </w:sectPr>
      </w:pPr>
    </w:p>
    <w:p>
      <w:pPr>
        <w:pStyle w:val="3"/>
        <w:ind w:left="0"/>
        <w:rPr>
          <w:rFonts w:ascii="黑体"/>
          <w:sz w:val="20"/>
        </w:rPr>
      </w:pPr>
    </w:p>
    <w:p>
      <w:pPr>
        <w:pStyle w:val="3"/>
        <w:spacing w:before="9"/>
        <w:ind w:left="0"/>
        <w:rPr>
          <w:rFonts w:ascii="黑体"/>
          <w:sz w:val="15"/>
        </w:rPr>
      </w:pPr>
    </w:p>
    <w:p>
      <w:pPr>
        <w:pStyle w:val="3"/>
        <w:spacing w:before="56"/>
        <w:ind w:left="502"/>
        <w:rPr>
          <w:rFonts w:hint="eastAsia" w:ascii="黑体" w:eastAsia="黑体"/>
        </w:rPr>
      </w:pPr>
      <w:r>
        <w:rPr>
          <w:rFonts w:hint="eastAsia" w:ascii="黑体" w:eastAsia="黑体"/>
        </w:rPr>
        <w:t>四、政府信息公开行政复议、行政诉讼情况</w:t>
      </w:r>
    </w:p>
    <w:p>
      <w:pPr>
        <w:pStyle w:val="3"/>
        <w:spacing w:before="5"/>
        <w:ind w:left="0"/>
        <w:rPr>
          <w:rFonts w:ascii="黑体"/>
          <w:sz w:val="8"/>
        </w:rPr>
      </w:pPr>
    </w:p>
    <w:tbl>
      <w:tblPr>
        <w:tblStyle w:val="4"/>
        <w:tblW w:w="0" w:type="auto"/>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49"/>
        <w:gridCol w:w="649"/>
        <w:gridCol w:w="649"/>
        <w:gridCol w:w="649"/>
        <w:gridCol w:w="649"/>
        <w:gridCol w:w="648"/>
        <w:gridCol w:w="650"/>
        <w:gridCol w:w="650"/>
        <w:gridCol w:w="649"/>
        <w:gridCol w:w="651"/>
        <w:gridCol w:w="650"/>
        <w:gridCol w:w="651"/>
        <w:gridCol w:w="650"/>
        <w:gridCol w:w="6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3244" w:type="dxa"/>
            <w:gridSpan w:val="5"/>
          </w:tcPr>
          <w:p>
            <w:pPr>
              <w:pStyle w:val="8"/>
              <w:spacing w:before="2" w:line="290" w:lineRule="exact"/>
              <w:ind w:left="1120" w:right="1103"/>
              <w:jc w:val="center"/>
              <w:rPr>
                <w:rFonts w:hint="eastAsia" w:ascii="黑体" w:eastAsia="黑体"/>
                <w:sz w:val="24"/>
              </w:rPr>
            </w:pPr>
            <w:r>
              <w:rPr>
                <w:rFonts w:hint="eastAsia" w:ascii="黑体" w:eastAsia="黑体"/>
                <w:sz w:val="24"/>
              </w:rPr>
              <w:t>行政复议</w:t>
            </w:r>
          </w:p>
        </w:tc>
        <w:tc>
          <w:tcPr>
            <w:tcW w:w="6499" w:type="dxa"/>
            <w:gridSpan w:val="10"/>
          </w:tcPr>
          <w:p>
            <w:pPr>
              <w:pStyle w:val="8"/>
              <w:spacing w:before="2" w:line="290" w:lineRule="exact"/>
              <w:ind w:left="2751" w:right="2728"/>
              <w:jc w:val="center"/>
              <w:rPr>
                <w:rFonts w:hint="eastAsia" w:ascii="黑体" w:eastAsia="黑体"/>
                <w:sz w:val="24"/>
              </w:rPr>
            </w:pPr>
            <w:r>
              <w:rPr>
                <w:rFonts w:hint="eastAsia" w:ascii="黑体" w:eastAsia="黑体"/>
                <w:sz w:val="24"/>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48" w:type="dxa"/>
            <w:vMerge w:val="restart"/>
          </w:tcPr>
          <w:p>
            <w:pPr>
              <w:pStyle w:val="8"/>
              <w:spacing w:before="167" w:line="242" w:lineRule="auto"/>
              <w:ind w:left="202" w:right="183"/>
              <w:jc w:val="both"/>
              <w:rPr>
                <w:rFonts w:hint="eastAsia" w:ascii="黑体" w:eastAsia="黑体"/>
                <w:sz w:val="24"/>
              </w:rPr>
            </w:pPr>
            <w:r>
              <w:rPr>
                <w:rFonts w:hint="eastAsia" w:ascii="黑体" w:eastAsia="黑体"/>
                <w:sz w:val="24"/>
              </w:rPr>
              <w:t>结果维持</w:t>
            </w:r>
          </w:p>
        </w:tc>
        <w:tc>
          <w:tcPr>
            <w:tcW w:w="649" w:type="dxa"/>
            <w:vMerge w:val="restart"/>
          </w:tcPr>
          <w:p>
            <w:pPr>
              <w:pStyle w:val="8"/>
              <w:spacing w:before="167" w:line="242" w:lineRule="auto"/>
              <w:ind w:left="203" w:right="183"/>
              <w:jc w:val="both"/>
              <w:rPr>
                <w:rFonts w:hint="eastAsia" w:ascii="黑体" w:eastAsia="黑体"/>
                <w:sz w:val="24"/>
              </w:rPr>
            </w:pPr>
            <w:r>
              <w:rPr>
                <w:rFonts w:hint="eastAsia" w:ascii="黑体" w:eastAsia="黑体"/>
                <w:sz w:val="24"/>
              </w:rPr>
              <w:t>结果纠正</w:t>
            </w:r>
          </w:p>
        </w:tc>
        <w:tc>
          <w:tcPr>
            <w:tcW w:w="649" w:type="dxa"/>
            <w:vMerge w:val="restart"/>
          </w:tcPr>
          <w:p>
            <w:pPr>
              <w:pStyle w:val="8"/>
              <w:spacing w:before="167" w:line="242" w:lineRule="auto"/>
              <w:ind w:left="203" w:right="183"/>
              <w:jc w:val="both"/>
              <w:rPr>
                <w:rFonts w:hint="eastAsia" w:ascii="黑体" w:eastAsia="黑体"/>
                <w:sz w:val="24"/>
              </w:rPr>
            </w:pPr>
            <w:r>
              <w:rPr>
                <w:rFonts w:hint="eastAsia" w:ascii="黑体" w:eastAsia="黑体"/>
                <w:sz w:val="24"/>
              </w:rPr>
              <w:t>其他结果</w:t>
            </w:r>
          </w:p>
        </w:tc>
        <w:tc>
          <w:tcPr>
            <w:tcW w:w="649" w:type="dxa"/>
            <w:vMerge w:val="restart"/>
          </w:tcPr>
          <w:p>
            <w:pPr>
              <w:pStyle w:val="8"/>
              <w:spacing w:before="167" w:line="242" w:lineRule="auto"/>
              <w:ind w:left="203" w:right="184"/>
              <w:jc w:val="both"/>
              <w:rPr>
                <w:rFonts w:hint="eastAsia" w:ascii="黑体" w:eastAsia="黑体"/>
                <w:sz w:val="24"/>
              </w:rPr>
            </w:pPr>
            <w:r>
              <w:rPr>
                <w:rFonts w:hint="eastAsia" w:ascii="黑体" w:eastAsia="黑体"/>
                <w:sz w:val="24"/>
              </w:rPr>
              <w:t>尚未审结</w:t>
            </w:r>
          </w:p>
        </w:tc>
        <w:tc>
          <w:tcPr>
            <w:tcW w:w="649" w:type="dxa"/>
            <w:vMerge w:val="restart"/>
          </w:tcPr>
          <w:p>
            <w:pPr>
              <w:pStyle w:val="8"/>
              <w:rPr>
                <w:rFonts w:ascii="黑体"/>
                <w:sz w:val="24"/>
              </w:rPr>
            </w:pPr>
          </w:p>
          <w:p>
            <w:pPr>
              <w:pStyle w:val="8"/>
              <w:spacing w:before="172" w:line="242" w:lineRule="auto"/>
              <w:ind w:left="202" w:right="185"/>
              <w:rPr>
                <w:rFonts w:hint="eastAsia" w:ascii="黑体" w:eastAsia="黑体"/>
                <w:sz w:val="24"/>
              </w:rPr>
            </w:pPr>
            <w:r>
              <w:rPr>
                <w:rFonts w:hint="eastAsia" w:ascii="黑体" w:eastAsia="黑体"/>
                <w:sz w:val="24"/>
              </w:rPr>
              <w:t>总计</w:t>
            </w:r>
          </w:p>
        </w:tc>
        <w:tc>
          <w:tcPr>
            <w:tcW w:w="3246" w:type="dxa"/>
            <w:gridSpan w:val="5"/>
          </w:tcPr>
          <w:p>
            <w:pPr>
              <w:pStyle w:val="8"/>
              <w:spacing w:before="2" w:line="289" w:lineRule="exact"/>
              <w:ind w:left="663"/>
              <w:rPr>
                <w:rFonts w:hint="eastAsia" w:ascii="黑体" w:eastAsia="黑体"/>
                <w:sz w:val="24"/>
              </w:rPr>
            </w:pPr>
            <w:r>
              <w:rPr>
                <w:rFonts w:hint="eastAsia" w:ascii="黑体" w:eastAsia="黑体"/>
                <w:sz w:val="24"/>
              </w:rPr>
              <w:t>未经复议直接起诉</w:t>
            </w:r>
          </w:p>
        </w:tc>
        <w:tc>
          <w:tcPr>
            <w:tcW w:w="3253" w:type="dxa"/>
            <w:gridSpan w:val="5"/>
          </w:tcPr>
          <w:p>
            <w:pPr>
              <w:pStyle w:val="8"/>
              <w:spacing w:before="2" w:line="289" w:lineRule="exact"/>
              <w:ind w:left="1028"/>
              <w:rPr>
                <w:rFonts w:hint="eastAsia" w:ascii="黑体" w:eastAsia="黑体"/>
                <w:sz w:val="24"/>
              </w:rPr>
            </w:pPr>
            <w:r>
              <w:rPr>
                <w:rFonts w:hint="eastAsia" w:ascii="黑体" w:eastAsia="黑体"/>
                <w:sz w:val="24"/>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8" w:hRule="atLeast"/>
        </w:trPr>
        <w:tc>
          <w:tcPr>
            <w:tcW w:w="648"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649" w:type="dxa"/>
          </w:tcPr>
          <w:p>
            <w:pPr>
              <w:pStyle w:val="8"/>
              <w:spacing w:before="2" w:line="242" w:lineRule="auto"/>
              <w:ind w:left="203" w:right="183"/>
              <w:jc w:val="both"/>
              <w:rPr>
                <w:rFonts w:hint="eastAsia" w:ascii="黑体" w:eastAsia="黑体"/>
                <w:sz w:val="24"/>
              </w:rPr>
            </w:pPr>
            <w:r>
              <w:rPr>
                <w:rFonts w:hint="eastAsia" w:ascii="黑体" w:eastAsia="黑体"/>
                <w:sz w:val="24"/>
              </w:rPr>
              <w:t>结果维</w:t>
            </w:r>
          </w:p>
          <w:p>
            <w:pPr>
              <w:pStyle w:val="8"/>
              <w:spacing w:before="4" w:line="290" w:lineRule="exact"/>
              <w:ind w:left="203"/>
              <w:rPr>
                <w:rFonts w:hint="eastAsia" w:ascii="黑体" w:eastAsia="黑体"/>
                <w:sz w:val="24"/>
              </w:rPr>
            </w:pPr>
            <w:r>
              <w:rPr>
                <w:rFonts w:hint="eastAsia" w:ascii="黑体" w:eastAsia="黑体"/>
                <w:sz w:val="24"/>
              </w:rPr>
              <w:t>持</w:t>
            </w:r>
          </w:p>
        </w:tc>
        <w:tc>
          <w:tcPr>
            <w:tcW w:w="648" w:type="dxa"/>
          </w:tcPr>
          <w:p>
            <w:pPr>
              <w:pStyle w:val="8"/>
              <w:spacing w:before="2" w:line="242" w:lineRule="auto"/>
              <w:ind w:left="203" w:right="182"/>
              <w:jc w:val="both"/>
              <w:rPr>
                <w:rFonts w:hint="eastAsia" w:ascii="黑体" w:eastAsia="黑体"/>
                <w:sz w:val="24"/>
              </w:rPr>
            </w:pPr>
            <w:r>
              <w:rPr>
                <w:rFonts w:hint="eastAsia" w:ascii="黑体" w:eastAsia="黑体"/>
                <w:sz w:val="24"/>
              </w:rPr>
              <w:t>结果纠</w:t>
            </w:r>
          </w:p>
          <w:p>
            <w:pPr>
              <w:pStyle w:val="8"/>
              <w:spacing w:before="4" w:line="290" w:lineRule="exact"/>
              <w:ind w:left="203"/>
              <w:rPr>
                <w:rFonts w:hint="eastAsia" w:ascii="黑体" w:eastAsia="黑体"/>
                <w:sz w:val="24"/>
              </w:rPr>
            </w:pPr>
            <w:r>
              <w:rPr>
                <w:rFonts w:hint="eastAsia" w:ascii="黑体" w:eastAsia="黑体"/>
                <w:sz w:val="24"/>
              </w:rPr>
              <w:t>正</w:t>
            </w:r>
          </w:p>
        </w:tc>
        <w:tc>
          <w:tcPr>
            <w:tcW w:w="650" w:type="dxa"/>
          </w:tcPr>
          <w:p>
            <w:pPr>
              <w:pStyle w:val="8"/>
              <w:spacing w:before="2" w:line="242" w:lineRule="auto"/>
              <w:ind w:left="205" w:right="182"/>
              <w:jc w:val="both"/>
              <w:rPr>
                <w:rFonts w:hint="eastAsia" w:ascii="黑体" w:eastAsia="黑体"/>
                <w:sz w:val="24"/>
              </w:rPr>
            </w:pPr>
            <w:r>
              <w:rPr>
                <w:rFonts w:hint="eastAsia" w:ascii="黑体" w:eastAsia="黑体"/>
                <w:sz w:val="24"/>
              </w:rPr>
              <w:t>其他结</w:t>
            </w:r>
          </w:p>
          <w:p>
            <w:pPr>
              <w:pStyle w:val="8"/>
              <w:spacing w:before="4" w:line="290" w:lineRule="exact"/>
              <w:ind w:left="205"/>
              <w:rPr>
                <w:rFonts w:hint="eastAsia" w:ascii="黑体" w:eastAsia="黑体"/>
                <w:sz w:val="24"/>
              </w:rPr>
            </w:pPr>
            <w:r>
              <w:rPr>
                <w:rFonts w:hint="eastAsia" w:ascii="黑体" w:eastAsia="黑体"/>
                <w:sz w:val="24"/>
              </w:rPr>
              <w:t>果</w:t>
            </w:r>
          </w:p>
        </w:tc>
        <w:tc>
          <w:tcPr>
            <w:tcW w:w="650" w:type="dxa"/>
          </w:tcPr>
          <w:p>
            <w:pPr>
              <w:pStyle w:val="8"/>
              <w:spacing w:before="2" w:line="242" w:lineRule="auto"/>
              <w:ind w:left="206" w:right="181"/>
              <w:jc w:val="both"/>
              <w:rPr>
                <w:rFonts w:hint="eastAsia" w:ascii="黑体" w:eastAsia="黑体"/>
                <w:sz w:val="24"/>
              </w:rPr>
            </w:pPr>
            <w:r>
              <w:rPr>
                <w:rFonts w:hint="eastAsia" w:ascii="黑体" w:eastAsia="黑体"/>
                <w:sz w:val="24"/>
              </w:rPr>
              <w:t>尚未审</w:t>
            </w:r>
          </w:p>
          <w:p>
            <w:pPr>
              <w:pStyle w:val="8"/>
              <w:spacing w:before="4" w:line="290" w:lineRule="exact"/>
              <w:ind w:left="206"/>
              <w:rPr>
                <w:rFonts w:hint="eastAsia" w:ascii="黑体" w:eastAsia="黑体"/>
                <w:sz w:val="24"/>
              </w:rPr>
            </w:pPr>
            <w:r>
              <w:rPr>
                <w:rFonts w:hint="eastAsia" w:ascii="黑体" w:eastAsia="黑体"/>
                <w:sz w:val="24"/>
              </w:rPr>
              <w:t>结</w:t>
            </w:r>
          </w:p>
        </w:tc>
        <w:tc>
          <w:tcPr>
            <w:tcW w:w="649" w:type="dxa"/>
          </w:tcPr>
          <w:p>
            <w:pPr>
              <w:pStyle w:val="8"/>
              <w:spacing w:before="6"/>
              <w:rPr>
                <w:rFonts w:ascii="黑体"/>
                <w:sz w:val="24"/>
              </w:rPr>
            </w:pPr>
          </w:p>
          <w:p>
            <w:pPr>
              <w:pStyle w:val="8"/>
              <w:spacing w:line="242" w:lineRule="auto"/>
              <w:ind w:left="205" w:right="181"/>
              <w:rPr>
                <w:rFonts w:hint="eastAsia" w:ascii="黑体" w:eastAsia="黑体"/>
                <w:sz w:val="24"/>
              </w:rPr>
            </w:pPr>
            <w:r>
              <w:rPr>
                <w:rFonts w:hint="eastAsia" w:ascii="黑体" w:eastAsia="黑体"/>
                <w:sz w:val="24"/>
              </w:rPr>
              <w:t>总计</w:t>
            </w:r>
          </w:p>
        </w:tc>
        <w:tc>
          <w:tcPr>
            <w:tcW w:w="651" w:type="dxa"/>
          </w:tcPr>
          <w:p>
            <w:pPr>
              <w:pStyle w:val="8"/>
              <w:spacing w:before="2" w:line="242" w:lineRule="auto"/>
              <w:ind w:left="206" w:right="182"/>
              <w:jc w:val="both"/>
              <w:rPr>
                <w:rFonts w:hint="eastAsia" w:ascii="黑体" w:eastAsia="黑体"/>
                <w:sz w:val="24"/>
              </w:rPr>
            </w:pPr>
            <w:r>
              <w:rPr>
                <w:rFonts w:hint="eastAsia" w:ascii="黑体" w:eastAsia="黑体"/>
                <w:sz w:val="24"/>
              </w:rPr>
              <w:t>结果维</w:t>
            </w:r>
          </w:p>
          <w:p>
            <w:pPr>
              <w:pStyle w:val="8"/>
              <w:spacing w:before="4" w:line="290" w:lineRule="exact"/>
              <w:ind w:left="206"/>
              <w:rPr>
                <w:rFonts w:hint="eastAsia" w:ascii="黑体" w:eastAsia="黑体"/>
                <w:sz w:val="24"/>
              </w:rPr>
            </w:pPr>
            <w:r>
              <w:rPr>
                <w:rFonts w:hint="eastAsia" w:ascii="黑体" w:eastAsia="黑体"/>
                <w:sz w:val="24"/>
              </w:rPr>
              <w:t>持</w:t>
            </w:r>
          </w:p>
        </w:tc>
        <w:tc>
          <w:tcPr>
            <w:tcW w:w="650" w:type="dxa"/>
          </w:tcPr>
          <w:p>
            <w:pPr>
              <w:pStyle w:val="8"/>
              <w:spacing w:before="2" w:line="242" w:lineRule="auto"/>
              <w:ind w:left="206" w:right="181"/>
              <w:jc w:val="both"/>
              <w:rPr>
                <w:rFonts w:hint="eastAsia" w:ascii="黑体" w:eastAsia="黑体"/>
                <w:sz w:val="24"/>
              </w:rPr>
            </w:pPr>
            <w:r>
              <w:rPr>
                <w:rFonts w:hint="eastAsia" w:ascii="黑体" w:eastAsia="黑体"/>
                <w:sz w:val="24"/>
              </w:rPr>
              <w:t>结果纠</w:t>
            </w:r>
          </w:p>
          <w:p>
            <w:pPr>
              <w:pStyle w:val="8"/>
              <w:spacing w:before="4" w:line="290" w:lineRule="exact"/>
              <w:ind w:left="206"/>
              <w:rPr>
                <w:rFonts w:hint="eastAsia" w:ascii="黑体" w:eastAsia="黑体"/>
                <w:sz w:val="24"/>
              </w:rPr>
            </w:pPr>
            <w:r>
              <w:rPr>
                <w:rFonts w:hint="eastAsia" w:ascii="黑体" w:eastAsia="黑体"/>
                <w:sz w:val="24"/>
              </w:rPr>
              <w:t>正</w:t>
            </w:r>
          </w:p>
        </w:tc>
        <w:tc>
          <w:tcPr>
            <w:tcW w:w="651" w:type="dxa"/>
          </w:tcPr>
          <w:p>
            <w:pPr>
              <w:pStyle w:val="8"/>
              <w:spacing w:before="2" w:line="242" w:lineRule="auto"/>
              <w:ind w:left="207" w:right="181"/>
              <w:jc w:val="both"/>
              <w:rPr>
                <w:rFonts w:hint="eastAsia" w:ascii="黑体" w:eastAsia="黑体"/>
                <w:sz w:val="24"/>
              </w:rPr>
            </w:pPr>
            <w:r>
              <w:rPr>
                <w:rFonts w:hint="eastAsia" w:ascii="黑体" w:eastAsia="黑体"/>
                <w:sz w:val="24"/>
              </w:rPr>
              <w:t>其他结</w:t>
            </w:r>
          </w:p>
          <w:p>
            <w:pPr>
              <w:pStyle w:val="8"/>
              <w:spacing w:before="4" w:line="290" w:lineRule="exact"/>
              <w:ind w:left="207"/>
              <w:rPr>
                <w:rFonts w:hint="eastAsia" w:ascii="黑体" w:eastAsia="黑体"/>
                <w:sz w:val="24"/>
              </w:rPr>
            </w:pPr>
            <w:r>
              <w:rPr>
                <w:rFonts w:hint="eastAsia" w:ascii="黑体" w:eastAsia="黑体"/>
                <w:sz w:val="24"/>
              </w:rPr>
              <w:t>果</w:t>
            </w:r>
          </w:p>
        </w:tc>
        <w:tc>
          <w:tcPr>
            <w:tcW w:w="650" w:type="dxa"/>
          </w:tcPr>
          <w:p>
            <w:pPr>
              <w:pStyle w:val="8"/>
              <w:spacing w:before="2" w:line="242" w:lineRule="auto"/>
              <w:ind w:left="207" w:right="180"/>
              <w:jc w:val="both"/>
              <w:rPr>
                <w:rFonts w:hint="eastAsia" w:ascii="黑体" w:eastAsia="黑体"/>
                <w:sz w:val="24"/>
              </w:rPr>
            </w:pPr>
            <w:r>
              <w:rPr>
                <w:rFonts w:hint="eastAsia" w:ascii="黑体" w:eastAsia="黑体"/>
                <w:sz w:val="24"/>
              </w:rPr>
              <w:t>尚未审</w:t>
            </w:r>
          </w:p>
          <w:p>
            <w:pPr>
              <w:pStyle w:val="8"/>
              <w:spacing w:before="4" w:line="290" w:lineRule="exact"/>
              <w:ind w:left="207"/>
              <w:rPr>
                <w:rFonts w:hint="eastAsia" w:ascii="黑体" w:eastAsia="黑体"/>
                <w:sz w:val="24"/>
              </w:rPr>
            </w:pPr>
            <w:r>
              <w:rPr>
                <w:rFonts w:hint="eastAsia" w:ascii="黑体" w:eastAsia="黑体"/>
                <w:sz w:val="24"/>
              </w:rPr>
              <w:t>结</w:t>
            </w:r>
          </w:p>
        </w:tc>
        <w:tc>
          <w:tcPr>
            <w:tcW w:w="651" w:type="dxa"/>
          </w:tcPr>
          <w:p>
            <w:pPr>
              <w:pStyle w:val="8"/>
              <w:spacing w:before="6"/>
              <w:rPr>
                <w:rFonts w:ascii="黑体"/>
                <w:sz w:val="24"/>
              </w:rPr>
            </w:pPr>
          </w:p>
          <w:p>
            <w:pPr>
              <w:pStyle w:val="8"/>
              <w:spacing w:line="242" w:lineRule="auto"/>
              <w:ind w:left="208" w:right="180"/>
              <w:rPr>
                <w:rFonts w:hint="eastAsia" w:ascii="黑体" w:eastAsia="黑体"/>
                <w:sz w:val="24"/>
              </w:rPr>
            </w:pPr>
            <w:r>
              <w:rPr>
                <w:rFonts w:hint="eastAsia" w:ascii="黑体" w:eastAsia="黑体"/>
                <w:sz w:val="24"/>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2" w:hRule="atLeast"/>
        </w:trPr>
        <w:tc>
          <w:tcPr>
            <w:tcW w:w="648"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49"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49"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49"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49"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49"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48"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50"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50"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49"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51"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50"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51"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50"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c>
          <w:tcPr>
            <w:tcW w:w="651" w:type="dxa"/>
          </w:tcPr>
          <w:p>
            <w:pPr>
              <w:pStyle w:val="8"/>
              <w:jc w:val="center"/>
              <w:rPr>
                <w:rFonts w:hint="eastAsia" w:ascii="Times New Roman" w:eastAsia="仿宋"/>
                <w:sz w:val="26"/>
                <w:lang w:val="en-US" w:eastAsia="zh-CN"/>
              </w:rPr>
            </w:pPr>
            <w:r>
              <w:rPr>
                <w:rFonts w:hint="eastAsia" w:ascii="Times New Roman"/>
                <w:sz w:val="26"/>
                <w:lang w:val="en-US" w:eastAsia="zh-CN"/>
              </w:rPr>
              <w:t>0</w:t>
            </w:r>
          </w:p>
        </w:tc>
      </w:tr>
    </w:tbl>
    <w:p>
      <w:pPr>
        <w:pStyle w:val="3"/>
        <w:ind w:left="0"/>
        <w:rPr>
          <w:rFonts w:ascii="黑体"/>
        </w:rPr>
      </w:pPr>
    </w:p>
    <w:p>
      <w:pPr>
        <w:pStyle w:val="3"/>
        <w:ind w:left="0"/>
        <w:rPr>
          <w:rFonts w:ascii="黑体"/>
          <w:sz w:val="25"/>
        </w:rPr>
      </w:pPr>
    </w:p>
    <w:p>
      <w:pPr>
        <w:pStyle w:val="3"/>
        <w:spacing w:before="1"/>
        <w:ind w:left="502"/>
        <w:rPr>
          <w:rFonts w:hint="eastAsia" w:ascii="黑体" w:eastAsia="黑体"/>
        </w:rPr>
      </w:pPr>
      <w:r>
        <w:rPr>
          <w:rFonts w:hint="eastAsia" w:ascii="黑体" w:eastAsia="黑体"/>
        </w:rPr>
        <w:t>五、存在的主要问题及改进情况</w:t>
      </w:r>
    </w:p>
    <w:p>
      <w:pPr>
        <w:pStyle w:val="3"/>
        <w:ind w:left="0" w:firstLine="640" w:firstLineChars="20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政务公开工作虽然取得了好的成效，但也存在一些不足之处。一是信息公开的内容不尽全面，时效性有待提高，信息公开形式较单一；二是政务公开监督机制还不健全；三是干部队伍建设需进一步加强</w:t>
      </w:r>
      <w:r>
        <w:rPr>
          <w:rFonts w:hint="eastAsia" w:ascii="仿宋" w:hAnsi="仿宋" w:eastAsia="仿宋" w:cs="仿宋"/>
          <w:i w:val="0"/>
          <w:iCs w:val="0"/>
          <w:caps w:val="0"/>
          <w:color w:val="000000"/>
          <w:spacing w:val="0"/>
          <w:sz w:val="32"/>
          <w:szCs w:val="32"/>
          <w:shd w:val="clear" w:fill="FFFFFF"/>
          <w:lang w:eastAsia="zh-CN"/>
        </w:rPr>
        <w:t>。</w:t>
      </w:r>
    </w:p>
    <w:p>
      <w:pPr>
        <w:pStyle w:val="3"/>
        <w:ind w:left="0" w:firstLine="640" w:firstLineChars="200"/>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是进一步深化公开意识；二是进一步提高公开形式的便民性。完善政府信息公开汇聚和集中查询功能，健全政府信息公开网络；三是进一步加强组织引导工作。规范信息公开流程，提高申请处理效率，方便公众获取政府信息。</w:t>
      </w:r>
    </w:p>
    <w:p>
      <w:pPr>
        <w:pStyle w:val="3"/>
        <w:spacing w:before="5"/>
        <w:ind w:left="0"/>
        <w:rPr>
          <w:sz w:val="33"/>
        </w:rPr>
      </w:pPr>
    </w:p>
    <w:p>
      <w:pPr>
        <w:pStyle w:val="3"/>
        <w:ind w:left="502"/>
        <w:rPr>
          <w:rFonts w:hint="eastAsia" w:ascii="黑体" w:eastAsia="黑体"/>
        </w:rPr>
      </w:pPr>
      <w:r>
        <w:rPr>
          <w:rFonts w:hint="eastAsia" w:ascii="黑体" w:eastAsia="黑体"/>
        </w:rPr>
        <w:t>六、其他需要报告的事项</w:t>
      </w:r>
    </w:p>
    <w:p>
      <w:pPr>
        <w:pStyle w:val="3"/>
        <w:spacing w:before="214"/>
        <w:ind w:left="502"/>
        <w:rPr>
          <w:rFonts w:hint="eastAsia"/>
          <w:lang w:eastAsia="zh-CN"/>
        </w:rPr>
      </w:pPr>
      <w:r>
        <w:rPr>
          <w:rFonts w:hint="eastAsia"/>
          <w:lang w:eastAsia="zh-CN"/>
        </w:rPr>
        <w:t>（一）收费情况。2021年度，我局无收取政府信息公开信息处理费的情况。</w:t>
      </w:r>
    </w:p>
    <w:p>
      <w:pPr>
        <w:pStyle w:val="3"/>
        <w:spacing w:before="214"/>
        <w:ind w:left="502"/>
        <w:rPr>
          <w:rFonts w:hint="default"/>
          <w:lang w:val="en-US" w:eastAsia="zh-CN"/>
        </w:rPr>
      </w:pPr>
      <w:r>
        <w:rPr>
          <w:rFonts w:hint="eastAsia"/>
          <w:lang w:eastAsia="zh-CN"/>
        </w:rPr>
        <w:t>（二）提案建议办理情况。</w:t>
      </w:r>
      <w:r>
        <w:rPr>
          <w:rFonts w:hint="eastAsia"/>
          <w:lang w:val="en-US" w:eastAsia="zh-CN"/>
        </w:rPr>
        <w:t>2021年度，我局未收到县人大代表建议、办理政协委员提案6件。</w:t>
      </w:r>
    </w:p>
    <w:p>
      <w:pPr>
        <w:pStyle w:val="3"/>
        <w:spacing w:before="214"/>
        <w:ind w:left="502"/>
        <w:rPr>
          <w:rFonts w:hint="eastAsia"/>
          <w:lang w:eastAsia="zh-CN"/>
        </w:rPr>
      </w:pPr>
      <w:r>
        <w:rPr>
          <w:rFonts w:hint="eastAsia"/>
          <w:lang w:eastAsia="zh-CN"/>
        </w:rPr>
        <w:t>（三）政务公开工作创新情况。本年度无政务公开工作创新情况。</w:t>
      </w:r>
    </w:p>
    <w:p>
      <w:pPr>
        <w:pStyle w:val="3"/>
        <w:spacing w:before="214"/>
        <w:ind w:left="502"/>
        <w:rPr>
          <w:rFonts w:hint="default"/>
          <w:lang w:val="en-US" w:eastAsia="zh-CN"/>
        </w:rPr>
      </w:pPr>
      <w:r>
        <w:rPr>
          <w:rFonts w:hint="eastAsia"/>
          <w:lang w:eastAsia="zh-CN"/>
        </w:rPr>
        <w:t>（四）政务公开工作要点落实情况。我局不断加强操作规范和长效机制建设，进一步建立和完善各项工作流程和制度。对规范性文件进行合理、科学的分类，并予以审定公开，提高信息公开的时效性，全面推动政务信息公开工作有序发展。</w:t>
      </w:r>
    </w:p>
    <w:sectPr>
      <w:pgSz w:w="11910" w:h="16840"/>
      <w:pgMar w:top="1600" w:right="280" w:bottom="1200" w:left="960" w:header="0" w:footer="100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5773420</wp:posOffset>
              </wp:positionH>
              <wp:positionV relativeFrom="page">
                <wp:posOffset>9912350</wp:posOffset>
              </wp:positionV>
              <wp:extent cx="736600" cy="203835"/>
              <wp:effectExtent l="0" t="0" r="0" b="0"/>
              <wp:wrapNone/>
              <wp:docPr id="3" name="文本框 8"/>
              <wp:cNvGraphicFramePr/>
              <a:graphic xmlns:a="http://schemas.openxmlformats.org/drawingml/2006/main">
                <a:graphicData uri="http://schemas.microsoft.com/office/word/2010/wordprocessingShape">
                  <wps:wsp>
                    <wps:cNvSpPr txBox="1"/>
                    <wps:spPr>
                      <a:xfrm>
                        <a:off x="0" y="0"/>
                        <a:ext cx="736600" cy="203835"/>
                      </a:xfrm>
                      <a:prstGeom prst="rect">
                        <a:avLst/>
                      </a:prstGeom>
                      <a:noFill/>
                      <a:ln>
                        <a:noFill/>
                      </a:ln>
                    </wps:spPr>
                    <wps:txbx>
                      <w:txbxContent>
                        <w:p>
                          <w:pPr>
                            <w:spacing w:before="0" w:line="321" w:lineRule="exact"/>
                            <w:ind w:left="20" w:right="0" w:firstLine="0"/>
                            <w:jc w:val="left"/>
                            <w:rPr>
                              <w:rFonts w:ascii="宋体" w:hAnsi="宋体"/>
                              <w:sz w:val="28"/>
                            </w:rPr>
                          </w:pPr>
                          <w:r>
                            <w:rPr>
                              <w:rFonts w:ascii="宋体" w:hAnsi="宋体"/>
                              <w:sz w:val="28"/>
                            </w:rPr>
                            <w:t>— 21 —</w:t>
                          </w:r>
                        </w:p>
                      </w:txbxContent>
                    </wps:txbx>
                    <wps:bodyPr lIns="0" tIns="0" rIns="0" bIns="0" upright="1"/>
                  </wps:wsp>
                </a:graphicData>
              </a:graphic>
            </wp:anchor>
          </w:drawing>
        </mc:Choice>
        <mc:Fallback>
          <w:pict>
            <v:shape id="文本框 8" o:spid="_x0000_s1026" o:spt="202" type="#_x0000_t202" style="position:absolute;left:0pt;margin-left:454.6pt;margin-top:780.5pt;height:16.05pt;width:58pt;mso-position-horizontal-relative:page;mso-position-vertical-relative:page;z-index:-251656192;mso-width-relative:page;mso-height-relative:page;" filled="f" stroked="f" coordsize="21600,21600" o:gfxdata="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StY63ZAAAADgEAAA8AAAAAAAAAAQAgAAAAIgAAAGRycy9kb3ducmV2LnhtbFBLAQIU&#10;ABQAAAAIAIdO4kC6VuOJuQEAAHEDAAAOAAAAAAAAAAEAIAAAACgBAABkcnMvZTJvRG9jLnhtbFBL&#10;BQYAAAAABgAGAFkBAABTBQAAAAA=&#10;">
              <v:fill on="f" focussize="0,0"/>
              <v:stroke on="f"/>
              <v:imagedata o:title=""/>
              <o:lock v:ext="edit" aspectratio="f"/>
              <v:textbox inset="0mm,0mm,0mm,0mm">
                <w:txbxContent>
                  <w:p>
                    <w:pPr>
                      <w:spacing w:before="0" w:line="321" w:lineRule="exact"/>
                      <w:ind w:left="20" w:right="0" w:firstLine="0"/>
                      <w:jc w:val="left"/>
                      <w:rPr>
                        <w:rFonts w:ascii="宋体" w:hAnsi="宋体"/>
                        <w:sz w:val="28"/>
                      </w:rPr>
                    </w:pPr>
                    <w:r>
                      <w:rPr>
                        <w:rFonts w:ascii="宋体" w:hAnsi="宋体"/>
                        <w:sz w:val="28"/>
                      </w:rPr>
                      <w:t>— 21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1049020</wp:posOffset>
              </wp:positionH>
              <wp:positionV relativeFrom="page">
                <wp:posOffset>9912350</wp:posOffset>
              </wp:positionV>
              <wp:extent cx="736600" cy="203835"/>
              <wp:effectExtent l="0" t="0" r="0" b="0"/>
              <wp:wrapNone/>
              <wp:docPr id="2" name="文本框 7"/>
              <wp:cNvGraphicFramePr/>
              <a:graphic xmlns:a="http://schemas.openxmlformats.org/drawingml/2006/main">
                <a:graphicData uri="http://schemas.microsoft.com/office/word/2010/wordprocessingShape">
                  <wps:wsp>
                    <wps:cNvSpPr txBox="1"/>
                    <wps:spPr>
                      <a:xfrm>
                        <a:off x="0" y="0"/>
                        <a:ext cx="736600" cy="203835"/>
                      </a:xfrm>
                      <a:prstGeom prst="rect">
                        <a:avLst/>
                      </a:prstGeom>
                      <a:noFill/>
                      <a:ln>
                        <a:noFill/>
                      </a:ln>
                    </wps:spPr>
                    <wps:txbx>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20</w:t>
                          </w:r>
                          <w:r>
                            <w:fldChar w:fldCharType="end"/>
                          </w:r>
                          <w:r>
                            <w:rPr>
                              <w:rFonts w:ascii="宋体" w:hAnsi="宋体"/>
                              <w:sz w:val="28"/>
                            </w:rPr>
                            <w:t xml:space="preserve"> —</w:t>
                          </w:r>
                        </w:p>
                      </w:txbxContent>
                    </wps:txbx>
                    <wps:bodyPr lIns="0" tIns="0" rIns="0" bIns="0" upright="1"/>
                  </wps:wsp>
                </a:graphicData>
              </a:graphic>
            </wp:anchor>
          </w:drawing>
        </mc:Choice>
        <mc:Fallback>
          <w:pict>
            <v:shape id="文本框 7" o:spid="_x0000_s1026" o:spt="202" type="#_x0000_t202" style="position:absolute;left:0pt;margin-left:82.6pt;margin-top:780.5pt;height:16.05pt;width:58pt;mso-position-horizontal-relative:page;mso-position-vertical-relative:page;z-index:-251657216;mso-width-relative:page;mso-height-relative:page;" filled="f" stroked="f" coordsize="21600,21600" o:gfxdata="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IYwbYAAAADQEAAA8AAAAAAAAAAQAgAAAAIgAAAGRycy9kb3ducmV2LnhtbFBLAQIU&#10;ABQAAAAIAIdO4kDZqoXmugEAAHEDAAAOAAAAAAAAAAEAIAAAACcBAABkcnMvZTJvRG9jLnhtbFBL&#10;BQYAAAAABgAGAFkBAABTBQAAAAA=&#10;">
              <v:fill on="f" focussize="0,0"/>
              <v:stroke on="f"/>
              <v:imagedata o:title=""/>
              <o:lock v:ext="edit" aspectratio="f"/>
              <v:textbox inset="0mm,0mm,0mm,0mm">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20</w:t>
                    </w:r>
                    <w:r>
                      <w:fldChar w:fldCharType="end"/>
                    </w:r>
                    <w:r>
                      <w:rPr>
                        <w:rFonts w:ascii="宋体" w:hAnsi="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66390"/>
    <w:multiLevelType w:val="singleLevel"/>
    <w:tmpl w:val="954663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B707EC"/>
    <w:rsid w:val="323B5D89"/>
    <w:rsid w:val="33030103"/>
    <w:rsid w:val="79B74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49"/>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13"/>
    </w:pPr>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635" w:hanging="482"/>
    </w:pPr>
    <w:rPr>
      <w:rFonts w:ascii="仿宋_GB2312" w:hAnsi="仿宋_GB2312" w:eastAsia="仿宋_GB2312" w:cs="仿宋_GB2312"/>
      <w:lang w:val="zh-CN" w:eastAsia="zh-CN" w:bidi="zh-CN"/>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300</TotalTime>
  <ScaleCrop>false</ScaleCrop>
  <LinksUpToDate>false</LinksUpToDate>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2022-01-10T01:01:00Z</dcterms:created>
  <dc:creator>Administrator</dc:creator>
  <cp:lastModifiedBy>Jane Doe</cp:lastModifiedBy>
  <dcterms:modified xsi:type="dcterms:W3CDTF">2022-01-24T07:15:00Z</dcterms:modified>
  <dc:title>&lt;433A5C55736572735C41646D696E6973747261746F725C4465736B746F705CB9D8D3DAD7F6BAC332303231C4EAD5FEB8AED0C5CFA2B9ABBFAAB9A4D7F7C4EAB6C8B1A8B8E6B1E0D6C6BACDB7A2B2BCB9A4D7F7B5C4CDA8D6AA2E646F63&gt;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2022-01-06T00:00:00Z</vt:filetime>
  </property>
  <property fmtid="{D5CDD505-2E9C-101B-9397-08002B2CF9AE}" pid="3" name="Creator">
    <vt:lpwstr>PScript5.dll Version 5.2.2</vt:lpwstr>
  </property>
  <property fmtid="{D5CDD505-2E9C-101B-9397-08002B2CF9AE}" pid="4" name="LastSaved">
    <vt:filetime>2022-01-10T00:00:00Z</vt:filetime>
  </property>
  <property fmtid="{D5CDD505-2E9C-101B-9397-08002B2CF9AE}" pid="5" name="KSOProductBuildVer">
    <vt:lpwstr>2052-11.1.0.11294</vt:lpwstr>
  </property>
  <property fmtid="{D5CDD505-2E9C-101B-9397-08002B2CF9AE}" pid="6" name="ICV">
    <vt:lpwstr>CB532A5C50134E928FC75DE5295029A5</vt:lpwstr>
  </property>
</Properties>
</file>