
<file path=[Content_Types].xml><?xml version="1.0" encoding="utf-8"?>
<Types xmlns="http://schemas.openxmlformats.org/package/2006/content-types">
  <Default Extension="xml" ContentType="application/xml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</w:pPr>
    </w:p>
    <w:tbl>
      <w:tblPr>
        <w:tblStyle w:val="3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7"/>
        <w:gridCol w:w="6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231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eastAsia="黑体"/>
              </w:rPr>
            </w:pPr>
          </w:p>
          <w:p>
            <w:pPr>
              <w:ind w:right="960"/>
              <w:jc w:val="center"/>
              <w:rPr>
                <w:rFonts w:ascii="黑体" w:eastAsia="黑体"/>
              </w:rPr>
            </w:pPr>
          </w:p>
          <w:p>
            <w:pPr>
              <w:ind w:right="48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县政协</w:t>
            </w:r>
          </w:p>
          <w:p>
            <w:pPr>
              <w:ind w:right="1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提案委员会</w:t>
            </w:r>
          </w:p>
          <w:p>
            <w:pPr>
              <w:ind w:right="480"/>
              <w:jc w:val="center"/>
            </w:pPr>
            <w:r>
              <w:rPr>
                <w:rFonts w:hint="eastAsia" w:ascii="黑体" w:eastAsia="黑体"/>
              </w:rPr>
              <w:t xml:space="preserve">  审查意见</w:t>
            </w:r>
          </w:p>
        </w:tc>
        <w:tc>
          <w:tcPr>
            <w:tcW w:w="6983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jc w:val="left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1120" w:firstLineChars="35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同意立案。</w:t>
            </w: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640" w:firstLineChars="2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提交          研究办理。</w:t>
            </w:r>
          </w:p>
          <w:p>
            <w:pPr>
              <w:ind w:firstLine="320" w:firstLineChars="100"/>
              <w:jc w:val="left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640" w:firstLineChars="2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委员：</w:t>
            </w:r>
          </w:p>
          <w:p>
            <w:pPr>
              <w:ind w:firstLine="320" w:firstLineChars="100"/>
              <w:jc w:val="left"/>
              <w:rPr>
                <w:rFonts w:ascii="FangSong_GB2312" w:hAnsi="FangSong_GB2312" w:eastAsia="FangSong_GB2312" w:cs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县政协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分管主席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审核意见</w:t>
            </w:r>
          </w:p>
        </w:tc>
        <w:tc>
          <w:tcPr>
            <w:tcW w:w="6983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8" w:hRule="atLeast"/>
        </w:trPr>
        <w:tc>
          <w:tcPr>
            <w:tcW w:w="2317" w:type="dxa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县委或县政府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分管领导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批示意见</w:t>
            </w:r>
          </w:p>
        </w:tc>
        <w:tc>
          <w:tcPr>
            <w:tcW w:w="6983" w:type="dxa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主办单位：</w:t>
            </w: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协办单位：</w:t>
            </w: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 xml:space="preserve">分管领导：       </w:t>
            </w:r>
          </w:p>
          <w:p>
            <w:pPr>
              <w:ind w:firstLine="320" w:firstLineChars="100"/>
              <w:rPr>
                <w:rFonts w:ascii="FangSong_GB2312" w:hAnsi="FangSong_GB2312" w:eastAsia="FangSong_GB2312" w:cs="FangSong_GB2312"/>
              </w:rPr>
            </w:pPr>
          </w:p>
          <w:p>
            <w:pPr>
              <w:ind w:firstLine="3360" w:firstLineChars="1050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FangSong_GB2312" w:hAnsi="FangSong_GB2312" w:eastAsia="FangSong_GB2312" w:cs="FangSong_GB2312"/>
              </w:rPr>
              <w:t>年     月     日</w:t>
            </w:r>
          </w:p>
        </w:tc>
      </w:tr>
    </w:tbl>
    <w:p/>
    <w:p>
      <w:pPr>
        <w:spacing w:line="760" w:lineRule="exact"/>
        <w:jc w:val="center"/>
        <w:rPr>
          <w:rFonts w:ascii="方正小标宋简体" w:eastAsia="方正小标宋简体"/>
          <w:w w:val="90"/>
          <w:sz w:val="46"/>
          <w:szCs w:val="46"/>
        </w:rPr>
      </w:pPr>
    </w:p>
    <w:p>
      <w:pPr>
        <w:spacing w:beforeLines="50"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中国人民政治协商会议</w:t>
      </w:r>
    </w:p>
    <w:p>
      <w:pPr>
        <w:spacing w:line="760" w:lineRule="exact"/>
        <w:jc w:val="center"/>
        <w:rPr>
          <w:rFonts w:ascii="方正小标宋简体" w:eastAsia="方正小标宋简体"/>
          <w:w w:val="90"/>
          <w:sz w:val="52"/>
          <w:szCs w:val="52"/>
        </w:rPr>
      </w:pPr>
      <w:r>
        <w:rPr>
          <w:rFonts w:hint="eastAsia" w:ascii="方正小标宋简体" w:eastAsia="方正小标宋简体"/>
          <w:w w:val="90"/>
          <w:sz w:val="52"/>
          <w:szCs w:val="52"/>
        </w:rPr>
        <w:t>桓台县第十四届委员会第四次会议</w:t>
      </w:r>
    </w:p>
    <w:p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hint="eastAsia" w:ascii="方正小标宋简体" w:eastAsia="方正小标宋简体"/>
          <w:sz w:val="72"/>
          <w:szCs w:val="72"/>
        </w:rPr>
        <w:t>提   案</w:t>
      </w:r>
    </w:p>
    <w:p>
      <w:pPr>
        <w:spacing w:line="240" w:lineRule="exact"/>
      </w:pPr>
    </w:p>
    <w:p>
      <w:pPr>
        <w:jc w:val="center"/>
        <w:rPr>
          <w:rFonts w:ascii="楷体_GB2312" w:eastAsia="楷体_GB2312"/>
          <w:sz w:val="36"/>
          <w:szCs w:val="36"/>
        </w:rPr>
      </w:pPr>
      <w:r>
        <w:rPr>
          <w:rFonts w:hint="eastAsia" w:ascii="楷体_GB2312" w:eastAsia="楷体_GB2312"/>
          <w:sz w:val="36"/>
          <w:szCs w:val="36"/>
        </w:rPr>
        <w:t>第     号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144780</wp:posOffset>
                </wp:positionV>
                <wp:extent cx="5832475" cy="635"/>
                <wp:effectExtent l="0" t="17145" r="15875" b="20320"/>
                <wp:wrapNone/>
                <wp:docPr id="1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475" cy="635"/>
                        </a:xfrm>
                        <a:prstGeom prst="line">
                          <a:avLst/>
                        </a:prstGeom>
                        <a:ln w="34925" cap="flat" cmpd="sng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-6.05pt;margin-top:11.4pt;height:0.05pt;width:459.25pt;z-index:251658240;mso-width-relative:page;mso-height-relative:page;" filled="f" stroked="t" coordsize="21600,21600" o:gfxdata="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RGnoktUA&#10;AAAJAQAADwAAAAAAAAABACAAAAAiAAAAZHJzL2Rvd25yZXYueG1sUEsBAhQAFAAAAAgAh07iQP2K&#10;6iXpAQAA2wMAAA4AAAAAAAAAAQAgAAAAJAEAAGRycy9lMm9Eb2MueG1sUEsFBgAAAAAGAAYAWQEA&#10;AH8FAAAAAA==&#10;">
                <v:fill on="f" focussize="0,0"/>
                <v:stroke r:id="rId4" weight="2.75pt" color="#000000" color2="#FFFFFF" joinstyle="round" o:relid="rId4" filltype="patter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80" w:lineRule="exact"/>
      </w:pPr>
    </w:p>
    <w:p>
      <w:pPr>
        <w:spacing w:line="480" w:lineRule="exact"/>
      </w:pPr>
    </w:p>
    <w:tbl>
      <w:tblPr>
        <w:tblStyle w:val="3"/>
        <w:tblW w:w="92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4574"/>
        <w:gridCol w:w="280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both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案   由：</w:t>
            </w:r>
          </w:p>
        </w:tc>
        <w:tc>
          <w:tcPr>
            <w:tcW w:w="7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关于对乌河沿岸（索镇段）进行亮化提升和与桓台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94" w:hRule="atLeast"/>
        </w:trPr>
        <w:tc>
          <w:tcPr>
            <w:tcW w:w="914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both"/>
              <w:rPr>
                <w:rFonts w:ascii="FangSong_GB2312" w:eastAsia="FangSong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夜经济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融合发展的建议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提案者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单位及通讯地址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FangSong_GB2312" w:hAnsi="FangSong_GB2312" w:eastAsia="FangSong_GB2312" w:cs="FangSong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徐艳</w:t>
            </w: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FangSong_GB2312" w:hAnsi="FangSong_GB2312" w:eastAsia="FangSong_GB2312" w:cs="FangSong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桓台县农业农村局</w:t>
            </w: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FangSong_GB2312" w:hAnsi="FangSong_GB2312" w:eastAsia="FangSong_GB2312" w:cs="FangSong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13792199552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768" w:type="dxa"/>
            <w:tcBorders>
              <w:top w:val="single" w:color="auto" w:sz="4" w:space="0"/>
              <w:left w:val="nil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4574" w:type="dxa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  <w:tc>
          <w:tcPr>
            <w:tcW w:w="2858" w:type="dxa"/>
            <w:gridSpan w:val="2"/>
            <w:tcBorders>
              <w:top w:val="single" w:color="auto" w:sz="4" w:space="0"/>
              <w:left w:val="dotted" w:color="auto" w:sz="12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FangSong_GB2312" w:eastAsia="FangSong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68" w:type="dxa"/>
            <w:tcBorders>
              <w:top w:val="single" w:color="auto" w:sz="6" w:space="0"/>
              <w:left w:val="nil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4574" w:type="dxa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dotted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  <w:tc>
          <w:tcPr>
            <w:tcW w:w="2858" w:type="dxa"/>
            <w:gridSpan w:val="2"/>
            <w:tcBorders>
              <w:top w:val="single" w:color="auto" w:sz="6" w:space="0"/>
              <w:left w:val="dotted" w:color="auto" w:sz="12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 w:val="44"/>
                <w:szCs w:val="4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738" w:tblpY="293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</w:pPr>
            <w:r>
              <w:rPr>
                <w:rFonts w:hint="eastAsia" w:ascii="方正黑体简体" w:hAnsi="方正黑体简体" w:eastAsia="方正黑体简体" w:cs="方正黑体简体"/>
              </w:rPr>
              <w:t>理由：</w:t>
            </w:r>
            <w:r>
              <w:rPr>
                <w:rFonts w:hint="eastAsia" w:ascii="仿宋_GB2312" w:hAnsi="仿宋_GB2312" w:eastAsia="仿宋_GB2312" w:cs="仿宋_GB2312"/>
              </w:rPr>
              <w:t>乌河沿岸（索镇段）位于桓台县老城区东侧，沿岸有索镇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的东镇、西镇、北辛等村毗邻，又有建国小区、西镇炉姑苑小区、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富丽花园等小区在附近居住，但是，目前乌河沿岸（索镇段），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ascii="FangSong_GB2312" w:hAnsi="FangSong_GB2312" w:eastAsia="FangSong_GB2312" w:cs="FangSong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虽然沿岸也有灯光照明，但夜晚步行于此，光线条件还是很暗，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不够明亮，就给人带来一种不安全感。另外，作为桓台的沿河景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观，乌河又被誉为桓台的母亲河，现在的灯光照明与其景观特点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极不相称。站在城市发展的角度上讲，市委市政府号召发展夜经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济，那么桓台的沿河景观理应相应提升，创造一个优美的城市环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ascii="FangSong_GB2312" w:hAnsi="FangSong_GB2312" w:eastAsia="FangSong_GB2312" w:cs="FangSong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境，也更加利于发展桓台的城市夜经济。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tbl>
      <w:tblPr>
        <w:tblStyle w:val="3"/>
        <w:tblpPr w:leftFromText="180" w:rightFromText="180" w:vertAnchor="text" w:horzAnchor="page" w:tblpX="12998" w:tblpY="71"/>
        <w:tblOverlap w:val="never"/>
        <w:tblW w:w="9120" w:type="dxa"/>
        <w:tblInd w:w="0" w:type="dxa"/>
        <w:tblBorders>
          <w:top w:val="single" w:color="auto" w:sz="18" w:space="0"/>
          <w:left w:val="none" w:color="auto" w:sz="0" w:space="0"/>
          <w:bottom w:val="single" w:color="auto" w:sz="18" w:space="0"/>
          <w:right w:val="none" w:color="auto" w:sz="0" w:space="0"/>
          <w:insideH w:val="single" w:color="auto" w:sz="8" w:space="0"/>
          <w:insideV w:val="single" w:color="auto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00" w:lineRule="exact"/>
              <w:rPr>
                <w:rFonts w:ascii="仿宋" w:hAnsi="仿宋" w:eastAsia="仿宋" w:cs="FangSong_GB2312"/>
              </w:rPr>
            </w:pPr>
            <w:r>
              <w:rPr>
                <w:rFonts w:hint="eastAsia" w:ascii="黑体" w:eastAsia="黑体"/>
              </w:rPr>
              <w:t>建议和办法：</w:t>
            </w:r>
            <w:r>
              <w:rPr>
                <w:rFonts w:hint="eastAsia" w:ascii="仿宋_GB2312" w:hAnsi="仿宋_GB2312" w:eastAsia="仿宋_GB2312" w:cs="仿宋_GB2312"/>
              </w:rPr>
              <w:t>1、增加灯光照明。乌河沿岸（索镇段）沿河两岸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jc w:val="left"/>
              <w:rPr>
                <w:rFonts w:hint="eastAsia" w:ascii="FangSong_GB2312" w:hAnsi="FangSong_GB2312" w:eastAsia="FangSong_GB2312" w:cs="FangSong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的路灯照明进行，提升改造，提高沿岸照明。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2、对乌河沿岸（索镇段）的河堤部分进行灯光美化，设置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树上的彩灯，或其他相应的美好灯光，镭射或其他，具体根据相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  <w:tcBorders>
              <w:top w:val="single" w:color="auto" w:sz="8" w:space="0"/>
              <w:bottom w:val="single" w:color="auto" w:sz="4" w:space="0"/>
            </w:tcBorders>
          </w:tcPr>
          <w:p>
            <w:pPr>
              <w:spacing w:line="61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应景观特点进行布置。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  <w:tcBorders>
              <w:top w:val="nil"/>
            </w:tcBorders>
          </w:tcPr>
          <w:p>
            <w:pPr>
              <w:spacing w:line="610" w:lineRule="exact"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3、与夜经济相结合，扩大文化街与乌河沿岸（索镇段）的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联系，紧密结合温州批发城，繁荣丰富桓台的夜经济和文化经济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发展。对空白店铺督促进行招商，形成一个桓台的夜经济带。</w:t>
            </w: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pStyle w:val="2"/>
              <w:widowControl/>
              <w:adjustRightInd w:val="0"/>
              <w:snapToGrid w:val="0"/>
              <w:spacing w:beforeAutospacing="0" w:afterAutospacing="0" w:line="5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18" w:space="0"/>
            <w:left w:val="none" w:color="auto" w:sz="0" w:space="0"/>
            <w:bottom w:val="single" w:color="auto" w:sz="18" w:space="0"/>
            <w:right w:val="none" w:color="auto" w:sz="0" w:space="0"/>
            <w:insideH w:val="single" w:color="auto" w:sz="8" w:space="0"/>
            <w:insideV w:val="single" w:color="auto" w:sz="1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20" w:type="dxa"/>
          </w:tcPr>
          <w:p>
            <w:pPr>
              <w:spacing w:line="61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spacing w:line="20" w:lineRule="exact"/>
      </w:pPr>
    </w:p>
    <w:sectPr>
      <w:pgSz w:w="23757" w:h="16783" w:orient="landscape"/>
      <w:pgMar w:top="1134" w:right="1701" w:bottom="1134" w:left="1701" w:header="851" w:footer="992" w:gutter="0"/>
      <w:cols w:space="2241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D2"/>
    <w:rsid w:val="00014317"/>
    <w:rsid w:val="00056CE2"/>
    <w:rsid w:val="000624D8"/>
    <w:rsid w:val="00072F10"/>
    <w:rsid w:val="00095444"/>
    <w:rsid w:val="00122DF7"/>
    <w:rsid w:val="00134714"/>
    <w:rsid w:val="001715BB"/>
    <w:rsid w:val="00190CCD"/>
    <w:rsid w:val="001C3928"/>
    <w:rsid w:val="002079A7"/>
    <w:rsid w:val="00265162"/>
    <w:rsid w:val="002832A4"/>
    <w:rsid w:val="002C521E"/>
    <w:rsid w:val="002D08C8"/>
    <w:rsid w:val="0030131D"/>
    <w:rsid w:val="0032620E"/>
    <w:rsid w:val="00336B5E"/>
    <w:rsid w:val="00396AB2"/>
    <w:rsid w:val="003B52CF"/>
    <w:rsid w:val="003C3F17"/>
    <w:rsid w:val="003C4B78"/>
    <w:rsid w:val="003E197B"/>
    <w:rsid w:val="00421849"/>
    <w:rsid w:val="00481FE5"/>
    <w:rsid w:val="00495EA1"/>
    <w:rsid w:val="004D1A92"/>
    <w:rsid w:val="004F5C1F"/>
    <w:rsid w:val="00545714"/>
    <w:rsid w:val="00584805"/>
    <w:rsid w:val="00593F9B"/>
    <w:rsid w:val="005A07D8"/>
    <w:rsid w:val="005A3AF8"/>
    <w:rsid w:val="005A7614"/>
    <w:rsid w:val="005B1C9A"/>
    <w:rsid w:val="005D6B97"/>
    <w:rsid w:val="0061535F"/>
    <w:rsid w:val="0065252E"/>
    <w:rsid w:val="00700928"/>
    <w:rsid w:val="0071170A"/>
    <w:rsid w:val="00714033"/>
    <w:rsid w:val="0072792D"/>
    <w:rsid w:val="007378E1"/>
    <w:rsid w:val="007416BD"/>
    <w:rsid w:val="007477CA"/>
    <w:rsid w:val="00767B32"/>
    <w:rsid w:val="00790B3A"/>
    <w:rsid w:val="007E5922"/>
    <w:rsid w:val="007E6696"/>
    <w:rsid w:val="007F0707"/>
    <w:rsid w:val="00841079"/>
    <w:rsid w:val="008647E9"/>
    <w:rsid w:val="0087313F"/>
    <w:rsid w:val="008A0E71"/>
    <w:rsid w:val="008A33F7"/>
    <w:rsid w:val="008E2EA5"/>
    <w:rsid w:val="008F059A"/>
    <w:rsid w:val="0092649D"/>
    <w:rsid w:val="009310A2"/>
    <w:rsid w:val="00933C8C"/>
    <w:rsid w:val="009624FC"/>
    <w:rsid w:val="00974233"/>
    <w:rsid w:val="0097788C"/>
    <w:rsid w:val="00980820"/>
    <w:rsid w:val="00997674"/>
    <w:rsid w:val="009D058B"/>
    <w:rsid w:val="009F632A"/>
    <w:rsid w:val="00A45858"/>
    <w:rsid w:val="00A80962"/>
    <w:rsid w:val="00A852DA"/>
    <w:rsid w:val="00A92FFC"/>
    <w:rsid w:val="00AC0762"/>
    <w:rsid w:val="00AE74C3"/>
    <w:rsid w:val="00B16BFF"/>
    <w:rsid w:val="00B234A6"/>
    <w:rsid w:val="00B92183"/>
    <w:rsid w:val="00C42204"/>
    <w:rsid w:val="00C93588"/>
    <w:rsid w:val="00CF11AA"/>
    <w:rsid w:val="00D02FBB"/>
    <w:rsid w:val="00D208D2"/>
    <w:rsid w:val="00D2239D"/>
    <w:rsid w:val="00D37007"/>
    <w:rsid w:val="00D564CE"/>
    <w:rsid w:val="00D73AA2"/>
    <w:rsid w:val="00D77182"/>
    <w:rsid w:val="00D95AAC"/>
    <w:rsid w:val="00DA1784"/>
    <w:rsid w:val="00DA467F"/>
    <w:rsid w:val="00DB495C"/>
    <w:rsid w:val="00DD148A"/>
    <w:rsid w:val="00E058C2"/>
    <w:rsid w:val="00E127A9"/>
    <w:rsid w:val="00E274B7"/>
    <w:rsid w:val="00E551EA"/>
    <w:rsid w:val="00E97998"/>
    <w:rsid w:val="00EB5A12"/>
    <w:rsid w:val="00ED19D2"/>
    <w:rsid w:val="00F32318"/>
    <w:rsid w:val="00F4390C"/>
    <w:rsid w:val="00F62BF6"/>
    <w:rsid w:val="00F81BE4"/>
    <w:rsid w:val="00F93CF0"/>
    <w:rsid w:val="00FA1110"/>
    <w:rsid w:val="00FB08A6"/>
    <w:rsid w:val="00FC72AC"/>
    <w:rsid w:val="00FF542D"/>
    <w:rsid w:val="0EB83618"/>
    <w:rsid w:val="14087847"/>
    <w:rsid w:val="17313577"/>
    <w:rsid w:val="17FC1197"/>
    <w:rsid w:val="186E5F87"/>
    <w:rsid w:val="1D1C6CF3"/>
    <w:rsid w:val="1DFE4E9E"/>
    <w:rsid w:val="274173DE"/>
    <w:rsid w:val="2BA8442D"/>
    <w:rsid w:val="2BB828BE"/>
    <w:rsid w:val="2D5768C3"/>
    <w:rsid w:val="38C13670"/>
    <w:rsid w:val="3A791E10"/>
    <w:rsid w:val="3B6B6583"/>
    <w:rsid w:val="3D8A364C"/>
    <w:rsid w:val="45962C42"/>
    <w:rsid w:val="4A006E0A"/>
    <w:rsid w:val="4A2926BF"/>
    <w:rsid w:val="4A851F04"/>
    <w:rsid w:val="50A26BB3"/>
    <w:rsid w:val="57897241"/>
    <w:rsid w:val="5C4610E4"/>
    <w:rsid w:val="5F8E4203"/>
    <w:rsid w:val="69332380"/>
    <w:rsid w:val="6A5E467E"/>
    <w:rsid w:val="716F70C6"/>
    <w:rsid w:val="717A030A"/>
    <w:rsid w:val="7235285F"/>
    <w:rsid w:val="725320FA"/>
    <w:rsid w:val="7ABF4E4D"/>
    <w:rsid w:val="7BAE0FC8"/>
    <w:rsid w:val="7C57669E"/>
    <w:rsid w:val="7EE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bm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325</Characters>
  <Lines>2</Lines>
  <Paragraphs>1</Paragraphs>
  <TotalTime>2</TotalTime>
  <ScaleCrop>false</ScaleCrop>
  <LinksUpToDate>false</LinksUpToDate>
  <CharactersWithSpaces>380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2018-07-18T08:35:00Z</dcterms:created>
  <dc:creator>X</dc:creator>
  <cp:lastModifiedBy>Administrator</cp:lastModifiedBy>
  <cp:lastPrinted>2020-05-11T09:22:42Z</cp:lastPrinted>
  <dcterms:modified xsi:type="dcterms:W3CDTF">2020-05-11T09:32:56Z</dcterms:modified>
  <dc:title>县政协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