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/>
          <w:sz w:val="36"/>
          <w:szCs w:val="36"/>
        </w:rPr>
      </w:pPr>
      <w:r>
        <w:rPr>
          <w:rFonts w:ascii="方正小标宋简体" w:hAnsi="方正小标宋简体"/>
          <w:sz w:val="36"/>
          <w:szCs w:val="36"/>
        </w:rPr>
        <w:t>关于《</w:t>
      </w:r>
      <w:r>
        <w:rPr>
          <w:rFonts w:hint="eastAsia" w:ascii="方正小标宋简体" w:hAnsi="方正小标宋简体"/>
          <w:sz w:val="36"/>
          <w:szCs w:val="36"/>
        </w:rPr>
        <w:t>桓台县文物保护传承利用实施意见</w:t>
      </w:r>
      <w:r>
        <w:rPr>
          <w:rFonts w:ascii="方正小标宋简体" w:hAnsi="方正小标宋简体"/>
          <w:sz w:val="36"/>
          <w:szCs w:val="36"/>
        </w:rPr>
        <w:t>》的解读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2021年1月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日，桓台县人民政府办公室印发《桓台县文物保护传承利用实施意见》。这是我县为贯彻落实省、市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文物</w:t>
      </w:r>
      <w:r>
        <w:rPr>
          <w:rFonts w:hint="eastAsia" w:ascii="仿宋_GB2312" w:eastAsia="仿宋_GB2312"/>
          <w:sz w:val="32"/>
          <w:szCs w:val="32"/>
        </w:rPr>
        <w:t>工作要求，推进我县文物保护传承利用工作的有力举措。现将有关政策要点解读如下：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起草背景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</w:rPr>
        <w:t>深入贯彻落实习近平总书记关于文物保护的重要论述、指示和批示精神，</w:t>
      </w:r>
      <w:r>
        <w:rPr>
          <w:rFonts w:hint="eastAsia" w:ascii="仿宋_GB2312" w:hAnsi="黑体" w:eastAsia="仿宋_GB2312"/>
          <w:sz w:val="32"/>
          <w:szCs w:val="32"/>
        </w:rPr>
        <w:t>坚持“保护为主、抢救第一、合理利用、加强管理”的文物工作方针，深入挖掘文物所蕴含的文化内涵和时代价值，统筹推进文物保护传承利用，</w:t>
      </w:r>
      <w:r>
        <w:rPr>
          <w:rFonts w:hint="eastAsia" w:ascii="仿宋_GB2312" w:eastAsia="仿宋_GB2312"/>
          <w:sz w:val="32"/>
          <w:szCs w:val="32"/>
        </w:rPr>
        <w:t>打造桓台文物保护示范区，壮大文化旅游业发展，提升桓台文化影响力。</w:t>
      </w:r>
      <w:r>
        <w:rPr>
          <w:rFonts w:hint="eastAsia" w:ascii="仿宋_GB2312" w:hAnsi="黑体" w:eastAsia="仿宋_GB2312"/>
          <w:sz w:val="32"/>
          <w:szCs w:val="32"/>
        </w:rPr>
        <w:t>桓台县在总结前期成果，学习借鉴其他地区成功经验的基础上，县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文化和旅游局</w:t>
      </w:r>
      <w:r>
        <w:rPr>
          <w:rFonts w:hint="eastAsia" w:ascii="仿宋_GB2312" w:hAnsi="黑体" w:eastAsia="仿宋_GB2312"/>
          <w:sz w:val="32"/>
          <w:szCs w:val="32"/>
        </w:rPr>
        <w:t>起草了《桓台县</w:t>
      </w:r>
      <w:r>
        <w:rPr>
          <w:rFonts w:hint="eastAsia" w:ascii="仿宋_GB2312" w:eastAsia="仿宋_GB2312"/>
          <w:sz w:val="32"/>
          <w:szCs w:val="32"/>
        </w:rPr>
        <w:t>文物保护传承利用实施意见</w:t>
      </w:r>
      <w:r>
        <w:rPr>
          <w:rFonts w:hint="eastAsia" w:ascii="仿宋_GB2312" w:hAnsi="黑体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</w:rPr>
        <w:t>（以下简称“实施意见”）。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二、起草依据</w:t>
      </w:r>
    </w:p>
    <w:p>
      <w:pPr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《中华人民共和国文物保护法》《山东省文物保护条例》《中央办公厅国务院办公厅关于加强文物保护利用改革的若干意见》《淄博市文物保护管理办法》等法律法规和有关政策要求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三、主要内容</w:t>
      </w:r>
    </w:p>
    <w:p>
      <w:pPr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实施意见共分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部分1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项内容：</w:t>
      </w:r>
    </w:p>
    <w:p>
      <w:pPr>
        <w:numPr>
          <w:ilvl w:val="0"/>
          <w:numId w:val="2"/>
        </w:numPr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落实文物保护“四有”。</w:t>
      </w:r>
      <w:r>
        <w:rPr>
          <w:rFonts w:hint="eastAsia" w:ascii="仿宋_GB2312" w:eastAsia="仿宋_GB2312"/>
          <w:sz w:val="32"/>
          <w:szCs w:val="32"/>
        </w:rPr>
        <w:t>包括：1.</w:t>
      </w:r>
      <w:r>
        <w:rPr>
          <w:rFonts w:hint="eastAsia" w:ascii="仿宋_GB2312" w:hAnsi="黑体" w:eastAsia="仿宋_GB2312"/>
          <w:sz w:val="32"/>
          <w:szCs w:val="32"/>
        </w:rPr>
        <w:t>明确各级文物保护单位的保护范围和建设控制地带，并编制保护规划。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黑体" w:eastAsia="仿宋_GB2312"/>
          <w:sz w:val="32"/>
          <w:szCs w:val="32"/>
        </w:rPr>
        <w:t>完善标志说明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黑体" w:eastAsia="仿宋_GB2312"/>
          <w:sz w:val="32"/>
          <w:szCs w:val="32"/>
        </w:rPr>
        <w:t>健全记录档案。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黑体" w:eastAsia="仿宋_GB2312"/>
          <w:sz w:val="32"/>
          <w:szCs w:val="32"/>
        </w:rPr>
        <w:t>明确专门机构或者专人负责管理文物保护单位。</w:t>
      </w:r>
    </w:p>
    <w:p>
      <w:pPr>
        <w:numPr>
          <w:ilvl w:val="0"/>
          <w:numId w:val="0"/>
        </w:numPr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黑体" w:eastAsia="仿宋_GB2312"/>
          <w:sz w:val="32"/>
          <w:szCs w:val="32"/>
        </w:rPr>
        <w:t>（二）实施文物平安工程。</w:t>
      </w:r>
      <w:r>
        <w:rPr>
          <w:rFonts w:hint="eastAsia" w:ascii="仿宋_GB2312" w:eastAsia="仿宋_GB2312"/>
          <w:sz w:val="32"/>
          <w:szCs w:val="32"/>
        </w:rPr>
        <w:t>包括：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hAnsi="黑体" w:eastAsia="仿宋_GB2312"/>
          <w:sz w:val="32"/>
          <w:szCs w:val="32"/>
        </w:rPr>
        <w:t>古建筑类文物保护单位完善安防、消防、雷防设施。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黑体" w:eastAsia="仿宋_GB2312"/>
          <w:sz w:val="32"/>
          <w:szCs w:val="32"/>
        </w:rPr>
        <w:t>古遗址类文物保护单位沿保护范围边界埋设保护标志。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黑体" w:eastAsia="仿宋_GB2312"/>
          <w:sz w:val="32"/>
          <w:szCs w:val="32"/>
        </w:rPr>
        <w:t>规划建设全县文物安全监管平台。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黑体" w:eastAsia="仿宋_GB2312"/>
          <w:sz w:val="32"/>
          <w:szCs w:val="32"/>
        </w:rPr>
        <w:t>开展各级文物保护单位保护范围内的环境整治。</w:t>
      </w:r>
    </w:p>
    <w:p>
      <w:pPr>
        <w:numPr>
          <w:ilvl w:val="0"/>
          <w:numId w:val="3"/>
        </w:numPr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规划编制文物保护展示工程。</w:t>
      </w:r>
      <w:r>
        <w:rPr>
          <w:rFonts w:hint="eastAsia" w:ascii="仿宋_GB2312" w:eastAsia="仿宋_GB2312"/>
          <w:sz w:val="32"/>
          <w:szCs w:val="32"/>
        </w:rPr>
        <w:t>包括：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黑体" w:eastAsia="仿宋_GB2312"/>
          <w:sz w:val="32"/>
          <w:szCs w:val="32"/>
        </w:rPr>
        <w:t>编制戏马台修缮保护实施方案，启动古县衙修复工程。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黑体" w:eastAsia="仿宋_GB2312"/>
          <w:sz w:val="32"/>
          <w:szCs w:val="32"/>
        </w:rPr>
        <w:t>根据耿家大院产权性质和保护现状，实行差异化保护利用。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黑体" w:eastAsia="仿宋_GB2312"/>
          <w:sz w:val="32"/>
          <w:szCs w:val="32"/>
        </w:rPr>
        <w:t>策划建设遗址文化公园。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12.</w:t>
      </w:r>
      <w:r>
        <w:rPr>
          <w:rFonts w:hint="eastAsia" w:ascii="仿宋_GB2312" w:hAnsi="黑体" w:eastAsia="仿宋_GB2312"/>
          <w:sz w:val="32"/>
          <w:szCs w:val="32"/>
        </w:rPr>
        <w:t>对其他需要急需保护的遗迹遗存适时进行保护。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（四）加强文物数字化建设工程。</w:t>
      </w:r>
      <w:r>
        <w:rPr>
          <w:rFonts w:hint="eastAsia" w:ascii="仿宋_GB2312" w:eastAsia="仿宋_GB2312"/>
          <w:sz w:val="32"/>
          <w:szCs w:val="32"/>
        </w:rPr>
        <w:t>包括：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13.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对现有文物资源进行数字化展示。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14.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广泛传播文物蕴含的文化精髓和时代价值，讲好文物故事。</w:t>
      </w:r>
    </w:p>
    <w:p>
      <w:pPr>
        <w:numPr>
          <w:ilvl w:val="0"/>
          <w:numId w:val="0"/>
        </w:numPr>
        <w:jc w:val="left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（五）活化文物资源系列产品。</w:t>
      </w:r>
      <w:r>
        <w:rPr>
          <w:rFonts w:hint="eastAsia" w:ascii="仿宋_GB2312" w:eastAsia="仿宋_GB2312"/>
          <w:sz w:val="32"/>
          <w:szCs w:val="32"/>
        </w:rPr>
        <w:t>包括：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15.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发掘利用现有文物资源，创作系列文物衍生品。</w:t>
      </w:r>
    </w:p>
    <w:p>
      <w:pPr>
        <w:numPr>
          <w:ilvl w:val="0"/>
          <w:numId w:val="4"/>
        </w:numPr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健全文物保护制度机制。</w:t>
      </w:r>
      <w:r>
        <w:rPr>
          <w:rFonts w:hint="eastAsia" w:ascii="仿宋_GB2312" w:eastAsia="仿宋_GB2312"/>
          <w:sz w:val="32"/>
          <w:szCs w:val="32"/>
        </w:rPr>
        <w:t>包括：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16.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健全完善我县文物安全巡护巡查、文物保护考核奖惩、文物保护责任追究等制度和文物消防、文物安全等应急预案。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方案最后一部分提出了全力推动本意见各项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重点任务</w:t>
      </w:r>
      <w:r>
        <w:rPr>
          <w:rFonts w:hint="eastAsia" w:ascii="仿宋_GB2312" w:eastAsia="仿宋_GB2312"/>
          <w:sz w:val="32"/>
          <w:szCs w:val="32"/>
        </w:rPr>
        <w:t>落实落地相关保障措施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</w:rPr>
        <w:t>明确了</w:t>
      </w:r>
      <w:r>
        <w:rPr>
          <w:rFonts w:hint="eastAsia" w:ascii="仿宋_GB2312" w:eastAsia="仿宋_GB2312"/>
          <w:sz w:val="32"/>
          <w:szCs w:val="32"/>
        </w:rPr>
        <w:t>县文物保护传承利用工作领导小组成员单位职责</w:t>
      </w:r>
      <w:r>
        <w:rPr>
          <w:rFonts w:hint="eastAsia" w:ascii="仿宋_GB2312" w:hAnsi="黑体" w:eastAsia="仿宋_GB2312"/>
          <w:sz w:val="32"/>
          <w:szCs w:val="32"/>
        </w:rPr>
        <w:t>分工。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四、起草及征求意见情况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日，下发</w:t>
      </w:r>
      <w:r>
        <w:rPr>
          <w:rFonts w:hint="eastAsia" w:ascii="仿宋_GB2312" w:hAnsi="黑体" w:eastAsia="仿宋_GB2312"/>
          <w:sz w:val="32"/>
          <w:szCs w:val="32"/>
        </w:rPr>
        <w:t>《桓台县</w:t>
      </w:r>
      <w:r>
        <w:rPr>
          <w:rFonts w:hint="eastAsia" w:ascii="仿宋_GB2312" w:eastAsia="仿宋_GB2312"/>
          <w:sz w:val="32"/>
          <w:szCs w:val="32"/>
        </w:rPr>
        <w:t>文物保护传承利用实施意见</w:t>
      </w:r>
      <w:r>
        <w:rPr>
          <w:rFonts w:hint="eastAsia" w:ascii="仿宋_GB2312" w:hAnsi="黑体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</w:rPr>
        <w:t>（征求意见稿）》，对全县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10多</w:t>
      </w:r>
      <w:r>
        <w:rPr>
          <w:rFonts w:hint="eastAsia" w:ascii="仿宋_GB2312" w:eastAsia="仿宋_GB2312"/>
          <w:sz w:val="32"/>
          <w:szCs w:val="32"/>
        </w:rPr>
        <w:t>个相关部门</w:t>
      </w:r>
      <w:r>
        <w:rPr>
          <w:rFonts w:hint="eastAsia" w:ascii="仿宋_GB2312" w:eastAsia="仿宋_GB2312"/>
          <w:sz w:val="32"/>
          <w:szCs w:val="32"/>
          <w:lang w:eastAsia="zh-CN"/>
        </w:rPr>
        <w:t>、镇</w:t>
      </w:r>
      <w:r>
        <w:rPr>
          <w:rFonts w:hint="eastAsia" w:ascii="仿宋_GB2312" w:eastAsia="仿宋_GB2312"/>
          <w:sz w:val="32"/>
          <w:szCs w:val="32"/>
        </w:rPr>
        <w:t>征求意见。结合我县实际和文物保护传承利用重点任务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成员单位职责</w:t>
      </w:r>
      <w:r>
        <w:rPr>
          <w:rFonts w:hint="eastAsia" w:ascii="仿宋_GB2312" w:eastAsia="仿宋_GB2312"/>
          <w:sz w:val="32"/>
          <w:szCs w:val="32"/>
        </w:rPr>
        <w:t>等提报修改意见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文化和旅游局</w:t>
      </w:r>
      <w:r>
        <w:rPr>
          <w:rFonts w:hint="eastAsia" w:ascii="仿宋_GB2312" w:eastAsia="仿宋_GB2312"/>
          <w:sz w:val="32"/>
          <w:szCs w:val="32"/>
        </w:rPr>
        <w:t>经梳理汇总研究对实施意见进行了修改完善。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《实施意见》经县政府常务会议讨论原则通过。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五、组织保障机制</w:t>
      </w:r>
    </w:p>
    <w:p>
      <w:pPr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成立桓台县文物保护传承利用工作领导小组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领导小组办公室设在县文化和旅游局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县领导小组办公室将</w:t>
      </w:r>
      <w:r>
        <w:rPr>
          <w:rFonts w:hint="eastAsia" w:ascii="仿宋_GB2312" w:hAnsi="黑体" w:eastAsia="仿宋_GB2312"/>
          <w:sz w:val="32"/>
          <w:szCs w:val="32"/>
        </w:rPr>
        <w:t>会同有关部门跟踪调度工作推进情况，</w:t>
      </w:r>
      <w:r>
        <w:rPr>
          <w:rFonts w:hint="eastAsia" w:ascii="仿宋_GB2312" w:eastAsia="仿宋_GB2312"/>
          <w:sz w:val="32"/>
          <w:szCs w:val="32"/>
        </w:rPr>
        <w:t>确保实施意见各项工作任务落实到位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pStyle w:val="4"/>
        <w:ind w:left="1360" w:firstLine="0" w:firstLineChars="0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53265"/>
    <w:multiLevelType w:val="multilevel"/>
    <w:tmpl w:val="1AC53265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00EC200"/>
    <w:multiLevelType w:val="singleLevel"/>
    <w:tmpl w:val="600EC200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600EC367"/>
    <w:multiLevelType w:val="singleLevel"/>
    <w:tmpl w:val="600EC367"/>
    <w:lvl w:ilvl="0" w:tentative="0">
      <w:start w:val="3"/>
      <w:numFmt w:val="chineseCounting"/>
      <w:suff w:val="nothing"/>
      <w:lvlText w:val="（%1）"/>
      <w:lvlJc w:val="left"/>
    </w:lvl>
  </w:abstractNum>
  <w:abstractNum w:abstractNumId="3">
    <w:nsid w:val="600EC440"/>
    <w:multiLevelType w:val="singleLevel"/>
    <w:tmpl w:val="600EC440"/>
    <w:lvl w:ilvl="0" w:tentative="0">
      <w:start w:val="6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5039"/>
    <w:rsid w:val="001455C5"/>
    <w:rsid w:val="00557E77"/>
    <w:rsid w:val="005F32E6"/>
    <w:rsid w:val="006930DC"/>
    <w:rsid w:val="00745039"/>
    <w:rsid w:val="007A43BE"/>
    <w:rsid w:val="007E0498"/>
    <w:rsid w:val="00AF6554"/>
    <w:rsid w:val="00EC0BD4"/>
    <w:rsid w:val="00EF4337"/>
    <w:rsid w:val="05486E33"/>
    <w:rsid w:val="05DC2EB6"/>
    <w:rsid w:val="08A63AE5"/>
    <w:rsid w:val="09BC3011"/>
    <w:rsid w:val="09E204D4"/>
    <w:rsid w:val="0B1B4E8E"/>
    <w:rsid w:val="0CE52FF2"/>
    <w:rsid w:val="11E4252B"/>
    <w:rsid w:val="12F72DDE"/>
    <w:rsid w:val="13396843"/>
    <w:rsid w:val="15692051"/>
    <w:rsid w:val="1D1644E3"/>
    <w:rsid w:val="1FE70BE7"/>
    <w:rsid w:val="25456500"/>
    <w:rsid w:val="277B0DC7"/>
    <w:rsid w:val="27D266BF"/>
    <w:rsid w:val="2C107862"/>
    <w:rsid w:val="2D35185B"/>
    <w:rsid w:val="333C532D"/>
    <w:rsid w:val="380B23CD"/>
    <w:rsid w:val="384A27BB"/>
    <w:rsid w:val="3A584130"/>
    <w:rsid w:val="3BCB383F"/>
    <w:rsid w:val="3C433F3E"/>
    <w:rsid w:val="3E25088B"/>
    <w:rsid w:val="3F207E37"/>
    <w:rsid w:val="45702BD0"/>
    <w:rsid w:val="4AFC0497"/>
    <w:rsid w:val="4B467156"/>
    <w:rsid w:val="4CC40F4B"/>
    <w:rsid w:val="4D413A7F"/>
    <w:rsid w:val="4DFA1341"/>
    <w:rsid w:val="4E790E2F"/>
    <w:rsid w:val="508579FD"/>
    <w:rsid w:val="51CD303B"/>
    <w:rsid w:val="53627ACC"/>
    <w:rsid w:val="58FE0A78"/>
    <w:rsid w:val="631F7FF1"/>
    <w:rsid w:val="67BD31F8"/>
    <w:rsid w:val="67C42186"/>
    <w:rsid w:val="6C0104D9"/>
    <w:rsid w:val="6CEF1E2E"/>
    <w:rsid w:val="72C07397"/>
    <w:rsid w:val="73415E2D"/>
    <w:rsid w:val="745D2FDA"/>
    <w:rsid w:val="79A0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253</Characters>
  <Lines>2</Lines>
  <Paragraphs>1</Paragraphs>
  <TotalTime>16</TotalTime>
  <ScaleCrop>false</ScaleCrop>
  <LinksUpToDate>false</LinksUpToDate>
  <CharactersWithSpaces>296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2021-01-25T05:59:00Z</dcterms:created>
  <dc:creator>Administrator</dc:creator>
  <cp:lastModifiedBy>Administrator</cp:lastModifiedBy>
  <dcterms:modified xsi:type="dcterms:W3CDTF">2021-01-26T07:11:00Z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