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6BC" w:rsidRPr="00E936BC" w:rsidRDefault="00E936BC" w:rsidP="00E936BC">
      <w:pPr>
        <w:widowControl/>
        <w:jc w:val="center"/>
        <w:rPr>
          <w:rFonts w:ascii="微软雅黑" w:eastAsia="微软雅黑" w:hAnsi="微软雅黑" w:cs="宋体"/>
          <w:color w:val="000000"/>
          <w:kern w:val="0"/>
          <w:sz w:val="24"/>
          <w:szCs w:val="24"/>
        </w:rPr>
      </w:pPr>
      <w:r w:rsidRPr="00E936BC">
        <w:rPr>
          <w:rFonts w:ascii="微软雅黑" w:eastAsia="微软雅黑" w:hAnsi="微软雅黑" w:cs="宋体" w:hint="eastAsia"/>
          <w:color w:val="000000"/>
          <w:kern w:val="0"/>
          <w:sz w:val="36"/>
          <w:szCs w:val="36"/>
        </w:rPr>
        <w:t>桓台县卫生健康局</w:t>
      </w:r>
    </w:p>
    <w:p w:rsidR="00E936BC" w:rsidRPr="00E936BC" w:rsidRDefault="00E936BC" w:rsidP="00E936BC">
      <w:pPr>
        <w:widowControl/>
        <w:jc w:val="center"/>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36"/>
          <w:szCs w:val="36"/>
        </w:rPr>
        <w:t>关于印发《桓台县医疗乱象专项整治行动实施方案》的通知</w:t>
      </w:r>
    </w:p>
    <w:p w:rsidR="00E936BC" w:rsidRPr="00E936BC" w:rsidRDefault="00E936BC" w:rsidP="00E936BC">
      <w:pPr>
        <w:widowControl/>
        <w:jc w:val="center"/>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桓卫字〔2019〕51号</w:t>
      </w:r>
    </w:p>
    <w:p w:rsidR="00E936BC" w:rsidRPr="00E936BC" w:rsidRDefault="00E936BC" w:rsidP="00E936BC">
      <w:pPr>
        <w:widowControl/>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p w:rsidR="00E936BC" w:rsidRPr="00E936BC" w:rsidRDefault="00E936BC" w:rsidP="00E936BC">
      <w:pPr>
        <w:widowControl/>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各级各类医疗卫生机构：</w:t>
      </w:r>
    </w:p>
    <w:p w:rsidR="00E936BC" w:rsidRPr="00E936BC" w:rsidRDefault="00E936BC" w:rsidP="00E936BC">
      <w:pPr>
        <w:widowControl/>
        <w:shd w:val="clear" w:color="auto" w:fill="FFFFFF"/>
        <w:ind w:firstLine="636"/>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根据市卫生健康委等部门关于印发《淄博市医疗乱象专项整治行动实施方案》（淄卫字〔2019〕35号）要求，县卫生健康局会同县委网信办、县发展改革局、县公安局、县市场监督管理局、市医疗保障局桓台分局等部门制订了《桓台县医疗乱象专项整治行动实施方案》，</w:t>
      </w:r>
      <w:r w:rsidRPr="00E936BC">
        <w:rPr>
          <w:rFonts w:ascii="微软雅黑" w:eastAsia="微软雅黑" w:hAnsi="微软雅黑" w:cs="宋体" w:hint="eastAsia"/>
          <w:color w:val="000000"/>
          <w:kern w:val="0"/>
          <w:sz w:val="24"/>
          <w:szCs w:val="24"/>
        </w:rPr>
        <w:t>在全县范围内实施医疗乱象专项整治行动。现将《桓台县医疗乱象专项整治行动实施方案》印发给你们，请认真贯彻执行。</w:t>
      </w:r>
    </w:p>
    <w:p w:rsidR="00E936BC" w:rsidRPr="00E936BC" w:rsidRDefault="00E936BC" w:rsidP="00E936BC">
      <w:pPr>
        <w:widowControl/>
        <w:shd w:val="clear" w:color="auto" w:fill="FFFFFF"/>
        <w:ind w:firstLine="636"/>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请各单位将专项整治行动工作方案，联络员名单（姓名、单位、职务、联系电话）和医疗乱象监督举报专线（电话号码及受理时间）于6月14日前报县卫生健康局。</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县卫生健康局联系电话：    8218609</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县委网信办联系电话：      8180256</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县发展改革局联系电话：    8182020</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县公安局联系电话：        2134387</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县市场监管局联系电话：    8185757</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市医保局桓台分局联系电话：8210320</w:t>
      </w:r>
    </w:p>
    <w:p w:rsidR="00E936BC" w:rsidRPr="00E936BC" w:rsidRDefault="00E936BC" w:rsidP="00E936BC">
      <w:pPr>
        <w:widowControl/>
        <w:shd w:val="clear" w:color="auto" w:fill="FFFFFF"/>
        <w:ind w:firstLine="636"/>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 </w:t>
      </w:r>
    </w:p>
    <w:p w:rsidR="00E936BC" w:rsidRPr="00E936BC" w:rsidRDefault="00E936BC" w:rsidP="00E936BC">
      <w:pPr>
        <w:widowControl/>
        <w:ind w:firstLine="636"/>
        <w:jc w:val="righ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lastRenderedPageBreak/>
        <w:t>桓台县卫生健康局 桓台县委网信办</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p w:rsidR="00E936BC" w:rsidRPr="00E936BC" w:rsidRDefault="00E936BC" w:rsidP="00E936BC">
      <w:pPr>
        <w:widowControl/>
        <w:ind w:firstLine="636"/>
        <w:jc w:val="righ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桓台县发展和改革局 桓台县公安局</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p w:rsidR="00E936BC" w:rsidRPr="00E936BC" w:rsidRDefault="00E936BC" w:rsidP="00E936BC">
      <w:pPr>
        <w:widowControl/>
        <w:ind w:firstLine="636"/>
        <w:jc w:val="righ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桓台县市场监督管理局 淄博市医疗保障局桓台分局</w:t>
      </w:r>
    </w:p>
    <w:p w:rsidR="00E936BC" w:rsidRPr="00E936BC" w:rsidRDefault="00E936BC" w:rsidP="00E936BC">
      <w:pPr>
        <w:widowControl/>
        <w:shd w:val="clear" w:color="auto" w:fill="FFFFFF"/>
        <w:ind w:firstLine="420"/>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                                       </w:t>
      </w:r>
    </w:p>
    <w:p w:rsidR="00E936BC" w:rsidRPr="00E936BC" w:rsidRDefault="00E936BC" w:rsidP="00E936BC">
      <w:pPr>
        <w:widowControl/>
        <w:shd w:val="clear" w:color="auto" w:fill="FFFFFF"/>
        <w:ind w:firstLine="5247"/>
        <w:jc w:val="righ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2019年5月30日</w:t>
      </w:r>
    </w:p>
    <w:p w:rsidR="00E936BC" w:rsidRPr="00E936BC" w:rsidRDefault="00E936BC" w:rsidP="00E936BC">
      <w:pPr>
        <w:widowControl/>
        <w:jc w:val="center"/>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b/>
          <w:bCs/>
          <w:color w:val="000000"/>
          <w:kern w:val="0"/>
          <w:sz w:val="24"/>
          <w:szCs w:val="24"/>
        </w:rPr>
        <w:br w:type="textWrapping" w:clear="all"/>
        <w:t>桓台县医疗乱象专项整治行动实施方案</w:t>
      </w:r>
    </w:p>
    <w:p w:rsidR="00E936BC" w:rsidRPr="00E936BC" w:rsidRDefault="00E936BC" w:rsidP="00E936BC">
      <w:pPr>
        <w:widowControl/>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p w:rsidR="00E936BC" w:rsidRPr="00E936BC" w:rsidRDefault="00E936BC" w:rsidP="00E936BC">
      <w:pPr>
        <w:widowControl/>
        <w:shd w:val="clear" w:color="auto" w:fill="FFFFFF"/>
        <w:ind w:firstLine="636"/>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根据市卫生健康委等部门关于印发《淄博市医疗乱象专项整治行动实施方案》（淄卫字〔2019〕35号）部署，</w:t>
      </w:r>
      <w:r w:rsidRPr="00E936BC">
        <w:rPr>
          <w:rFonts w:ascii="微软雅黑" w:eastAsia="微软雅黑" w:hAnsi="微软雅黑" w:cs="宋体" w:hint="eastAsia"/>
          <w:color w:val="000000"/>
          <w:kern w:val="0"/>
          <w:sz w:val="24"/>
          <w:szCs w:val="24"/>
        </w:rPr>
        <w:t>为全面做好专项整治行动组织实施工作，有效打击和整治医疗乱象，全面净化行业环境，促进规范有序发展，切实维护人民群众健康权益，结合我县实际，制定本方案。</w:t>
      </w:r>
    </w:p>
    <w:p w:rsidR="00E936BC" w:rsidRPr="00E936BC" w:rsidRDefault="00E936BC" w:rsidP="00E936BC">
      <w:pPr>
        <w:widowControl/>
        <w:shd w:val="clear" w:color="auto" w:fill="FFFFFF"/>
        <w:ind w:firstLine="636"/>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b/>
          <w:bCs/>
          <w:color w:val="000000"/>
          <w:kern w:val="0"/>
          <w:sz w:val="24"/>
          <w:szCs w:val="24"/>
          <w:shd w:val="clear" w:color="auto" w:fill="FFFFFF"/>
        </w:rPr>
        <w:t>一、行动目标</w:t>
      </w:r>
    </w:p>
    <w:p w:rsidR="00E936BC" w:rsidRPr="00E936BC" w:rsidRDefault="00E936BC" w:rsidP="00E936BC">
      <w:pPr>
        <w:widowControl/>
        <w:shd w:val="clear" w:color="auto" w:fill="FFFFFF"/>
        <w:ind w:firstLine="636"/>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通过多部门联合行动，严厉打击医疗诈骗、虚假宣传、乱收费、骗保等损害人民群众切身利益的违法违规行为，整顿和规范医疗秩序，指导医疗卫生机构健康有序发展，营造良好的就医环境，探索建立健全医疗卫生机构监管长效机制，切实保障人民群众健康权益。</w:t>
      </w:r>
    </w:p>
    <w:p w:rsidR="00E936BC" w:rsidRPr="00E936BC" w:rsidRDefault="00E936BC" w:rsidP="00E936BC">
      <w:pPr>
        <w:widowControl/>
        <w:shd w:val="clear" w:color="auto" w:fill="FFFFFF"/>
        <w:ind w:firstLine="636"/>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b/>
          <w:bCs/>
          <w:color w:val="000000"/>
          <w:kern w:val="0"/>
          <w:sz w:val="24"/>
          <w:szCs w:val="24"/>
          <w:shd w:val="clear" w:color="auto" w:fill="FFFFFF"/>
        </w:rPr>
        <w:t>二、行动范围</w:t>
      </w:r>
    </w:p>
    <w:p w:rsidR="00E936BC" w:rsidRPr="00E936BC" w:rsidRDefault="00E936BC" w:rsidP="00E936BC">
      <w:pPr>
        <w:widowControl/>
        <w:shd w:val="clear" w:color="auto" w:fill="FFFFFF"/>
        <w:ind w:firstLine="636"/>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全县各级各类医疗卫生机构。</w:t>
      </w:r>
    </w:p>
    <w:p w:rsidR="00E936BC" w:rsidRPr="00E936BC" w:rsidRDefault="00E936BC" w:rsidP="00E936BC">
      <w:pPr>
        <w:widowControl/>
        <w:shd w:val="clear" w:color="auto" w:fill="FFFFFF"/>
        <w:ind w:firstLine="636"/>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b/>
          <w:bCs/>
          <w:color w:val="000000"/>
          <w:kern w:val="0"/>
          <w:sz w:val="24"/>
          <w:szCs w:val="24"/>
          <w:shd w:val="clear" w:color="auto" w:fill="FFFFFF"/>
        </w:rPr>
        <w:t>三、重点任务</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lastRenderedPageBreak/>
        <w:t>（一）严厉打击各类违法违规执业行为。县卫生健康局将会同相关部门对全县各医疗卫生机构开展拉网式检查，依法严厉打击医师出租、出借、转让《医师执业证书》行为和医疗机构买卖、转让、租借《医疗机构执业许可证》或《医师执业证书》行为。重点核查医疗机构注册的医务人员与实际在岗人员是否一致，排查长期不在岗或无诊疗行为痕迹（处方、医嘱、病历签字等）留存的人员。县卫生健康局将与县医保局对接，对辖区内医师注册主执业机构与其医保缴费单位信息进行比对，对信息不一致的医师进行重点核查。严厉打击医疗卫生机构超出登记范围开展诊疗活动，使用非卫生技术人员从事医疗卫生技术工作、出具虚假证明文件、制售假药、以医疗名义推广销售所谓“保健”相关用品等违法违规行为，重点核查《医疗机构执业许可证》信息是否准确、法人名称是否已经更换、诊疗科目是否与诊疗行为一致、是否有逾期不校验等情况，情节严重的依法依规停业整顿或吊销其《医疗机构执业许可证》。全面深入排查线索，对于健康体检、医疗美容、生殖（不孕不育）、泌尿、皮肤（性传播疾病）、妇产、肿瘤、眼科等社会办医活跃的领域以及违规开展免疫细胞治疗、干细胞临床研究和治疗等行为线索，举报1例现场核查1例。严厉打击以虚假诊断、夸大病情或疗效、利用“医托”等方式，欺骗、诱使、强迫患者接受诊疗和消费等违法违规行为。依法依规严肃惩治非法获取和买卖器官、角膜等人体组织器官行为。依法依规严厉打击以研究所、研究院等名义非法开展诊疗活动行为。</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二）严厉打击医疗骗保行为。开展打击欺诈骗取医疗保障基金专项治理，查处定点医药机构及其医务人员的骗保行为。在专项治理工作中，实现对定点医药机构检查、举报线索复查、智能监控三个“全覆盖”，实行分类施策，精准打击。对定点医疗机构，重点检查通过虚假宣传、以体检等名目诱导、骗取参保人</w:t>
      </w:r>
      <w:r w:rsidRPr="00E936BC">
        <w:rPr>
          <w:rFonts w:ascii="微软雅黑" w:eastAsia="微软雅黑" w:hAnsi="微软雅黑" w:cs="宋体" w:hint="eastAsia"/>
          <w:color w:val="000000"/>
          <w:kern w:val="0"/>
          <w:sz w:val="24"/>
          <w:szCs w:val="24"/>
        </w:rPr>
        <w:lastRenderedPageBreak/>
        <w:t>员住院的行为。其中，对二级以上公立医疗机构，重点查处分解收费、超标准收费、重复收费、重复检查、套用项目收费、不合理诊疗等行为；对基层医疗卫生机构，重点查处挂床住院、分解住院和无指征住院，串换药品、耗材和诊疗项目的行为；对社会办医疗机构，重点查处虚假住院、诱导参保人员住院，虚构医疗服务、伪造医疗文书票据、挂床住院、盗刷医保卡等行为。</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三）严肃查处发布违法医疗广告和虚假信息的行为。严格医疗广告的审查和公示，落实广告监测制度，重点查处未经卫生健康部门审查和违反《医疗广告审查证明》规定发布医疗广告的行为。加强沟通联系与信息共享，及时通报情况，落实处罚信息公示制度。加强互联网虚假医疗信息监测，对医院自建网站、公众号等自媒体上发布的虚假医疗信息进行清理。加强日常监督管理，将医疗卫生机构发布违法医疗广告和虚假信息情况纳入不良执业行为记分和医疗机构校验管理。</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四）坚决查处不规范收费、乱收费、诱导消费和过度诊疗行为。加强对医疗卫生机构收费行为的监督检查，依法查处拆分手术或检验检查项目收费，未按照要求公示药品、医用材料及医疗服务价格，超标准收费、重复收费等行为。对违反诊疗常规，诱导医疗和过度医疗，特别是术中加价等严重违规行为，纳</w:t>
      </w:r>
      <w:r w:rsidRPr="00E936BC">
        <w:rPr>
          <w:rFonts w:ascii="微软雅黑" w:eastAsia="微软雅黑" w:hAnsi="微软雅黑" w:cs="宋体" w:hint="eastAsia"/>
          <w:color w:val="000000"/>
          <w:spacing w:val="-6"/>
          <w:kern w:val="0"/>
          <w:sz w:val="24"/>
          <w:szCs w:val="24"/>
        </w:rPr>
        <w:t>入医疗卫生机构不良执业行为记分和信用体系管理，并向社会公布。</w:t>
      </w:r>
    </w:p>
    <w:p w:rsidR="00E936BC" w:rsidRPr="00E936BC" w:rsidRDefault="00E936BC" w:rsidP="00E936BC">
      <w:pPr>
        <w:widowControl/>
        <w:shd w:val="clear" w:color="auto" w:fill="FFFFFF"/>
        <w:ind w:firstLine="636"/>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b/>
          <w:bCs/>
          <w:color w:val="000000"/>
          <w:kern w:val="0"/>
          <w:sz w:val="24"/>
          <w:szCs w:val="24"/>
          <w:shd w:val="clear" w:color="auto" w:fill="FFFFFF"/>
        </w:rPr>
        <w:t>四、责任分工</w:t>
      </w:r>
    </w:p>
    <w:p w:rsidR="00E936BC" w:rsidRPr="00E936BC" w:rsidRDefault="00E936BC" w:rsidP="00E936BC">
      <w:pPr>
        <w:widowControl/>
        <w:shd w:val="clear" w:color="auto" w:fill="FFFFFF"/>
        <w:ind w:firstLine="636"/>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专项整治行动由县卫生健康局牵头，县委网信办、县发展改革局、县公安局、县市场监管局、市医保局桓台分局等单位参加。各部门职责分工如下：</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县卫生健康局：</w:t>
      </w:r>
      <w:r w:rsidRPr="00E936BC">
        <w:rPr>
          <w:rFonts w:ascii="微软雅黑" w:eastAsia="微软雅黑" w:hAnsi="微软雅黑" w:cs="宋体" w:hint="eastAsia"/>
          <w:color w:val="000000"/>
          <w:kern w:val="0"/>
          <w:sz w:val="24"/>
          <w:szCs w:val="24"/>
        </w:rPr>
        <w:t>会同各有关部门制订专项整治行动方案，建立专项整治联系协调机制，组织协调各部门开展工作。具体负责检查医疗卫生机构及其医务人</w:t>
      </w:r>
      <w:r w:rsidRPr="00E936BC">
        <w:rPr>
          <w:rFonts w:ascii="微软雅黑" w:eastAsia="微软雅黑" w:hAnsi="微软雅黑" w:cs="宋体" w:hint="eastAsia"/>
          <w:color w:val="000000"/>
          <w:kern w:val="0"/>
          <w:sz w:val="24"/>
          <w:szCs w:val="24"/>
        </w:rPr>
        <w:lastRenderedPageBreak/>
        <w:t>员的诊疗行为及内部管理，收集、整理群众举报线索并依职责转交相关部门查办，对专项行动取得的进展和成果进行宣传。配合建立完善</w:t>
      </w:r>
      <w:r w:rsidRPr="00E936BC">
        <w:rPr>
          <w:rFonts w:ascii="微软雅黑" w:eastAsia="微软雅黑" w:hAnsi="微软雅黑" w:cs="宋体" w:hint="eastAsia"/>
          <w:color w:val="000000"/>
          <w:spacing w:val="-6"/>
          <w:kern w:val="0"/>
          <w:sz w:val="24"/>
          <w:szCs w:val="24"/>
        </w:rPr>
        <w:t>严重失信行为多部门联合惩戒机制，将</w:t>
      </w:r>
      <w:r w:rsidRPr="00E936BC">
        <w:rPr>
          <w:rFonts w:ascii="微软雅黑" w:eastAsia="微软雅黑" w:hAnsi="微软雅黑" w:cs="宋体" w:hint="eastAsia"/>
          <w:color w:val="000000"/>
          <w:kern w:val="0"/>
          <w:sz w:val="24"/>
          <w:szCs w:val="24"/>
        </w:rPr>
        <w:t>医疗乱象办</w:t>
      </w:r>
      <w:r w:rsidRPr="00E936BC">
        <w:rPr>
          <w:rFonts w:ascii="微软雅黑" w:eastAsia="微软雅黑" w:hAnsi="微软雅黑" w:cs="宋体" w:hint="eastAsia"/>
          <w:color w:val="000000"/>
          <w:spacing w:val="-6"/>
          <w:kern w:val="0"/>
          <w:sz w:val="24"/>
          <w:szCs w:val="24"/>
        </w:rPr>
        <w:t>医主体和相关责任人信息按照有关规定及时向省公共信用平台推送。</w:t>
      </w:r>
    </w:p>
    <w:p w:rsidR="00E936BC" w:rsidRPr="00E936BC" w:rsidRDefault="00E936BC" w:rsidP="00E936BC">
      <w:pPr>
        <w:widowControl/>
        <w:shd w:val="clear" w:color="auto" w:fill="FFFFFF"/>
        <w:ind w:firstLine="636"/>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县委网信办：</w:t>
      </w:r>
      <w:r w:rsidRPr="00E936BC">
        <w:rPr>
          <w:rFonts w:ascii="微软雅黑" w:eastAsia="微软雅黑" w:hAnsi="微软雅黑" w:cs="宋体" w:hint="eastAsia"/>
          <w:color w:val="000000"/>
          <w:kern w:val="0"/>
          <w:sz w:val="24"/>
          <w:szCs w:val="24"/>
        </w:rPr>
        <w:t>对相关部门研判定性后转送的违法违规信息及时进行协调处置，协调有关部门做好网上舆论引导工作。</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县发展改革局：</w:t>
      </w:r>
      <w:r w:rsidRPr="00E936BC">
        <w:rPr>
          <w:rFonts w:ascii="微软雅黑" w:eastAsia="微软雅黑" w:hAnsi="微软雅黑" w:cs="宋体" w:hint="eastAsia"/>
          <w:color w:val="000000"/>
          <w:kern w:val="0"/>
          <w:sz w:val="24"/>
          <w:szCs w:val="24"/>
        </w:rPr>
        <w:t>统筹协调全县社会信用体系建设，完善严重失信行为多部门联合惩戒机制。</w:t>
      </w:r>
    </w:p>
    <w:p w:rsidR="00E936BC" w:rsidRPr="00E936BC" w:rsidRDefault="00E936BC" w:rsidP="00E936BC">
      <w:pPr>
        <w:widowControl/>
        <w:shd w:val="clear" w:color="auto" w:fill="FFFFFF"/>
        <w:ind w:firstLine="636"/>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县公安局：</w:t>
      </w:r>
      <w:r w:rsidRPr="00E936BC">
        <w:rPr>
          <w:rFonts w:ascii="微软雅黑" w:eastAsia="微软雅黑" w:hAnsi="微软雅黑" w:cs="宋体" w:hint="eastAsia"/>
          <w:color w:val="000000"/>
          <w:kern w:val="0"/>
          <w:sz w:val="24"/>
          <w:szCs w:val="24"/>
        </w:rPr>
        <w:t>按照行政执法与刑事司法的衔接机制，对卫生健康、网信、市场监管等部门移送的涉嫌犯罪案件，依法审查，符合立案条件的，依法立案侦查。</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县市场监管局：</w:t>
      </w:r>
      <w:r w:rsidRPr="00E936BC">
        <w:rPr>
          <w:rFonts w:ascii="微软雅黑" w:eastAsia="微软雅黑" w:hAnsi="微软雅黑" w:cs="宋体" w:hint="eastAsia"/>
          <w:color w:val="000000"/>
          <w:kern w:val="0"/>
          <w:sz w:val="24"/>
          <w:szCs w:val="24"/>
        </w:rPr>
        <w:t>依法查处虚假宣传、违法医疗广告、乱收费和不正当价格行为，查处医疗机构和相关责任人制售假药相关行为。</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市医保局桓台分局：</w:t>
      </w:r>
      <w:r w:rsidRPr="00E936BC">
        <w:rPr>
          <w:rFonts w:ascii="微软雅黑" w:eastAsia="微软雅黑" w:hAnsi="微软雅黑" w:cs="宋体" w:hint="eastAsia"/>
          <w:color w:val="000000"/>
          <w:kern w:val="0"/>
          <w:sz w:val="24"/>
          <w:szCs w:val="24"/>
        </w:rPr>
        <w:t>对医疗乱象专项整治行动中发现的欺诈骗取医保基</w:t>
      </w:r>
      <w:r w:rsidRPr="00E936BC">
        <w:rPr>
          <w:rFonts w:ascii="微软雅黑" w:eastAsia="微软雅黑" w:hAnsi="微软雅黑" w:cs="宋体" w:hint="eastAsia"/>
          <w:color w:val="000000"/>
          <w:spacing w:val="-6"/>
          <w:kern w:val="0"/>
          <w:sz w:val="24"/>
          <w:szCs w:val="24"/>
        </w:rPr>
        <w:t>金行为的定点医疗机构及相关涉事人员依法依规、严肃处理。</w:t>
      </w:r>
    </w:p>
    <w:p w:rsidR="00E936BC" w:rsidRPr="00E936BC" w:rsidRDefault="00E936BC" w:rsidP="00E936BC">
      <w:pPr>
        <w:widowControl/>
        <w:shd w:val="clear" w:color="auto" w:fill="FFFFFF"/>
        <w:ind w:firstLine="636"/>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b/>
          <w:bCs/>
          <w:color w:val="000000"/>
          <w:kern w:val="0"/>
          <w:sz w:val="24"/>
          <w:szCs w:val="24"/>
          <w:shd w:val="clear" w:color="auto" w:fill="FFFFFF"/>
        </w:rPr>
        <w:t>五、实施步骤</w:t>
      </w:r>
    </w:p>
    <w:p w:rsidR="00E936BC" w:rsidRPr="00E936BC" w:rsidRDefault="00E936BC" w:rsidP="00E936BC">
      <w:pPr>
        <w:widowControl/>
        <w:shd w:val="clear" w:color="auto" w:fill="FFFFFF"/>
        <w:ind w:firstLine="636"/>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专项整治行动时间为2019年6月至2020年2月，分3个阶段实施。</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 （一）集中整治阶段（2019年6月一9月）。</w:t>
      </w:r>
      <w:r w:rsidRPr="00E936BC">
        <w:rPr>
          <w:rFonts w:ascii="微软雅黑" w:eastAsia="微软雅黑" w:hAnsi="微软雅黑" w:cs="宋体" w:hint="eastAsia"/>
          <w:color w:val="000000"/>
          <w:kern w:val="0"/>
          <w:sz w:val="24"/>
          <w:szCs w:val="24"/>
        </w:rPr>
        <w:t>县卫生健康局牵头，会同有关部门建立联合工作机制，制订并发布本县实施方案，启动实施集中整治工作。针对专项整治重点任务，结合日常监督检查，对辖区医疗卫生机构开展集中排查整治，集中排查整治范围实现辖区内医院（含中医院和妇幼保健院）全覆盖，其他类型医疗机构(社区卫生服务中心/站、门诊部、诊所)覆盖50%以上。各级各</w:t>
      </w:r>
      <w:r w:rsidRPr="00E936BC">
        <w:rPr>
          <w:rFonts w:ascii="微软雅黑" w:eastAsia="微软雅黑" w:hAnsi="微软雅黑" w:cs="宋体" w:hint="eastAsia"/>
          <w:color w:val="000000"/>
          <w:kern w:val="0"/>
          <w:sz w:val="24"/>
          <w:szCs w:val="24"/>
        </w:rPr>
        <w:lastRenderedPageBreak/>
        <w:t>类医疗卫生机构要对照专项整治重点任务，开展依法执业教育培训和内部管理自查自纠，坚决禁止医疗乱象行为发生。</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各单位按季度汇总工作情况，分别于2019年6月25日、9月25日前</w:t>
      </w:r>
      <w:r w:rsidRPr="00E936BC">
        <w:rPr>
          <w:rFonts w:ascii="微软雅黑" w:eastAsia="微软雅黑" w:hAnsi="微软雅黑" w:cs="宋体" w:hint="eastAsia"/>
          <w:color w:val="000000"/>
          <w:kern w:val="0"/>
          <w:sz w:val="24"/>
          <w:szCs w:val="24"/>
        </w:rPr>
        <w:t>将专项整治工作总结和《医疗乱象专项整治行动工作量化统计表》（见附件）反馈至县卫生健康局医政科。</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（二）检查评估阶段（2019年10月一2020年1月）。</w:t>
      </w:r>
      <w:r w:rsidRPr="00E936BC">
        <w:rPr>
          <w:rFonts w:ascii="微软雅黑" w:eastAsia="微软雅黑" w:hAnsi="微软雅黑" w:cs="宋体" w:hint="eastAsia"/>
          <w:color w:val="000000"/>
          <w:kern w:val="0"/>
          <w:sz w:val="24"/>
          <w:szCs w:val="24"/>
        </w:rPr>
        <w:t>县卫生健康局会同有关部门对辖区专项整治工作开展情况进行检查评估，重点核查工作落实和举报线索调查处理情况，确保专项整治工作实效。市卫生健康行政部门会同各相关部门对我县工作落实和重点案件、线索查处情况进行抽查，对于工作落实不力、违法违规行为查处不到位的督促整改并严肃问责。</w:t>
      </w:r>
    </w:p>
    <w:p w:rsidR="00E936BC" w:rsidRPr="00E936BC" w:rsidRDefault="00E936BC" w:rsidP="00E936BC">
      <w:pPr>
        <w:widowControl/>
        <w:shd w:val="clear" w:color="auto" w:fill="FFFFFF"/>
        <w:ind w:firstLine="636"/>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shd w:val="clear" w:color="auto" w:fill="FFFFFF"/>
        </w:rPr>
        <w:t>（三）总结阶段（2020年2月）。</w:t>
      </w:r>
      <w:r w:rsidRPr="00E936BC">
        <w:rPr>
          <w:rFonts w:ascii="微软雅黑" w:eastAsia="微软雅黑" w:hAnsi="微软雅黑" w:cs="宋体" w:hint="eastAsia"/>
          <w:color w:val="000000"/>
          <w:kern w:val="0"/>
          <w:sz w:val="24"/>
          <w:szCs w:val="24"/>
        </w:rPr>
        <w:t>各单位汇总专项整治行动工作情况形成总结，填报《医疗乱象专项整治行动工作量化统计表》，一并于2020年1月25日前报送县卫生健康局医政科。各单位可通过专题会、座谈会、培训班等形式对专项整治行动情况进行总结交流。</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b/>
          <w:bCs/>
          <w:color w:val="000000"/>
          <w:kern w:val="0"/>
          <w:sz w:val="24"/>
          <w:szCs w:val="24"/>
        </w:rPr>
        <w:t>六、工作要求</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一）切实加强组织领导。各部门、各医疗卫生单位要充分认识医疗乱象专项整治行动对维护行业信誉，保护群众健康权益的重要意义。县卫生健康行政部门要切实加强组织领导，协调建立多部门联合协作机制，结合实际制订多部门参加的工作方案，细化措施，明确分工，发挥合力，保障行动的顺利开展。各有关单位要主动作为，层层落实责任，建立问责机制，对存在不认真履行职责、失职、渎职等行为的主管部门和工作人员依法严厉问责。</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lastRenderedPageBreak/>
        <w:t>（二）强化打击高压态势。要将依法依规打击作为整治行动的重要内容和有效抓手，贯穿行动全过程，发挥联合执法优势，切实形成打击医疗乱象、维护群众健康权益的高压态势。要充分发挥社会监督的作用，县卫生健康行政部门牵头设立医疗乱象监督举报专线并向社会公布，各有关部门要积极拓展举报热线、网络平台、微信公众号等信息沟通渠道，广泛征集相关线索。建立举报线索处理台账，按照职责分工及时向有关部门、单位转交、转办举报线索，实现举报线索核查全覆盖，做到有案必查、违法必究。对整治过程中发现的违法违规行为要依法依规坚决打击，曝光一批典型违法违规案件，清理整顿一批管理不规范的医疗机构，发挥震慑作用。</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三）广泛开展宣传教育。县卫生健康行政部门要广泛开展专项行动宣传，邀请新闻媒体结合典型案例处理等，开展跟踪式报道，通过新闻媒体、官方网站、新媒体平台等渠道，对重点案例查处情况进行曝光，对损害人民群众切身利益的违法违规分子进行舆论震慑。要加强对医务人员依法执业教育，树立良好医德医风，大力宣传卫生健康部门净化行业环境，促进行业规范有序发展的有力举措，为专项行动顺利开展营造良好的舆论氛围。要有针对性开展健康教育和普法宣传活动，引导广大群众识别非法、虚假医疗信息，自觉抵制非法行医、骗取医保基金等行为。</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四）建立健全长效机制。针对医疗乱象整治发现的共性问题和薄弱环节，进一步完善制度规范、加强日常监管，推动医疗监管长效机制建设，兜住医疗质量安全网底，坚守医疗质量安全底线。坚持目标导向与问题导向相结合、专项整治与行风建设相结合，实行开放式整改，充分发挥社会监督、舆论监督、法制监督的作用，贯彻落实《关于改革完善医疗卫生行业综合监管制度的指导意见》，</w:t>
      </w:r>
      <w:r w:rsidRPr="00E936BC">
        <w:rPr>
          <w:rFonts w:ascii="微软雅黑" w:eastAsia="微软雅黑" w:hAnsi="微软雅黑" w:cs="宋体" w:hint="eastAsia"/>
          <w:color w:val="000000"/>
          <w:kern w:val="0"/>
          <w:sz w:val="24"/>
          <w:szCs w:val="24"/>
        </w:rPr>
        <w:lastRenderedPageBreak/>
        <w:t>推进医疗机构切实落实主体责任，充分发挥行业学（协）会等社会组织的作用，建立部门之间沟通协调、联合执法、信息共享、联合惩戒等具有长效性、稳定性和约束力的工作机制。</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县卫生健康局医疗乱象投诉举报电话：8218609（受理时间：工作日：上午8:30-11:30、下午13:30-17:00）。</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p w:rsidR="00E936BC" w:rsidRPr="00E936BC" w:rsidRDefault="00E936BC" w:rsidP="00E936BC">
      <w:pPr>
        <w:widowControl/>
        <w:ind w:firstLine="636"/>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附件：医疗乱象专项整治行动工作量化统计表</w:t>
      </w:r>
    </w:p>
    <w:p w:rsidR="00E936BC" w:rsidRPr="00E936BC" w:rsidRDefault="00E936BC" w:rsidP="00E936BC">
      <w:pPr>
        <w:widowControl/>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br w:type="textWrapping" w:clear="all"/>
        <w:t>         附件</w:t>
      </w:r>
    </w:p>
    <w:p w:rsidR="00E936BC" w:rsidRPr="00E936BC" w:rsidRDefault="00E936BC" w:rsidP="00E936BC">
      <w:pPr>
        <w:widowControl/>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p w:rsidR="00E936BC" w:rsidRPr="00E936BC" w:rsidRDefault="00E936BC" w:rsidP="00E936BC">
      <w:pPr>
        <w:widowControl/>
        <w:jc w:val="center"/>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b/>
          <w:bCs/>
          <w:color w:val="000000"/>
          <w:kern w:val="0"/>
          <w:sz w:val="24"/>
          <w:szCs w:val="24"/>
        </w:rPr>
        <w:t>医疗乱象专项整治行动工作量化统计表</w:t>
      </w:r>
    </w:p>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p w:rsidR="00E936BC" w:rsidRPr="00E936BC" w:rsidRDefault="00E936BC" w:rsidP="00E936BC">
      <w:pPr>
        <w:widowControl/>
        <w:jc w:val="center"/>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u w:val="single"/>
        </w:rPr>
        <w:t>         </w:t>
      </w:r>
      <w:r w:rsidRPr="00E936BC">
        <w:rPr>
          <w:rFonts w:ascii="微软雅黑" w:eastAsia="微软雅黑" w:hAnsi="微软雅黑" w:cs="宋体" w:hint="eastAsia"/>
          <w:color w:val="000000"/>
          <w:kern w:val="0"/>
          <w:sz w:val="24"/>
          <w:szCs w:val="24"/>
        </w:rPr>
        <w:t>区县                 20</w:t>
      </w:r>
      <w:r w:rsidRPr="00E936BC">
        <w:rPr>
          <w:rFonts w:ascii="微软雅黑" w:eastAsia="微软雅黑" w:hAnsi="微软雅黑" w:cs="宋体" w:hint="eastAsia"/>
          <w:color w:val="000000"/>
          <w:kern w:val="0"/>
          <w:sz w:val="24"/>
          <w:szCs w:val="24"/>
          <w:u w:val="single"/>
        </w:rPr>
        <w:t>  </w:t>
      </w:r>
      <w:r w:rsidRPr="00E936BC">
        <w:rPr>
          <w:rFonts w:ascii="微软雅黑" w:eastAsia="微软雅黑" w:hAnsi="微软雅黑" w:cs="宋体" w:hint="eastAsia"/>
          <w:color w:val="000000"/>
          <w:kern w:val="0"/>
          <w:sz w:val="24"/>
          <w:szCs w:val="24"/>
        </w:rPr>
        <w:t>年</w:t>
      </w:r>
      <w:r w:rsidRPr="00E936BC">
        <w:rPr>
          <w:rFonts w:ascii="微软雅黑" w:eastAsia="微软雅黑" w:hAnsi="微软雅黑" w:cs="宋体" w:hint="eastAsia"/>
          <w:color w:val="000000"/>
          <w:kern w:val="0"/>
          <w:sz w:val="24"/>
          <w:szCs w:val="24"/>
          <w:u w:val="single"/>
        </w:rPr>
        <w:t>  </w:t>
      </w:r>
      <w:r w:rsidRPr="00E936BC">
        <w:rPr>
          <w:rFonts w:ascii="微软雅黑" w:eastAsia="微软雅黑" w:hAnsi="微软雅黑" w:cs="宋体" w:hint="eastAsia"/>
          <w:color w:val="000000"/>
          <w:kern w:val="0"/>
          <w:sz w:val="24"/>
          <w:szCs w:val="24"/>
        </w:rPr>
        <w:t>月--</w:t>
      </w:r>
      <w:r w:rsidRPr="00E936BC">
        <w:rPr>
          <w:rFonts w:ascii="微软雅黑" w:eastAsia="微软雅黑" w:hAnsi="微软雅黑" w:cs="宋体" w:hint="eastAsia"/>
          <w:color w:val="000000"/>
          <w:kern w:val="0"/>
          <w:sz w:val="24"/>
          <w:szCs w:val="24"/>
          <w:u w:val="single"/>
        </w:rPr>
        <w:t>20  </w:t>
      </w:r>
      <w:r w:rsidRPr="00E936BC">
        <w:rPr>
          <w:rFonts w:ascii="微软雅黑" w:eastAsia="微软雅黑" w:hAnsi="微软雅黑" w:cs="宋体" w:hint="eastAsia"/>
          <w:color w:val="000000"/>
          <w:kern w:val="0"/>
          <w:sz w:val="24"/>
          <w:szCs w:val="24"/>
        </w:rPr>
        <w:t>年</w:t>
      </w:r>
      <w:r w:rsidRPr="00E936BC">
        <w:rPr>
          <w:rFonts w:ascii="微软雅黑" w:eastAsia="微软雅黑" w:hAnsi="微软雅黑" w:cs="宋体" w:hint="eastAsia"/>
          <w:color w:val="000000"/>
          <w:kern w:val="0"/>
          <w:sz w:val="24"/>
          <w:szCs w:val="24"/>
          <w:u w:val="single"/>
        </w:rPr>
        <w:t>  </w:t>
      </w:r>
      <w:r w:rsidRPr="00E936BC">
        <w:rPr>
          <w:rFonts w:ascii="微软雅黑" w:eastAsia="微软雅黑" w:hAnsi="微软雅黑" w:cs="宋体" w:hint="eastAsia"/>
          <w:color w:val="000000"/>
          <w:kern w:val="0"/>
          <w:sz w:val="24"/>
          <w:szCs w:val="24"/>
        </w:rPr>
        <w:t>月</w:t>
      </w:r>
    </w:p>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一、二级以上公立医疗机构</w:t>
      </w:r>
    </w:p>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tbl>
      <w:tblPr>
        <w:tblW w:w="8522" w:type="dxa"/>
        <w:jc w:val="center"/>
        <w:tblCellMar>
          <w:left w:w="0" w:type="dxa"/>
          <w:right w:w="0" w:type="dxa"/>
        </w:tblCellMar>
        <w:tblLook w:val="04A0" w:firstRow="1" w:lastRow="0" w:firstColumn="1" w:lastColumn="0" w:noHBand="0" w:noVBand="1"/>
      </w:tblPr>
      <w:tblGrid>
        <w:gridCol w:w="2393"/>
        <w:gridCol w:w="2393"/>
        <w:gridCol w:w="1844"/>
        <w:gridCol w:w="1892"/>
      </w:tblGrid>
      <w:tr w:rsidR="00E936BC" w:rsidRPr="00E936BC" w:rsidTr="00E936BC">
        <w:trPr>
          <w:trHeight w:val="484"/>
          <w:jc w:val="center"/>
        </w:trPr>
        <w:tc>
          <w:tcPr>
            <w:tcW w:w="478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机构类型</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辖区内总数</w:t>
            </w:r>
          </w:p>
        </w:tc>
        <w:tc>
          <w:tcPr>
            <w:tcW w:w="18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检查数量</w:t>
            </w:r>
          </w:p>
        </w:tc>
      </w:tr>
      <w:tr w:rsidR="00E936BC" w:rsidRPr="00E936BC" w:rsidTr="00E936BC">
        <w:trPr>
          <w:trHeight w:val="484"/>
          <w:jc w:val="center"/>
        </w:trPr>
        <w:tc>
          <w:tcPr>
            <w:tcW w:w="23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二级以上公立医院</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综合医院</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18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484"/>
          <w:jc w:val="center"/>
        </w:trPr>
        <w:tc>
          <w:tcPr>
            <w:tcW w:w="0" w:type="auto"/>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专科医院</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484"/>
          <w:jc w:val="center"/>
        </w:trPr>
        <w:tc>
          <w:tcPr>
            <w:tcW w:w="0" w:type="auto"/>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中医类医院</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408"/>
          <w:jc w:val="center"/>
        </w:trPr>
        <w:tc>
          <w:tcPr>
            <w:tcW w:w="47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二级以上妇幼保健院</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408"/>
          <w:jc w:val="center"/>
        </w:trPr>
        <w:tc>
          <w:tcPr>
            <w:tcW w:w="47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其他</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bl>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tbl>
      <w:tblPr>
        <w:tblW w:w="8522" w:type="dxa"/>
        <w:jc w:val="center"/>
        <w:tblCellMar>
          <w:left w:w="0" w:type="dxa"/>
          <w:right w:w="0" w:type="dxa"/>
        </w:tblCellMar>
        <w:tblLook w:val="04A0" w:firstRow="1" w:lastRow="0" w:firstColumn="1" w:lastColumn="0" w:noHBand="0" w:noVBand="1"/>
      </w:tblPr>
      <w:tblGrid>
        <w:gridCol w:w="3262"/>
        <w:gridCol w:w="107"/>
        <w:gridCol w:w="3261"/>
        <w:gridCol w:w="990"/>
        <w:gridCol w:w="902"/>
      </w:tblGrid>
      <w:tr w:rsidR="00E936BC" w:rsidRPr="00E936BC" w:rsidTr="00E936BC">
        <w:trPr>
          <w:trHeight w:val="170"/>
          <w:jc w:val="center"/>
        </w:trPr>
        <w:tc>
          <w:tcPr>
            <w:tcW w:w="663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lastRenderedPageBreak/>
              <w:t>发现、处理违法违规行为情况</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数量</w:t>
            </w:r>
          </w:p>
        </w:tc>
        <w:tc>
          <w:tcPr>
            <w:tcW w:w="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单位</w:t>
            </w:r>
          </w:p>
        </w:tc>
      </w:tr>
      <w:tr w:rsidR="00E936BC" w:rsidRPr="00E936BC" w:rsidTr="00E936BC">
        <w:trPr>
          <w:trHeight w:val="365"/>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医师出租、出借、转让《医师执业证书》(挂证)</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left"/>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起</w:t>
            </w:r>
          </w:p>
        </w:tc>
      </w:tr>
      <w:tr w:rsidR="00E936BC" w:rsidRPr="00E936BC" w:rsidTr="00E936BC">
        <w:trPr>
          <w:trHeight w:val="399"/>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无证行医</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医疗机构买卖、转让、租借《医疗机构执业许可证》或《医师执业证书》</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444"/>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超出登记范围开展诊疗活动</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408"/>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使用非卫生技术人员从事医疗卫生技术工作</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408"/>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医疗机构空挂科目</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32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违规开展禁止类技术</w:t>
            </w:r>
          </w:p>
        </w:tc>
        <w:tc>
          <w:tcPr>
            <w:tcW w:w="33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免疫细胞治疗</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3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其他</w:t>
            </w:r>
          </w:p>
        </w:tc>
        <w:tc>
          <w:tcPr>
            <w:tcW w:w="990" w:type="dxa"/>
            <w:tcBorders>
              <w:top w:val="nil"/>
              <w:left w:val="nil"/>
              <w:bottom w:val="nil"/>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违规开展限制类技术</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违规开展干细胞临床研究和治疗</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制售假药</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出具虚假证明</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违规获取或开展角膜移植</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违规开展肝、肾、心、肺等大器官移植</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未按要求公示药品、医用材料及医疗服务价格</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乱收费和不正当价格行为</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欺骗、强迫诊疗或消费，诱导医疗或过度医疗等违法违规行为</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医疗机构名称不规范</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其他违反医疗法律法规行为</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lastRenderedPageBreak/>
              <w:t>骗取医疗保险基金</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清理违法广告</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条</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关闭或整改网站、微信群、QQ群、微博、微信公众号等网络媒体</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约谈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通报</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停业整顿</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注销许可</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撤销许可</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降低等级</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执业许可证延期校验</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医疗广告申请延期批复</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撤销医疗广告审批证明</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行政处罚机构情况</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数量</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单位</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吊销医疗机构执业许可证</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警告</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暂停执业</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吊销诊疗科目</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罚款（    万元）</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没收违法所得（     万元）</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予以行政处罚的机构总数</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lastRenderedPageBreak/>
              <w:t>处理人员情况</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数量</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单位</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行政处分</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人</w:t>
            </w:r>
          </w:p>
        </w:tc>
      </w:tr>
      <w:tr w:rsidR="00E936BC" w:rsidRPr="00E936BC" w:rsidTr="00E936BC">
        <w:trPr>
          <w:trHeight w:val="1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注销执业证书</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撤销执业证书</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吊销执业证书</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人</w:t>
            </w: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暂停执业</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移送司法机关</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其他人员</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2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合计</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行政处理</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2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行政处罚</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2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移送司法机关</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bl>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lastRenderedPageBreak/>
        <w:t> </w:t>
      </w:r>
    </w:p>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二、其他类型公立医疗机构</w:t>
      </w:r>
    </w:p>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tbl>
      <w:tblPr>
        <w:tblW w:w="8522" w:type="dxa"/>
        <w:jc w:val="center"/>
        <w:tblCellMar>
          <w:left w:w="0" w:type="dxa"/>
          <w:right w:w="0" w:type="dxa"/>
        </w:tblCellMar>
        <w:tblLook w:val="04A0" w:firstRow="1" w:lastRow="0" w:firstColumn="1" w:lastColumn="0" w:noHBand="0" w:noVBand="1"/>
      </w:tblPr>
      <w:tblGrid>
        <w:gridCol w:w="4786"/>
        <w:gridCol w:w="3736"/>
      </w:tblGrid>
      <w:tr w:rsidR="00E936BC" w:rsidRPr="00E936BC" w:rsidTr="00E936BC">
        <w:trPr>
          <w:trHeight w:val="484"/>
          <w:jc w:val="center"/>
        </w:trPr>
        <w:tc>
          <w:tcPr>
            <w:tcW w:w="4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机构类型</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检查数量</w:t>
            </w:r>
          </w:p>
        </w:tc>
      </w:tr>
      <w:tr w:rsidR="00E936BC" w:rsidRPr="00E936BC" w:rsidTr="00E936BC">
        <w:trPr>
          <w:trHeight w:val="484"/>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一级医院、社区卫生服务中心、中心卫生院、乡（镇）卫生院等</w:t>
            </w:r>
          </w:p>
        </w:tc>
        <w:tc>
          <w:tcPr>
            <w:tcW w:w="3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484"/>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诊所、医务室、卫生站等</w:t>
            </w:r>
          </w:p>
        </w:tc>
        <w:tc>
          <w:tcPr>
            <w:tcW w:w="3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484"/>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其他</w:t>
            </w:r>
          </w:p>
        </w:tc>
        <w:tc>
          <w:tcPr>
            <w:tcW w:w="3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bl>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tbl>
      <w:tblPr>
        <w:tblW w:w="8522" w:type="dxa"/>
        <w:jc w:val="center"/>
        <w:tblCellMar>
          <w:left w:w="0" w:type="dxa"/>
          <w:right w:w="0" w:type="dxa"/>
        </w:tblCellMar>
        <w:tblLook w:val="04A0" w:firstRow="1" w:lastRow="0" w:firstColumn="1" w:lastColumn="0" w:noHBand="0" w:noVBand="1"/>
      </w:tblPr>
      <w:tblGrid>
        <w:gridCol w:w="3262"/>
        <w:gridCol w:w="107"/>
        <w:gridCol w:w="3261"/>
        <w:gridCol w:w="990"/>
        <w:gridCol w:w="902"/>
      </w:tblGrid>
      <w:tr w:rsidR="00E936BC" w:rsidRPr="00E936BC" w:rsidTr="00E936BC">
        <w:trPr>
          <w:trHeight w:val="170"/>
          <w:jc w:val="center"/>
        </w:trPr>
        <w:tc>
          <w:tcPr>
            <w:tcW w:w="663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发现、处理违法违规行为情况</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数量</w:t>
            </w:r>
          </w:p>
        </w:tc>
        <w:tc>
          <w:tcPr>
            <w:tcW w:w="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单位</w:t>
            </w:r>
          </w:p>
        </w:tc>
      </w:tr>
      <w:tr w:rsidR="00E936BC" w:rsidRPr="00E936BC" w:rsidTr="00E936BC">
        <w:trPr>
          <w:trHeight w:val="412"/>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医师出租、出借、转让《医师执业证书》(挂证)</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起</w:t>
            </w:r>
          </w:p>
        </w:tc>
      </w:tr>
      <w:tr w:rsidR="00E936BC" w:rsidRPr="00E936BC" w:rsidTr="00E936BC">
        <w:trPr>
          <w:trHeight w:val="399"/>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无证行医</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694"/>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医疗机构买卖、转让、租借《医疗机构执业许可证》或《医师执业证书》</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465"/>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超出登记范围开展诊疗活动</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415"/>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使用非卫生技术人员从事医疗卫生技术工作</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408"/>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医疗机构空挂科目</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32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违规开展禁止类技术</w:t>
            </w:r>
          </w:p>
        </w:tc>
        <w:tc>
          <w:tcPr>
            <w:tcW w:w="33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免疫细胞治疗</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3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其他</w:t>
            </w:r>
          </w:p>
        </w:tc>
        <w:tc>
          <w:tcPr>
            <w:tcW w:w="990" w:type="dxa"/>
            <w:tcBorders>
              <w:top w:val="nil"/>
              <w:left w:val="nil"/>
              <w:bottom w:val="nil"/>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违规开展限制类技术</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违规开展干细胞临床研究和治疗</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lastRenderedPageBreak/>
              <w:t>制售假药</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出具虚假证明</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违规获取或开展角膜移植</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违规开展肝、肾、心、肺等大器官移植</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未按要求公示药品、医用材料及医疗服务价格</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乱收费和不正当价格行为</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欺骗、强迫诊疗或消费，诱导医疗或过度医疗等违法违规行为</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医疗机构名称不规范</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其他违反医疗法律法规行为</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骗取医疗保险基金</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清理违法广告</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条</w:t>
            </w:r>
          </w:p>
        </w:tc>
      </w:tr>
      <w:tr w:rsidR="00E936BC" w:rsidRPr="00E936BC" w:rsidTr="00E936BC">
        <w:trPr>
          <w:trHeight w:val="583"/>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关闭或整改网站、微信群、QQ群、微博、微信公众号等网络媒体</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约谈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通报</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停业整顿</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注销许可</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撤销许可</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执业许可证延期校验</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医疗广告申请延期批复</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撤销医疗广告审批证明</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lastRenderedPageBreak/>
              <w:t>行政处罚机构情况</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数量</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单位</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吊销医疗机构执业许可证</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警告</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暂停执业</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吊销诊疗科目</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罚款（    万元）</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没收违法所得（     万元）</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予以行政处罚的机构总数</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处理人员情况</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数量</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单位</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行政处分</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人</w:t>
            </w:r>
          </w:p>
        </w:tc>
      </w:tr>
      <w:tr w:rsidR="00E936BC" w:rsidRPr="00E936BC" w:rsidTr="00E936BC">
        <w:trPr>
          <w:trHeight w:val="1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注销执业证书</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撤销执业证书</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吊销执业证书</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人</w:t>
            </w: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暂停执业</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移送司法机关</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其他人员</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2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合计</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行政处理</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2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行政处罚</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2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移送司法机关</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bl>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三、二级以上社会办医疗机构</w:t>
      </w:r>
    </w:p>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tbl>
      <w:tblPr>
        <w:tblW w:w="8522" w:type="dxa"/>
        <w:jc w:val="center"/>
        <w:tblCellMar>
          <w:left w:w="0" w:type="dxa"/>
          <w:right w:w="0" w:type="dxa"/>
        </w:tblCellMar>
        <w:tblLook w:val="04A0" w:firstRow="1" w:lastRow="0" w:firstColumn="1" w:lastColumn="0" w:noHBand="0" w:noVBand="1"/>
      </w:tblPr>
      <w:tblGrid>
        <w:gridCol w:w="4786"/>
        <w:gridCol w:w="1844"/>
        <w:gridCol w:w="1892"/>
      </w:tblGrid>
      <w:tr w:rsidR="00E936BC" w:rsidRPr="00E936BC" w:rsidTr="00E936BC">
        <w:trPr>
          <w:trHeight w:val="484"/>
          <w:jc w:val="center"/>
        </w:trPr>
        <w:tc>
          <w:tcPr>
            <w:tcW w:w="4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机构类型</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辖区内总数</w:t>
            </w:r>
          </w:p>
        </w:tc>
        <w:tc>
          <w:tcPr>
            <w:tcW w:w="18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检查数量</w:t>
            </w:r>
          </w:p>
        </w:tc>
      </w:tr>
      <w:tr w:rsidR="00E936BC" w:rsidRPr="00E936BC" w:rsidTr="00E936BC">
        <w:trPr>
          <w:trHeight w:val="484"/>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综合医院</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484"/>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专科医院</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484"/>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中医类医院</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484"/>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其他</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bl>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tbl>
      <w:tblPr>
        <w:tblW w:w="8522" w:type="dxa"/>
        <w:jc w:val="center"/>
        <w:tblCellMar>
          <w:left w:w="0" w:type="dxa"/>
          <w:right w:w="0" w:type="dxa"/>
        </w:tblCellMar>
        <w:tblLook w:val="04A0" w:firstRow="1" w:lastRow="0" w:firstColumn="1" w:lastColumn="0" w:noHBand="0" w:noVBand="1"/>
      </w:tblPr>
      <w:tblGrid>
        <w:gridCol w:w="3262"/>
        <w:gridCol w:w="107"/>
        <w:gridCol w:w="3261"/>
        <w:gridCol w:w="990"/>
        <w:gridCol w:w="902"/>
      </w:tblGrid>
      <w:tr w:rsidR="00E936BC" w:rsidRPr="00E936BC" w:rsidTr="00E936BC">
        <w:trPr>
          <w:trHeight w:val="170"/>
          <w:jc w:val="center"/>
        </w:trPr>
        <w:tc>
          <w:tcPr>
            <w:tcW w:w="663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发现、处理违法违规行为情况</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数量</w:t>
            </w:r>
          </w:p>
        </w:tc>
        <w:tc>
          <w:tcPr>
            <w:tcW w:w="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单位</w:t>
            </w:r>
          </w:p>
        </w:tc>
      </w:tr>
      <w:tr w:rsidR="00E936BC" w:rsidRPr="00E936BC" w:rsidTr="00E936BC">
        <w:trPr>
          <w:trHeight w:val="549"/>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医师出租、出借、转让《医师执业证书》(挂证)</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起</w:t>
            </w:r>
          </w:p>
        </w:tc>
      </w:tr>
      <w:tr w:rsidR="00E936BC" w:rsidRPr="00E936BC" w:rsidTr="00E936BC">
        <w:trPr>
          <w:trHeight w:val="399"/>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无证行医</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576"/>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医疗机构买卖、转让、租借《医疗机构执业许可证》或《医师</w:t>
            </w:r>
            <w:r w:rsidRPr="00E936BC">
              <w:rPr>
                <w:rFonts w:ascii="微软雅黑" w:eastAsia="微软雅黑" w:hAnsi="微软雅黑" w:cs="宋体" w:hint="eastAsia"/>
                <w:color w:val="000000"/>
                <w:kern w:val="0"/>
                <w:sz w:val="24"/>
                <w:szCs w:val="24"/>
              </w:rPr>
              <w:lastRenderedPageBreak/>
              <w:t>执业证书》</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lastRenderedPageBreak/>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475"/>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lastRenderedPageBreak/>
              <w:t>超出登记范围开展诊疗活动</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411"/>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使用非卫生技术人员从事医疗卫生技术工作</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408"/>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医疗机构空挂科目</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32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违规开展禁止类技术</w:t>
            </w:r>
          </w:p>
        </w:tc>
        <w:tc>
          <w:tcPr>
            <w:tcW w:w="33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免疫细胞治疗</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3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其他</w:t>
            </w:r>
          </w:p>
        </w:tc>
        <w:tc>
          <w:tcPr>
            <w:tcW w:w="990" w:type="dxa"/>
            <w:tcBorders>
              <w:top w:val="nil"/>
              <w:left w:val="nil"/>
              <w:bottom w:val="nil"/>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违规开展限制类技术</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违规开展干细胞临床研究和治疗</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制售假药</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出具虚假证明</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违规获取或开展角膜移植</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违规开展肝、肾、心、肺等大器官移植</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未按要求公示药品、医用材料及医疗服务价格</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乱收费和不正当价格行为</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欺骗、强迫诊疗或消费，诱导医疗或过度医疗等违法违规行为</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医疗机构名称不规范</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其他违反医疗法律法规行为</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骗取医疗保险基金</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清理违法广告</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条</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关闭或整改网站、微信群、QQ群、微博、微信公众号等网络媒体</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lastRenderedPageBreak/>
              <w:t>约谈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通报</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停业整顿</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注销许可</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撤销许可</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降低等级</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执业许可证延期校验</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医疗广告申请延期批复</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撤销医疗广告审批证明</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行政处罚机构情况</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数量</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单位</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吊销医疗机构执业许可证</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警告</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暂停执业</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吊销诊疗科目</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罚款（    万元）</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没收违法所得（     万元）</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予以行政处罚的机构总数</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处理人员情况</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数量</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单位</w:t>
            </w:r>
          </w:p>
        </w:tc>
      </w:tr>
      <w:tr w:rsidR="00E936BC" w:rsidRPr="00E936BC" w:rsidTr="00E936BC">
        <w:trPr>
          <w:trHeight w:val="17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行政处分</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人</w:t>
            </w:r>
          </w:p>
        </w:tc>
      </w:tr>
      <w:tr w:rsidR="00E936BC" w:rsidRPr="00E936BC" w:rsidTr="00E936BC">
        <w:trPr>
          <w:trHeight w:val="1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注销执业证书</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撤销执业证书</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1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吊销执业证书</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人</w:t>
            </w: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暂停执业</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移送司法机关</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1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其他人员</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17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27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合计</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行政处理</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2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行政处罚</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2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移送司法机关</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bl>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四、其他社会办医疗机构</w:t>
      </w:r>
    </w:p>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tbl>
      <w:tblPr>
        <w:tblW w:w="8522" w:type="dxa"/>
        <w:jc w:val="center"/>
        <w:tblCellMar>
          <w:left w:w="0" w:type="dxa"/>
          <w:right w:w="0" w:type="dxa"/>
        </w:tblCellMar>
        <w:tblLook w:val="04A0" w:firstRow="1" w:lastRow="0" w:firstColumn="1" w:lastColumn="0" w:noHBand="0" w:noVBand="1"/>
      </w:tblPr>
      <w:tblGrid>
        <w:gridCol w:w="4786"/>
        <w:gridCol w:w="1844"/>
        <w:gridCol w:w="1892"/>
      </w:tblGrid>
      <w:tr w:rsidR="00E936BC" w:rsidRPr="00E936BC" w:rsidTr="00E936BC">
        <w:trPr>
          <w:trHeight w:val="484"/>
          <w:jc w:val="center"/>
        </w:trPr>
        <w:tc>
          <w:tcPr>
            <w:tcW w:w="4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机构类型</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辖区内总数</w:t>
            </w:r>
          </w:p>
        </w:tc>
        <w:tc>
          <w:tcPr>
            <w:tcW w:w="18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检查数量</w:t>
            </w:r>
          </w:p>
        </w:tc>
      </w:tr>
      <w:tr w:rsidR="00E936BC" w:rsidRPr="00E936BC" w:rsidTr="00E936BC">
        <w:trPr>
          <w:trHeight w:val="484"/>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lastRenderedPageBreak/>
              <w:t>独立设置的体检中心</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484"/>
          <w:jc w:val="center"/>
        </w:trPr>
        <w:tc>
          <w:tcPr>
            <w:tcW w:w="663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血液透析中心、医学检验实验室等其他独立设置的医疗机构</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484"/>
          <w:jc w:val="center"/>
        </w:trPr>
        <w:tc>
          <w:tcPr>
            <w:tcW w:w="663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一级医院、门诊部、诊所等其他类型机构</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40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bl>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tbl>
      <w:tblPr>
        <w:tblW w:w="8522" w:type="dxa"/>
        <w:jc w:val="center"/>
        <w:tblCellMar>
          <w:left w:w="0" w:type="dxa"/>
          <w:right w:w="0" w:type="dxa"/>
        </w:tblCellMar>
        <w:tblLook w:val="04A0" w:firstRow="1" w:lastRow="0" w:firstColumn="1" w:lastColumn="0" w:noHBand="0" w:noVBand="1"/>
      </w:tblPr>
      <w:tblGrid>
        <w:gridCol w:w="3262"/>
        <w:gridCol w:w="107"/>
        <w:gridCol w:w="3261"/>
        <w:gridCol w:w="990"/>
        <w:gridCol w:w="902"/>
      </w:tblGrid>
      <w:tr w:rsidR="00E936BC" w:rsidRPr="00E936BC" w:rsidTr="00E936BC">
        <w:trPr>
          <w:trHeight w:val="340"/>
          <w:jc w:val="center"/>
        </w:trPr>
        <w:tc>
          <w:tcPr>
            <w:tcW w:w="663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发现、处理违法违规行为情况</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数量</w:t>
            </w:r>
          </w:p>
        </w:tc>
        <w:tc>
          <w:tcPr>
            <w:tcW w:w="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单位</w:t>
            </w: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医师出租、出借、转让《医师执业证书》(挂证)</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起</w:t>
            </w: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无证行医</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医疗机构买卖、转让、租借《医疗机构执业许可证》或《医师执业证书》</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超出登记范围开展诊疗活动</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使用非卫生技术人员从事医疗卫生技术工作</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医疗机构空挂科目</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32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违规开展禁止类技术</w:t>
            </w:r>
          </w:p>
        </w:tc>
        <w:tc>
          <w:tcPr>
            <w:tcW w:w="33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免疫细胞治疗</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0" w:type="auto"/>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3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其他</w:t>
            </w:r>
          </w:p>
        </w:tc>
        <w:tc>
          <w:tcPr>
            <w:tcW w:w="990" w:type="dxa"/>
            <w:tcBorders>
              <w:top w:val="nil"/>
              <w:left w:val="nil"/>
              <w:bottom w:val="nil"/>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违规开展限制类技术</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违规开展干细胞临床研究和治疗</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制售假药</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出具虚假证明</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违规获取或开展角膜移植</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违规开展肝、肾、心、肺等大器官移植</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未按要求公示药品、医用材料及医疗服务价格</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lastRenderedPageBreak/>
              <w:t>乱收费和不正当价格行为</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欺骗、强迫诊疗或消费，诱导医疗或过度医疗等违法违规行为</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医疗机构名称不规范</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其他违反医疗法律法规行为</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骗取医疗保险基金</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清理违法广告</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条</w:t>
            </w: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关闭或整改网站、微信群、QQ群、微博、微信公众号等网络媒体</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约谈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通报</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停业整顿</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注销许可</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撤销许可</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降低等级</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执业许可证延期校验</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医疗广告申请延期批复</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撤销医疗广告审批证明</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行政处罚机构情况</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数量</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单位</w:t>
            </w: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吊销医疗机构执业许可证</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个</w:t>
            </w: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警告</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暂停执业</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lastRenderedPageBreak/>
              <w:t>吊销诊疗科目</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罚款（    万元）</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没收违法所得（     万元）</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予以行政处罚的机构总数</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处理人员情况</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数量</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单位</w:t>
            </w:r>
          </w:p>
        </w:tc>
      </w:tr>
      <w:tr w:rsidR="00E936BC" w:rsidRPr="00E936BC" w:rsidTr="00E936BC">
        <w:trPr>
          <w:trHeight w:val="340"/>
          <w:jc w:val="center"/>
        </w:trPr>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行政处分</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人</w:t>
            </w:r>
          </w:p>
        </w:tc>
      </w:tr>
      <w:tr w:rsidR="00E936BC" w:rsidRPr="00E936BC" w:rsidTr="00E936BC">
        <w:trPr>
          <w:trHeight w:val="34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注销执业证书</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34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34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34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撤销执业证书</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34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34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r>
      <w:tr w:rsidR="00E936BC" w:rsidRPr="00E936BC" w:rsidTr="00E936BC">
        <w:trPr>
          <w:trHeight w:val="34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吊销执业证书</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9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人</w:t>
            </w:r>
          </w:p>
        </w:tc>
      </w:tr>
      <w:tr w:rsidR="00E936BC" w:rsidRPr="00E936BC" w:rsidTr="00E936BC">
        <w:trPr>
          <w:trHeight w:val="34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暂停执业</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移送司法机关</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医师</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护士</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乡村医生</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其他人员</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336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合计</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行政处理</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行政处罚</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r w:rsidR="00E936BC" w:rsidRPr="00E936BC" w:rsidTr="00E936BC">
        <w:trPr>
          <w:trHeight w:val="34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移送司法机关</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36BC" w:rsidRPr="00E936BC" w:rsidRDefault="00E936BC" w:rsidP="00E936BC">
            <w:pPr>
              <w:widowControl/>
              <w:spacing w:line="320" w:lineRule="atLeast"/>
              <w:jc w:val="center"/>
              <w:rPr>
                <w:rFonts w:ascii="宋体" w:eastAsia="宋体" w:hAnsi="宋体" w:cs="宋体"/>
                <w:kern w:val="0"/>
                <w:sz w:val="24"/>
                <w:szCs w:val="24"/>
              </w:rPr>
            </w:pPr>
            <w:r w:rsidRPr="00E936BC">
              <w:rPr>
                <w:rFonts w:ascii="微软雅黑" w:eastAsia="微软雅黑" w:hAnsi="微软雅黑" w:cs="宋体" w:hint="eastAsia"/>
                <w:color w:val="000000"/>
                <w:kern w:val="0"/>
                <w:sz w:val="24"/>
                <w:szCs w:val="24"/>
              </w:rPr>
              <w:t> </w:t>
            </w:r>
          </w:p>
        </w:tc>
        <w:tc>
          <w:tcPr>
            <w:tcW w:w="0" w:type="auto"/>
            <w:vMerge/>
            <w:tcBorders>
              <w:top w:val="nil"/>
              <w:left w:val="nil"/>
              <w:bottom w:val="single" w:sz="8" w:space="0" w:color="auto"/>
              <w:right w:val="single" w:sz="8" w:space="0" w:color="auto"/>
            </w:tcBorders>
            <w:vAlign w:val="center"/>
            <w:hideMark/>
          </w:tcPr>
          <w:p w:rsidR="00E936BC" w:rsidRPr="00E936BC" w:rsidRDefault="00E936BC" w:rsidP="00E936BC">
            <w:pPr>
              <w:widowControl/>
              <w:jc w:val="left"/>
              <w:rPr>
                <w:rFonts w:ascii="宋体" w:eastAsia="宋体" w:hAnsi="宋体" w:cs="宋体"/>
                <w:kern w:val="0"/>
                <w:sz w:val="24"/>
                <w:szCs w:val="24"/>
              </w:rPr>
            </w:pPr>
          </w:p>
        </w:tc>
      </w:tr>
    </w:tbl>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w:t>
      </w:r>
    </w:p>
    <w:p w:rsidR="00E936BC" w:rsidRPr="00E936BC" w:rsidRDefault="00E936BC" w:rsidP="00E936BC">
      <w:pPr>
        <w:widowControl/>
        <w:jc w:val="left"/>
        <w:rPr>
          <w:rFonts w:ascii="微软雅黑" w:eastAsia="微软雅黑" w:hAnsi="微软雅黑" w:cs="宋体" w:hint="eastAsia"/>
          <w:color w:val="000000"/>
          <w:kern w:val="0"/>
          <w:sz w:val="24"/>
          <w:szCs w:val="24"/>
        </w:rPr>
      </w:pPr>
      <w:r w:rsidRPr="00E936BC">
        <w:rPr>
          <w:rFonts w:ascii="微软雅黑" w:eastAsia="微软雅黑" w:hAnsi="微软雅黑" w:cs="宋体" w:hint="eastAsia"/>
          <w:color w:val="000000"/>
          <w:kern w:val="0"/>
          <w:sz w:val="24"/>
          <w:szCs w:val="24"/>
        </w:rPr>
        <w:t> 填报人：                         手机号：</w:t>
      </w:r>
    </w:p>
    <w:p w:rsidR="00BD54F7" w:rsidRPr="00D74838" w:rsidRDefault="00BD54F7" w:rsidP="00D74838">
      <w:bookmarkStart w:id="0" w:name="_GoBack"/>
      <w:bookmarkEnd w:id="0"/>
    </w:p>
    <w:sectPr w:rsidR="00BD54F7" w:rsidRPr="00D74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08"/>
    <w:rsid w:val="000F23AC"/>
    <w:rsid w:val="0064085E"/>
    <w:rsid w:val="006B6108"/>
    <w:rsid w:val="00BD54F7"/>
    <w:rsid w:val="00D74838"/>
    <w:rsid w:val="00E936BC"/>
    <w:rsid w:val="00EA0079"/>
    <w:rsid w:val="00F8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3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F23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3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F2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5723">
      <w:bodyDiv w:val="1"/>
      <w:marLeft w:val="0"/>
      <w:marRight w:val="0"/>
      <w:marTop w:val="0"/>
      <w:marBottom w:val="0"/>
      <w:divBdr>
        <w:top w:val="none" w:sz="0" w:space="0" w:color="auto"/>
        <w:left w:val="none" w:sz="0" w:space="0" w:color="auto"/>
        <w:bottom w:val="none" w:sz="0" w:space="0" w:color="auto"/>
        <w:right w:val="none" w:sz="0" w:space="0" w:color="auto"/>
      </w:divBdr>
    </w:div>
    <w:div w:id="206182854">
      <w:bodyDiv w:val="1"/>
      <w:marLeft w:val="0"/>
      <w:marRight w:val="0"/>
      <w:marTop w:val="0"/>
      <w:marBottom w:val="0"/>
      <w:divBdr>
        <w:top w:val="none" w:sz="0" w:space="0" w:color="auto"/>
        <w:left w:val="none" w:sz="0" w:space="0" w:color="auto"/>
        <w:bottom w:val="none" w:sz="0" w:space="0" w:color="auto"/>
        <w:right w:val="none" w:sz="0" w:space="0" w:color="auto"/>
      </w:divBdr>
    </w:div>
    <w:div w:id="427385536">
      <w:bodyDiv w:val="1"/>
      <w:marLeft w:val="0"/>
      <w:marRight w:val="0"/>
      <w:marTop w:val="0"/>
      <w:marBottom w:val="0"/>
      <w:divBdr>
        <w:top w:val="none" w:sz="0" w:space="0" w:color="auto"/>
        <w:left w:val="none" w:sz="0" w:space="0" w:color="auto"/>
        <w:bottom w:val="none" w:sz="0" w:space="0" w:color="auto"/>
        <w:right w:val="none" w:sz="0" w:space="0" w:color="auto"/>
      </w:divBdr>
    </w:div>
    <w:div w:id="515658168">
      <w:bodyDiv w:val="1"/>
      <w:marLeft w:val="0"/>
      <w:marRight w:val="0"/>
      <w:marTop w:val="0"/>
      <w:marBottom w:val="0"/>
      <w:divBdr>
        <w:top w:val="none" w:sz="0" w:space="0" w:color="auto"/>
        <w:left w:val="none" w:sz="0" w:space="0" w:color="auto"/>
        <w:bottom w:val="none" w:sz="0" w:space="0" w:color="auto"/>
        <w:right w:val="none" w:sz="0" w:space="0" w:color="auto"/>
      </w:divBdr>
    </w:div>
    <w:div w:id="853762360">
      <w:bodyDiv w:val="1"/>
      <w:marLeft w:val="0"/>
      <w:marRight w:val="0"/>
      <w:marTop w:val="0"/>
      <w:marBottom w:val="0"/>
      <w:divBdr>
        <w:top w:val="none" w:sz="0" w:space="0" w:color="auto"/>
        <w:left w:val="none" w:sz="0" w:space="0" w:color="auto"/>
        <w:bottom w:val="none" w:sz="0" w:space="0" w:color="auto"/>
        <w:right w:val="none" w:sz="0" w:space="0" w:color="auto"/>
      </w:divBdr>
    </w:div>
    <w:div w:id="15493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1255</Words>
  <Characters>7154</Characters>
  <Application>Microsoft Office Word</Application>
  <DocSecurity>0</DocSecurity>
  <Lines>59</Lines>
  <Paragraphs>16</Paragraphs>
  <ScaleCrop>false</ScaleCrop>
  <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石磊</dc:creator>
  <cp:keywords/>
  <dc:description/>
  <cp:lastModifiedBy>石磊</cp:lastModifiedBy>
  <cp:revision>8</cp:revision>
  <dcterms:created xsi:type="dcterms:W3CDTF">2022-12-01T02:33:00Z</dcterms:created>
  <dcterms:modified xsi:type="dcterms:W3CDTF">2022-12-01T02:50:00Z</dcterms:modified>
</cp:coreProperties>
</file>