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w w:val="9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w w:val="95"/>
          <w:kern w:val="0"/>
          <w:sz w:val="44"/>
          <w:szCs w:val="44"/>
        </w:rPr>
        <w:t>桓台县信访局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w w:val="95"/>
          <w:kern w:val="0"/>
          <w:sz w:val="44"/>
          <w:szCs w:val="44"/>
          <w:lang w:eastAsia="zh-CN"/>
        </w:rPr>
        <w:t>2013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w w:val="95"/>
          <w:kern w:val="0"/>
          <w:sz w:val="44"/>
          <w:szCs w:val="44"/>
        </w:rPr>
        <w:t>年度政府信息公开工作年度报告</w:t>
      </w:r>
    </w:p>
    <w:p>
      <w:pPr>
        <w:widowControl/>
        <w:ind w:left="0" w:leftChars="0" w:firstLine="420" w:firstLineChars="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本报告是根据《中华人民共和国政府信息公开条例》的规定，由桓台县信访局编制的</w:t>
      </w:r>
      <w:r>
        <w:rPr>
          <w:rFonts w:hint="eastAsia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年度政府信息公开年度报告。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文包括概述；政府信息公开工作的组织领导和制度建设情况；发布解读、回应社会关切以及互动交流情况；重点领域政府信息公开推进工作；主动公开政府信息情况；政府信息公开申请办理情况；政府信息的收费及减免情况；因政府信息公开申请提起行政复议及行政诉讼情况；政府信息公开保密审查及监督检查情况；所属事业单位信息公开工作推进措施和落实请款；政府信息公开工作存在的主要问题及改进情况；需要说明的事项与附表等12个部分。桓台县政府信息公开网站http://www.huantai.gov.cn/上可下载本报告的电子版。如对本报告有任何疑问，请联系：桓台县信访局办公室，联系电话：8180004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一、概述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3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2013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年县信访局在县委、县政府的正确领导下，认真贯彻落实《中华人民共和国政府信息公开条例》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结合</w:t>
      </w: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2013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年度信访工作实际，加强组织领导，建立健全工作机制，规范信息公开程序，及时公开相关信息，积极回应社会关切，扎实推进县信访局政府信息公开工作。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二、政府信息公开的组织领导与制度建设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为加强政府信息公开工作的组织领导，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成立了以局长为组长，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分管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副局长为副组长，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各业务科室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负责人为成员的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县信访局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政府信息公开工作领导小组。小组下设办公室，由局办公室具体承办信息公开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的相关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三、发布解读、回应社会关切以及互动交流情况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hAnsi="宋体" w:cs="宋体"/>
          <w:kern w:val="0"/>
          <w:sz w:val="32"/>
          <w:szCs w:val="32"/>
          <w:lang w:eastAsia="zh-CN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四、重点领域政府信息公开工作推进情况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hAnsi="宋体" w:cs="宋体"/>
          <w:kern w:val="0"/>
          <w:sz w:val="32"/>
          <w:szCs w:val="32"/>
          <w:lang w:val="en-US" w:eastAsia="zh-CN"/>
        </w:rPr>
      </w:pPr>
      <w:r>
        <w:rPr>
          <w:rFonts w:hint="eastAsia" w:hAnsi="宋体" w:cs="宋体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五、主动公开政府信息以及公开平台建设情况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县信访局主动公开的政府信息，涵盖信访局的机构职能、有关文件、发展规划、 重大决策、资金管理及监督保障措施等非保密的所有信息。主动公开各类政府信息共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条，包括机构设置及职责负责人信息类2条，负责人信息1条，法规规章类2条，政府信息公开指南类1条，政府公开信息年报1条。以上信息在桓台县人民政府网站公布。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六、政府信息公开申请办理情况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七、政府信息的收费及减免情况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八、因政府信息公开申请提起行政复议、行政诉讼情况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36"/>
          <w:sz w:val="32"/>
          <w:szCs w:val="32"/>
        </w:rPr>
        <w:t>九、因政府信息公开保密审查及监督检查情况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hAnsi="宋体" w:cs="宋体"/>
          <w:kern w:val="0"/>
          <w:sz w:val="32"/>
          <w:szCs w:val="32"/>
          <w:lang w:eastAsia="zh-CN"/>
        </w:rPr>
        <w:t>2013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hAnsi="宋体" w:cs="宋体"/>
          <w:kern w:val="0"/>
          <w:sz w:val="32"/>
          <w:szCs w:val="32"/>
          <w:lang w:eastAsia="zh-CN"/>
        </w:rPr>
        <w:t>县信访局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严格按照《保密法》及相关规定，严格执行政府信息公开前保密审查制度，明确审查工作程序和责任，确保“上网信息不涉密，涉密信息不上网”。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十、所属事业单位信息公开工作推进措施和落实情况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是成立了政府信息公开工作领导小组，明确工作责任，为贯彻施行政府信息公开工作提供了强有力的保障。二是根据政务信息公开的属性，按照主动公开、依申请公开、不予公开三类进行公开。三是实行专人负责，确保政府信息公开工作的顺利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十一、存在的主要问题和改进措施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对政府信息公开政策的</w:t>
      </w:r>
      <w:r>
        <w:rPr>
          <w:rFonts w:hint="eastAsia" w:hAnsi="宋体" w:cs="宋体"/>
          <w:kern w:val="0"/>
          <w:sz w:val="32"/>
          <w:szCs w:val="32"/>
          <w:lang w:eastAsia="zh-CN"/>
        </w:rPr>
        <w:t>理解需进一步加深，对政府信息公开制度的规范需进一步加强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hAnsi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年，我们将继续按照县委县政府的有关要求，持续深化政府信息公开工作，进一步丰富政府信息内容，努力提高政府信息公开水平。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</w:rPr>
        <w:t>十二、需要说明的事项与附表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ind w:left="0" w:leftChars="0" w:firstLine="63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</w:t>
      </w: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附表</w:t>
      </w:r>
    </w:p>
    <w:p>
      <w:pPr>
        <w:widowControl/>
        <w:shd w:val="clear" w:color="auto" w:fill="FFFFFF"/>
        <w:autoSpaceDN w:val="0"/>
        <w:ind w:left="0" w:leftChars="0" w:firstLine="465" w:firstLineChars="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1.主动公开情况统计</w:t>
      </w:r>
    </w:p>
    <w:tbl>
      <w:tblPr>
        <w:tblStyle w:val="7"/>
        <w:tblW w:w="0" w:type="auto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6"/>
        <w:gridCol w:w="752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6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指    标</w:t>
            </w:r>
          </w:p>
        </w:tc>
        <w:tc>
          <w:tcPr>
            <w:tcW w:w="752" w:type="dxa"/>
            <w:tcBorders>
              <w:top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882" w:type="dxa"/>
            <w:tcBorders>
              <w:top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6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本年度主动公开信息总数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882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hAnsi="宋体" w:cs="宋体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6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其中：政策文件类信息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882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6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本年度全文电子化的主动公开信息数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882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6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本年度总共栏目数（二级目录）</w:t>
            </w:r>
          </w:p>
        </w:tc>
        <w:tc>
          <w:tcPr>
            <w:tcW w:w="75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个</w:t>
            </w:r>
          </w:p>
        </w:tc>
        <w:tc>
          <w:tcPr>
            <w:tcW w:w="882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</w:tbl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2.依申请公开情况统计</w:t>
      </w:r>
    </w:p>
    <w:tbl>
      <w:tblPr>
        <w:tblStyle w:val="7"/>
        <w:tblW w:w="0" w:type="auto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3"/>
        <w:gridCol w:w="740"/>
        <w:gridCol w:w="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指    标</w:t>
            </w:r>
          </w:p>
        </w:tc>
        <w:tc>
          <w:tcPr>
            <w:tcW w:w="740" w:type="dxa"/>
            <w:tcBorders>
              <w:top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917" w:type="dxa"/>
            <w:tcBorders>
              <w:top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本年度申请总数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本年度对申请的答复总数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其中：同意公开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同意部分公开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不予公开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其中：1.信息不存在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2.非本部门掌握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3.申请内容不明确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4.《条例》第8、14条规定</w:t>
            </w:r>
          </w:p>
        </w:tc>
        <w:tc>
          <w:tcPr>
            <w:tcW w:w="74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83" w:type="dxa"/>
            <w:tcBorders>
              <w:left w:val="double" w:color="000000" w:sz="2" w:space="0"/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5.其他原因</w:t>
            </w:r>
          </w:p>
        </w:tc>
        <w:tc>
          <w:tcPr>
            <w:tcW w:w="740" w:type="dxa"/>
            <w:tcBorders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17" w:type="dxa"/>
            <w:tcBorders>
              <w:bottom w:val="double" w:color="000000" w:sz="2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</w:tbl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ind w:left="0" w:leftChars="0" w:firstLine="63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3.咨询处理情况统计</w:t>
      </w:r>
    </w:p>
    <w:tbl>
      <w:tblPr>
        <w:tblStyle w:val="7"/>
        <w:tblW w:w="0" w:type="auto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8"/>
        <w:gridCol w:w="712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98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指    标</w:t>
            </w:r>
          </w:p>
        </w:tc>
        <w:tc>
          <w:tcPr>
            <w:tcW w:w="712" w:type="dxa"/>
            <w:tcBorders>
              <w:top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930" w:type="dxa"/>
            <w:tcBorders>
              <w:top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本年度接受咨询总数</w:t>
            </w:r>
          </w:p>
        </w:tc>
        <w:tc>
          <w:tcPr>
            <w:tcW w:w="71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30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其中：1.当面咨询</w:t>
            </w:r>
          </w:p>
        </w:tc>
        <w:tc>
          <w:tcPr>
            <w:tcW w:w="71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30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    2.电话咨询</w:t>
            </w:r>
          </w:p>
        </w:tc>
        <w:tc>
          <w:tcPr>
            <w:tcW w:w="71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30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    3.网上咨询（政务意见箱）</w:t>
            </w:r>
          </w:p>
        </w:tc>
        <w:tc>
          <w:tcPr>
            <w:tcW w:w="71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30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98" w:type="dxa"/>
            <w:tcBorders>
              <w:left w:val="double" w:color="000000" w:sz="2" w:space="0"/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网上咨询（政务意见箱）15天内回复的数目</w:t>
            </w:r>
          </w:p>
        </w:tc>
        <w:tc>
          <w:tcPr>
            <w:tcW w:w="712" w:type="dxa"/>
            <w:tcBorders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条</w:t>
            </w:r>
          </w:p>
        </w:tc>
        <w:tc>
          <w:tcPr>
            <w:tcW w:w="930" w:type="dxa"/>
            <w:tcBorders>
              <w:bottom w:val="double" w:color="000000" w:sz="2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</w:tbl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4.复议、诉讼和申诉情况统计</w:t>
      </w:r>
    </w:p>
    <w:tbl>
      <w:tblPr>
        <w:tblStyle w:val="7"/>
        <w:tblW w:w="0" w:type="auto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753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指    标</w:t>
            </w:r>
          </w:p>
        </w:tc>
        <w:tc>
          <w:tcPr>
            <w:tcW w:w="753" w:type="dxa"/>
            <w:tcBorders>
              <w:top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867" w:type="dxa"/>
            <w:tcBorders>
              <w:top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20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本年度被行政复议数量</w:t>
            </w:r>
          </w:p>
        </w:tc>
        <w:tc>
          <w:tcPr>
            <w:tcW w:w="7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120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spacing w:line="420" w:lineRule="atLeast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其中:决定撤销、变更或确认该具体行政行为违法的数量</w:t>
            </w:r>
          </w:p>
        </w:tc>
        <w:tc>
          <w:tcPr>
            <w:tcW w:w="7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20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本年度引发有关政府信息公开行政诉讼数量</w:t>
            </w:r>
          </w:p>
        </w:tc>
        <w:tc>
          <w:tcPr>
            <w:tcW w:w="7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20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其中：1.判决撤销或部分撤销的数量</w:t>
            </w:r>
          </w:p>
        </w:tc>
        <w:tc>
          <w:tcPr>
            <w:tcW w:w="7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20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 2.判决在一定期限内履行的数量</w:t>
            </w:r>
          </w:p>
        </w:tc>
        <w:tc>
          <w:tcPr>
            <w:tcW w:w="7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20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 xml:space="preserve">        3.判决变更的数量</w:t>
            </w:r>
          </w:p>
        </w:tc>
        <w:tc>
          <w:tcPr>
            <w:tcW w:w="75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20" w:type="dxa"/>
            <w:tcBorders>
              <w:left w:val="double" w:color="000000" w:sz="2" w:space="0"/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本年度共引发有关政府信息公开的申诉数量</w:t>
            </w:r>
          </w:p>
        </w:tc>
        <w:tc>
          <w:tcPr>
            <w:tcW w:w="753" w:type="dxa"/>
            <w:tcBorders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件</w:t>
            </w:r>
          </w:p>
        </w:tc>
        <w:tc>
          <w:tcPr>
            <w:tcW w:w="867" w:type="dxa"/>
            <w:tcBorders>
              <w:bottom w:val="double" w:color="000000" w:sz="2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</w:tbl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ind w:left="0" w:leftChars="0" w:firstLine="0" w:firstLineChars="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  <w:shd w:val="clear" w:color="auto" w:fill="FFFFFF"/>
        </w:rPr>
        <w:t>5.人员及经费支出情况统计</w:t>
      </w:r>
    </w:p>
    <w:tbl>
      <w:tblPr>
        <w:tblStyle w:val="7"/>
        <w:tblW w:w="0" w:type="auto"/>
        <w:tblInd w:w="4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8"/>
        <w:gridCol w:w="725"/>
        <w:gridCol w:w="917"/>
      </w:tblGrid>
      <w:tr>
        <w:tc>
          <w:tcPr>
            <w:tcW w:w="6098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政府信息公开查阅点数量</w:t>
            </w:r>
          </w:p>
        </w:tc>
        <w:tc>
          <w:tcPr>
            <w:tcW w:w="725" w:type="dxa"/>
            <w:tcBorders>
              <w:top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个</w:t>
            </w:r>
          </w:p>
        </w:tc>
        <w:tc>
          <w:tcPr>
            <w:tcW w:w="917" w:type="dxa"/>
            <w:tcBorders>
              <w:top w:val="double" w:color="000000" w:sz="2" w:space="0"/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aps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政府信息依申请受理点数量</w:t>
            </w:r>
          </w:p>
        </w:tc>
        <w:tc>
          <w:tcPr>
            <w:tcW w:w="7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个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政府信息公开指定工作人员总数</w:t>
            </w:r>
          </w:p>
        </w:tc>
        <w:tc>
          <w:tcPr>
            <w:tcW w:w="7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人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其中：1.全职人员数</w:t>
            </w:r>
          </w:p>
        </w:tc>
        <w:tc>
          <w:tcPr>
            <w:tcW w:w="7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人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2.兼职人员数</w:t>
            </w:r>
          </w:p>
        </w:tc>
        <w:tc>
          <w:tcPr>
            <w:tcW w:w="7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人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hAnsi="宋体" w:cs="宋体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8" w:type="dxa"/>
            <w:tcBorders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本年度政府信息公开专项经费安排</w:t>
            </w:r>
          </w:p>
        </w:tc>
        <w:tc>
          <w:tcPr>
            <w:tcW w:w="72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万元</w:t>
            </w:r>
          </w:p>
        </w:tc>
        <w:tc>
          <w:tcPr>
            <w:tcW w:w="917" w:type="dxa"/>
            <w:tcBorders>
              <w:bottom w:val="single" w:color="000000" w:sz="8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8" w:type="dxa"/>
            <w:tcBorders>
              <w:left w:val="double" w:color="000000" w:sz="2" w:space="0"/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本年度政府信息公开实际支出</w:t>
            </w:r>
          </w:p>
        </w:tc>
        <w:tc>
          <w:tcPr>
            <w:tcW w:w="725" w:type="dxa"/>
            <w:tcBorders>
              <w:bottom w:val="double" w:color="000000" w:sz="2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万元</w:t>
            </w:r>
          </w:p>
        </w:tc>
        <w:tc>
          <w:tcPr>
            <w:tcW w:w="917" w:type="dxa"/>
            <w:tcBorders>
              <w:bottom w:val="double" w:color="000000" w:sz="2" w:space="0"/>
              <w:right w:val="doub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autoSpaceDN w:val="0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shd w:val="clear" w:color="auto" w:fill="FFFFFF"/>
              </w:rPr>
              <w:t>0</w:t>
            </w:r>
          </w:p>
        </w:tc>
      </w:tr>
    </w:tbl>
    <w:p>
      <w:pPr>
        <w:pStyle w:val="12"/>
        <w:shd w:val="clear" w:color="auto" w:fill="FFFFFF"/>
        <w:autoSpaceDN w:val="0"/>
        <w:ind w:left="315" w:firstLine="160"/>
        <w:jc w:val="left"/>
      </w:pPr>
    </w:p>
    <w:sectPr>
      <w:pgSz w:w="11906" w:h="16838"/>
      <w:pgMar w:top="2098" w:right="1474" w:bottom="1984" w:left="1633" w:header="851" w:footer="1531" w:gutter="0"/>
      <w:cols w:space="0" w:num="1"/>
      <w:rtlGutter w:val="0"/>
      <w:docGrid w:type="linesAndChars" w:linePitch="579" w:charSpace="-11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57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575"/>
    <w:rsid w:val="000774E9"/>
    <w:rsid w:val="001C2B25"/>
    <w:rsid w:val="002E6F64"/>
    <w:rsid w:val="00301410"/>
    <w:rsid w:val="003D1B6F"/>
    <w:rsid w:val="00400575"/>
    <w:rsid w:val="00545016"/>
    <w:rsid w:val="00747DFF"/>
    <w:rsid w:val="00763943"/>
    <w:rsid w:val="007F6C41"/>
    <w:rsid w:val="00844C6E"/>
    <w:rsid w:val="00A32CD0"/>
    <w:rsid w:val="00B833EE"/>
    <w:rsid w:val="00E845C4"/>
    <w:rsid w:val="06005AE6"/>
    <w:rsid w:val="070C655D"/>
    <w:rsid w:val="0CAB16A5"/>
    <w:rsid w:val="13EA5110"/>
    <w:rsid w:val="43E33493"/>
    <w:rsid w:val="7BB06AF0"/>
    <w:rsid w:val="7D8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150" w:leftChars="150" w:firstLine="50" w:firstLineChars="5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-mail Signature"/>
    <w:basedOn w:val="1"/>
    <w:semiHidden/>
    <w:unhideWhenUsed/>
    <w:uiPriority w:val="99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3 Char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1">
    <w:name w:val="标题 4 Char"/>
    <w:basedOn w:val="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2">
    <w:name w:val="p0"/>
    <w:basedOn w:val="1"/>
    <w:qFormat/>
    <w:uiPriority w:val="0"/>
    <w:pPr>
      <w:widowControl/>
      <w:ind w:left="0" w:leftChars="0" w:firstLine="420" w:firstLineChars="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3">
    <w:name w:val="p15"/>
    <w:basedOn w:val="1"/>
    <w:qFormat/>
    <w:uiPriority w:val="0"/>
    <w:pPr>
      <w:widowControl/>
      <w:ind w:left="0" w:leftChars="0" w:firstLine="0" w:firstLineChars="0"/>
      <w:jc w:val="center"/>
    </w:pPr>
    <w:rPr>
      <w:rFonts w:ascii="微软简标宋" w:hAnsi="微软简标宋" w:eastAsia="宋体" w:cs="宋体"/>
      <w:b/>
      <w:bCs/>
      <w:kern w:val="0"/>
      <w:sz w:val="44"/>
      <w:szCs w:val="44"/>
    </w:rPr>
  </w:style>
  <w:style w:type="paragraph" w:customStyle="1" w:styleId="14">
    <w:name w:val="p16"/>
    <w:basedOn w:val="1"/>
    <w:qFormat/>
    <w:uiPriority w:val="0"/>
    <w:pPr>
      <w:widowControl/>
      <w:ind w:left="0" w:leftChars="0" w:firstLine="0" w:firstLineChars="0"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438</Words>
  <Characters>2503</Characters>
  <Lines>20</Lines>
  <Paragraphs>5</Paragraphs>
  <TotalTime>91</TotalTime>
  <ScaleCrop>false</ScaleCrop>
  <LinksUpToDate>false</LinksUpToDate>
  <CharactersWithSpaces>2936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2020-06-05T06:43:00Z</dcterms:created>
  <dc:creator>NTKO</dc:creator>
  <cp:lastModifiedBy>武士</cp:lastModifiedBy>
  <dcterms:modified xsi:type="dcterms:W3CDTF">2020-06-15T15:24:22Z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