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7"/>
          <w:w w:val="95"/>
          <w:kern w:val="0"/>
          <w:sz w:val="44"/>
          <w:szCs w:val="44"/>
        </w:rPr>
      </w:pPr>
      <w:r>
        <w:rPr>
          <w:rFonts w:hint="eastAsia" w:ascii="方正小标宋简体" w:hAnsi="方正小标宋简体" w:eastAsia="方正小标宋简体" w:cs="方正小标宋简体"/>
          <w:b w:val="0"/>
          <w:bCs w:val="0"/>
          <w:spacing w:val="-17"/>
          <w:w w:val="95"/>
          <w:kern w:val="0"/>
          <w:sz w:val="44"/>
          <w:szCs w:val="44"/>
        </w:rPr>
        <w:t>桓台县信访局201</w:t>
      </w:r>
      <w:r>
        <w:rPr>
          <w:rFonts w:hint="eastAsia" w:ascii="方正小标宋简体" w:hAnsi="方正小标宋简体" w:eastAsia="方正小标宋简体" w:cs="方正小标宋简体"/>
          <w:b w:val="0"/>
          <w:bCs w:val="0"/>
          <w:spacing w:val="-17"/>
          <w:w w:val="95"/>
          <w:kern w:val="0"/>
          <w:sz w:val="44"/>
          <w:szCs w:val="44"/>
          <w:lang w:val="en-US" w:eastAsia="zh-CN"/>
        </w:rPr>
        <w:t>2</w:t>
      </w:r>
      <w:r>
        <w:rPr>
          <w:rFonts w:hint="eastAsia" w:ascii="方正小标宋简体" w:hAnsi="方正小标宋简体" w:eastAsia="方正小标宋简体" w:cs="方正小标宋简体"/>
          <w:b w:val="0"/>
          <w:bCs w:val="0"/>
          <w:spacing w:val="-17"/>
          <w:w w:val="95"/>
          <w:kern w:val="0"/>
          <w:sz w:val="44"/>
          <w:szCs w:val="44"/>
        </w:rPr>
        <w:t>年度政府信息公开工作年度报告</w:t>
      </w:r>
    </w:p>
    <w:p>
      <w:pPr>
        <w:widowControl/>
        <w:ind w:left="0" w:leftChars="0" w:firstLine="420" w:firstLineChars="0"/>
        <w:rPr>
          <w:rFonts w:ascii="仿宋_GB2312" w:hAnsi="宋体" w:eastAsia="仿宋_GB2312" w:cs="宋体"/>
          <w:kern w:val="0"/>
          <w:sz w:val="32"/>
          <w:szCs w:val="32"/>
        </w:rPr>
      </w:pP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本报告是根据《中华人民共和国政府信息公开条例》的规定，由桓台县信访局编制的201</w:t>
      </w:r>
      <w:r>
        <w:rPr>
          <w:rFonts w:hint="eastAsia" w:cs="仿宋_GB2312"/>
          <w:i w:val="0"/>
          <w:caps w:val="0"/>
          <w:color w:val="000000"/>
          <w:spacing w:val="0"/>
          <w:kern w:val="0"/>
          <w:sz w:val="32"/>
          <w:szCs w:val="32"/>
          <w:lang w:val="en-US" w:eastAsia="zh-CN" w:bidi="ar"/>
        </w:rPr>
        <w:t>2</w:t>
      </w:r>
      <w:r>
        <w:rPr>
          <w:rFonts w:hint="eastAsia" w:ascii="仿宋_GB2312" w:hAnsi="仿宋_GB2312" w:eastAsia="仿宋_GB2312" w:cs="仿宋_GB2312"/>
          <w:i w:val="0"/>
          <w:caps w:val="0"/>
          <w:color w:val="000000"/>
          <w:spacing w:val="0"/>
          <w:kern w:val="0"/>
          <w:sz w:val="32"/>
          <w:szCs w:val="32"/>
          <w:lang w:val="en-US" w:eastAsia="zh-CN" w:bidi="ar"/>
        </w:rPr>
        <w:t>年度政府信息公开年度报告。</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全文包括概述；政府信息公开工作的组织领导和制度建设情况；发布解读、回应社会关切以及互动交流情况；重点领域政府信息公开推进工作；主动公开政府信息情况；政府信息公开申请办理情况；政府信息的收费及减免情况；因政府信息公开申请提起行政复议及行政诉讼情况；政府信息公开保密审查及监督检查情况；所属事业单位信息公开工作推进措施和落实请款；政府信息公开工作存在的主要问题及改进情况；需要说明的事项与附表等12个部分。桓台县政府信息公开网站http://www.huantai.gov.cn/上可下载本报告的电子版。如对本报告有任何疑问，请联系：桓台县信访局办公室，联系电话：8180004</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黑体" w:hAnsi="黑体" w:eastAsia="黑体" w:cs="宋体"/>
          <w:b w:val="0"/>
          <w:bCs w:val="0"/>
          <w:kern w:val="36"/>
          <w:sz w:val="32"/>
          <w:szCs w:val="32"/>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黑体" w:hAnsi="黑体" w:eastAsia="黑体" w:cs="宋体"/>
          <w:b w:val="0"/>
          <w:bCs w:val="0"/>
          <w:kern w:val="36"/>
          <w:sz w:val="32"/>
          <w:szCs w:val="32"/>
        </w:rPr>
        <w:t>一、概述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0" w:firstLineChars="200"/>
        <w:jc w:val="both"/>
        <w:textAlignment w:val="auto"/>
        <w:rPr>
          <w:rFonts w:hint="eastAsia" w:ascii="仿宋_GB2312" w:hAnsi="仿宋_GB2312" w:eastAsia="仿宋_GB2312" w:cs="仿宋_GB2312"/>
          <w:i w:val="0"/>
          <w:caps w:val="0"/>
          <w:color w:val="000000"/>
          <w:spacing w:val="0"/>
          <w:sz w:val="32"/>
          <w:szCs w:val="32"/>
        </w:rPr>
      </w:pPr>
      <w:bookmarkStart w:id="0" w:name="_GoBack"/>
      <w:bookmarkEnd w:id="0"/>
      <w:r>
        <w:rPr>
          <w:rFonts w:hint="eastAsia" w:cs="仿宋_GB2312"/>
          <w:i w:val="0"/>
          <w:caps w:val="0"/>
          <w:color w:val="000000"/>
          <w:spacing w:val="0"/>
          <w:sz w:val="32"/>
          <w:szCs w:val="32"/>
          <w:lang w:eastAsia="zh-CN"/>
        </w:rPr>
        <w:t>2012</w:t>
      </w:r>
      <w:r>
        <w:rPr>
          <w:rFonts w:hint="eastAsia" w:ascii="仿宋_GB2312" w:hAnsi="仿宋_GB2312" w:eastAsia="仿宋_GB2312" w:cs="仿宋_GB2312"/>
          <w:i w:val="0"/>
          <w:caps w:val="0"/>
          <w:color w:val="000000"/>
          <w:spacing w:val="0"/>
          <w:sz w:val="32"/>
          <w:szCs w:val="32"/>
        </w:rPr>
        <w:t>年县信访局在县委、县政府的正确领导下，认真贯彻落实《中华人民共和国政府信息公开条例》</w:t>
      </w:r>
      <w:r>
        <w:rPr>
          <w:rFonts w:hint="eastAsia"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结合</w:t>
      </w:r>
      <w:r>
        <w:rPr>
          <w:rFonts w:hint="eastAsia" w:cs="仿宋_GB2312"/>
          <w:i w:val="0"/>
          <w:caps w:val="0"/>
          <w:color w:val="000000"/>
          <w:spacing w:val="0"/>
          <w:sz w:val="32"/>
          <w:szCs w:val="32"/>
          <w:lang w:eastAsia="zh-CN"/>
        </w:rPr>
        <w:t>2012</w:t>
      </w:r>
      <w:r>
        <w:rPr>
          <w:rFonts w:hint="eastAsia" w:ascii="仿宋_GB2312" w:hAnsi="仿宋_GB2312" w:eastAsia="仿宋_GB2312" w:cs="仿宋_GB2312"/>
          <w:i w:val="0"/>
          <w:caps w:val="0"/>
          <w:color w:val="000000"/>
          <w:spacing w:val="0"/>
          <w:sz w:val="32"/>
          <w:szCs w:val="32"/>
        </w:rPr>
        <w:t>年度信访工作实际，加强组织领导，建立健全工作机制，规范信息公开程序，及时公开相关信息，积极回应社会关切，扎实推进县信访局政府信息公开工作。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二、政府信息公开的组织领导与制度建设</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为加强政府信息公开工作的组织领导，</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成立了以局长为组长，</w:t>
      </w:r>
      <w:r>
        <w:rPr>
          <w:rFonts w:hint="eastAsia" w:ascii="仿宋_GB2312" w:hAnsi="宋体" w:eastAsia="仿宋_GB2312" w:cs="宋体"/>
          <w:kern w:val="0"/>
          <w:sz w:val="32"/>
          <w:szCs w:val="32"/>
          <w:lang w:eastAsia="zh-CN"/>
        </w:rPr>
        <w:t>分管</w:t>
      </w:r>
      <w:r>
        <w:rPr>
          <w:rFonts w:hint="eastAsia" w:ascii="仿宋_GB2312" w:hAnsi="宋体" w:eastAsia="仿宋_GB2312" w:cs="宋体"/>
          <w:kern w:val="0"/>
          <w:sz w:val="32"/>
          <w:szCs w:val="32"/>
        </w:rPr>
        <w:t>副局长为副组长，</w:t>
      </w:r>
      <w:r>
        <w:rPr>
          <w:rFonts w:hint="eastAsia" w:ascii="仿宋_GB2312" w:hAnsi="宋体" w:eastAsia="仿宋_GB2312" w:cs="宋体"/>
          <w:kern w:val="0"/>
          <w:sz w:val="32"/>
          <w:szCs w:val="32"/>
          <w:lang w:eastAsia="zh-CN"/>
        </w:rPr>
        <w:t>各业务科室</w:t>
      </w:r>
      <w:r>
        <w:rPr>
          <w:rFonts w:hint="eastAsia" w:ascii="仿宋_GB2312" w:hAnsi="宋体" w:eastAsia="仿宋_GB2312" w:cs="宋体"/>
          <w:kern w:val="0"/>
          <w:sz w:val="32"/>
          <w:szCs w:val="32"/>
        </w:rPr>
        <w:t>负责人为成员的</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政府信息公开工作领导小组。小组下设办公室，由局办公室具体承办信息公开</w:t>
      </w:r>
      <w:r>
        <w:rPr>
          <w:rFonts w:hint="eastAsia" w:ascii="仿宋_GB2312" w:hAnsi="宋体" w:eastAsia="仿宋_GB2312" w:cs="宋体"/>
          <w:kern w:val="0"/>
          <w:sz w:val="32"/>
          <w:szCs w:val="32"/>
          <w:lang w:eastAsia="zh-CN"/>
        </w:rPr>
        <w:t>的相关</w:t>
      </w:r>
      <w:r>
        <w:rPr>
          <w:rFonts w:hint="eastAsia" w:ascii="仿宋_GB2312" w:hAnsi="宋体" w:eastAsia="仿宋_GB2312" w:cs="宋体"/>
          <w:kern w:val="0"/>
          <w:sz w:val="32"/>
          <w:szCs w:val="32"/>
        </w:rPr>
        <w:t>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三、发布解读、回应社会关切以及互动交流情况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hAnsi="宋体" w:cs="宋体"/>
          <w:kern w:val="0"/>
          <w:sz w:val="32"/>
          <w:szCs w:val="32"/>
          <w:lang w:eastAsia="zh-CN"/>
        </w:rPr>
      </w:pPr>
      <w:r>
        <w:rPr>
          <w:rFonts w:hint="eastAsia" w:hAnsi="宋体" w:cs="宋体"/>
          <w:kern w:val="0"/>
          <w:sz w:val="32"/>
          <w:szCs w:val="32"/>
          <w:lang w:eastAsia="zh-CN"/>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四、重点领域政府信息公开工作推进情况</w:t>
      </w:r>
    </w:p>
    <w:p>
      <w:pPr>
        <w:keepNext w:val="0"/>
        <w:keepLines w:val="0"/>
        <w:pageBreakBefore w:val="0"/>
        <w:widowControl/>
        <w:numPr>
          <w:ilvl w:val="0"/>
          <w:numId w:val="0"/>
        </w:numPr>
        <w:kinsoku/>
        <w:wordWrap/>
        <w:overflowPunct/>
        <w:topLinePunct w:val="0"/>
        <w:autoSpaceDE/>
        <w:bidi w:val="0"/>
        <w:adjustRightInd/>
        <w:snapToGrid/>
        <w:ind w:firstLine="63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hAnsi="宋体" w:cs="宋体"/>
          <w:kern w:val="0"/>
          <w:sz w:val="32"/>
          <w:szCs w:val="32"/>
          <w:lang w:val="en-US" w:eastAsia="zh-CN"/>
        </w:rPr>
        <w:t>2012</w:t>
      </w:r>
      <w:r>
        <w:rPr>
          <w:rFonts w:hint="eastAsia" w:ascii="仿宋_GB2312" w:hAnsi="仿宋_GB2312" w:eastAsia="仿宋_GB2312" w:cs="仿宋_GB2312"/>
          <w:i w:val="0"/>
          <w:caps w:val="0"/>
          <w:color w:val="000000"/>
          <w:spacing w:val="0"/>
          <w:sz w:val="32"/>
          <w:szCs w:val="32"/>
        </w:rPr>
        <w:t>年县信访局不涉及重点领域政府信息公开工作。</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五、主动公开政府信息以及公开平台建设情况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县信访局主动公开的政府信息，涵盖信访局的机构职能、有关文件、发展规划、 重大决策、资金管理及监督保障措施等非保密的所有信息。主动公开各类政府信息共</w:t>
      </w:r>
      <w:r>
        <w:rPr>
          <w:rFonts w:hint="eastAsia" w:ascii="仿宋_GB2312" w:hAnsi="仿宋_GB2312" w:eastAsia="仿宋_GB2312" w:cs="仿宋_GB2312"/>
          <w:i w:val="0"/>
          <w:caps w:val="0"/>
          <w:color w:val="000000"/>
          <w:spacing w:val="0"/>
          <w:sz w:val="32"/>
          <w:szCs w:val="32"/>
          <w:lang w:val="en-US" w:eastAsia="zh-CN"/>
        </w:rPr>
        <w:t>7</w:t>
      </w:r>
      <w:r>
        <w:rPr>
          <w:rFonts w:hint="eastAsia" w:ascii="仿宋_GB2312" w:hAnsi="仿宋_GB2312" w:eastAsia="仿宋_GB2312" w:cs="仿宋_GB2312"/>
          <w:i w:val="0"/>
          <w:caps w:val="0"/>
          <w:color w:val="000000"/>
          <w:spacing w:val="0"/>
          <w:sz w:val="32"/>
          <w:szCs w:val="32"/>
        </w:rPr>
        <w:t>条，包括机构设置及职责负责人信息类2条，负责人信息1条，法规规章类2条，政府信息公开指南类1条，政府公开信息年报1条。以上信息在桓台县人民政府网站公布。</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六、政府信息公开申请办理情况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县信访局没有收到书面或其它形式要求公开或不予公开政府信息的申请。</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七、政府信息的收费及减免情况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八、因政府信息公开申请提起行政复议、行政诉讼情况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九、因政府信息公开保密审查及监督检查情况</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hAnsi="宋体" w:cs="宋体"/>
          <w:kern w:val="0"/>
          <w:sz w:val="32"/>
          <w:szCs w:val="32"/>
          <w:lang w:val="en-US" w:eastAsia="zh-CN"/>
        </w:rPr>
        <w:t>2</w:t>
      </w:r>
      <w:r>
        <w:rPr>
          <w:rFonts w:hint="eastAsia" w:ascii="仿宋_GB2312" w:hAnsi="宋体" w:eastAsia="仿宋_GB2312" w:cs="宋体"/>
          <w:kern w:val="0"/>
          <w:sz w:val="32"/>
          <w:szCs w:val="32"/>
        </w:rPr>
        <w:t>年</w:t>
      </w:r>
      <w:r>
        <w:rPr>
          <w:rFonts w:hint="eastAsia" w:hAnsi="宋体" w:cs="宋体"/>
          <w:kern w:val="0"/>
          <w:sz w:val="32"/>
          <w:szCs w:val="32"/>
          <w:lang w:eastAsia="zh-CN"/>
        </w:rPr>
        <w:t>县信访局</w:t>
      </w:r>
      <w:r>
        <w:rPr>
          <w:rFonts w:hint="eastAsia" w:ascii="仿宋_GB2312" w:hAnsi="宋体" w:eastAsia="仿宋_GB2312" w:cs="宋体"/>
          <w:kern w:val="0"/>
          <w:sz w:val="32"/>
          <w:szCs w:val="32"/>
        </w:rPr>
        <w:t>严格按照《保密法》及相关规定，严格执行政府信息公开前保密审查制度，明确审查工作程序和责任，确保“上网信息不涉密，涉密信息不上网”。</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十、所属事业单位信息公开工作推进措施和落实情况</w:t>
      </w:r>
    </w:p>
    <w:p>
      <w:pPr>
        <w:keepNext w:val="0"/>
        <w:keepLines w:val="0"/>
        <w:pageBreakBefore w:val="0"/>
        <w:widowControl/>
        <w:kinsoku/>
        <w:wordWrap/>
        <w:overflowPunct/>
        <w:topLinePunct w:val="0"/>
        <w:autoSpaceDE/>
        <w:autoSpaceDN w:val="0"/>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是成立了政府信息公开工作领导小组，明确工作责任，为贯彻施行政府信息公开工作提供了强有力的保障。二是根据政务信息公开的属性，按照主动公开、依申请公开、不予公开三类进行公开。三是实行专人负责，确保政府信息公开工作的顺利推进。</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十一、存在的主要问题和改进措施</w:t>
      </w:r>
    </w:p>
    <w:p>
      <w:pPr>
        <w:keepNext w:val="0"/>
        <w:keepLines w:val="0"/>
        <w:pageBreakBefore w:val="0"/>
        <w:widowControl/>
        <w:kinsoku/>
        <w:wordWrap/>
        <w:overflowPunct/>
        <w:topLinePunct w:val="0"/>
        <w:autoSpaceDE/>
        <w:autoSpaceDN w:val="0"/>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对政府信息公开政策的范围需进一步扩大。</w:t>
      </w:r>
    </w:p>
    <w:p>
      <w:pPr>
        <w:keepNext w:val="0"/>
        <w:keepLines w:val="0"/>
        <w:pageBreakBefore w:val="0"/>
        <w:widowControl/>
        <w:kinsoku/>
        <w:wordWrap/>
        <w:overflowPunct/>
        <w:topLinePunct w:val="0"/>
        <w:autoSpaceDE/>
        <w:autoSpaceDN w:val="0"/>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2013年，我们将继续按照县委县政府的有关要求，持续深化政府信息公开工作，进一步提高信息公开的及时性，丰富政府信息内容，努力提高政府信息公开水平。</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十二、需要说明的事项与附表</w:t>
      </w:r>
    </w:p>
    <w:p>
      <w:pPr>
        <w:keepNext w:val="0"/>
        <w:keepLines w:val="0"/>
        <w:pageBreakBefore w:val="0"/>
        <w:widowControl/>
        <w:kinsoku/>
        <w:wordWrap/>
        <w:overflowPunct/>
        <w:topLinePunct w:val="0"/>
        <w:autoSpaceDE/>
        <w:bidi w:val="0"/>
        <w:adjustRightInd/>
        <w:snapToGrid/>
        <w:ind w:left="0" w:leftChars="0" w:firstLine="63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widowControl/>
        <w:shd w:val="clear" w:color="auto" w:fill="FFFFFF"/>
        <w:autoSpaceDN w:val="0"/>
        <w:ind w:left="0" w:leftChars="0" w:firstLine="0" w:firstLineChars="0"/>
        <w:jc w:val="left"/>
        <w:rPr>
          <w:rFonts w:hint="eastAsia" w:ascii="黑体" w:hAnsi="黑体" w:eastAsia="黑体" w:cs="黑体"/>
          <w:b w:val="0"/>
          <w:bCs w:val="0"/>
          <w:kern w:val="0"/>
          <w:sz w:val="32"/>
          <w:szCs w:val="32"/>
          <w:shd w:val="clear" w:color="auto" w:fill="FFFFFF"/>
        </w:rPr>
      </w:pPr>
      <w:r>
        <w:rPr>
          <w:rFonts w:hint="eastAsia" w:ascii="黑体" w:hAnsi="黑体" w:eastAsia="黑体" w:cs="黑体"/>
          <w:b w:val="0"/>
          <w:bCs w:val="0"/>
          <w:color w:val="333333"/>
          <w:kern w:val="0"/>
          <w:sz w:val="32"/>
          <w:szCs w:val="32"/>
          <w:shd w:val="clear" w:color="auto" w:fill="FFFFFF"/>
        </w:rPr>
        <w:t>附表</w:t>
      </w:r>
    </w:p>
    <w:p>
      <w:pPr>
        <w:widowControl/>
        <w:shd w:val="clear" w:color="auto" w:fill="FFFFFF"/>
        <w:autoSpaceDN w:val="0"/>
        <w:ind w:left="0" w:leftChars="0" w:firstLine="465"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1.主动公开情况统计</w:t>
      </w:r>
    </w:p>
    <w:tbl>
      <w:tblPr>
        <w:tblStyle w:val="7"/>
        <w:tblW w:w="0" w:type="auto"/>
        <w:tblInd w:w="468" w:type="dxa"/>
        <w:tblLayout w:type="fixed"/>
        <w:tblCellMar>
          <w:top w:w="0" w:type="dxa"/>
          <w:left w:w="108" w:type="dxa"/>
          <w:bottom w:w="0" w:type="dxa"/>
          <w:right w:w="108" w:type="dxa"/>
        </w:tblCellMar>
      </w:tblPr>
      <w:tblGrid>
        <w:gridCol w:w="6106"/>
        <w:gridCol w:w="752"/>
        <w:gridCol w:w="882"/>
      </w:tblGrid>
      <w:tr>
        <w:tblPrEx>
          <w:tblCellMar>
            <w:top w:w="0" w:type="dxa"/>
            <w:left w:w="108" w:type="dxa"/>
            <w:bottom w:w="0" w:type="dxa"/>
            <w:right w:w="108" w:type="dxa"/>
          </w:tblCellMar>
        </w:tblPrEx>
        <w:trPr>
          <w:trHeight w:val="476" w:hRule="atLeast"/>
        </w:trPr>
        <w:tc>
          <w:tcPr>
            <w:tcW w:w="6106"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52"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82"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本年度主动公开信息总数</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hAnsi="宋体" w:cs="宋体"/>
                <w:kern w:val="0"/>
                <w:sz w:val="32"/>
                <w:szCs w:val="32"/>
                <w:shd w:val="clear" w:color="auto" w:fill="FFFFFF"/>
                <w:lang w:val="en-US" w:eastAsia="zh-CN"/>
              </w:rPr>
              <w:t>7</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其中：政策文件类信息</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本年度全文电子化的主动公开信息数</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本年度总共栏目数（二级目录）</w:t>
            </w:r>
          </w:p>
        </w:tc>
        <w:tc>
          <w:tcPr>
            <w:tcW w:w="75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882"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2.依申请公开情况统计</w:t>
      </w:r>
    </w:p>
    <w:tbl>
      <w:tblPr>
        <w:tblStyle w:val="7"/>
        <w:tblW w:w="0" w:type="auto"/>
        <w:tblInd w:w="491" w:type="dxa"/>
        <w:tblLayout w:type="fixed"/>
        <w:tblCellMar>
          <w:top w:w="0" w:type="dxa"/>
          <w:left w:w="108" w:type="dxa"/>
          <w:bottom w:w="0" w:type="dxa"/>
          <w:right w:w="108" w:type="dxa"/>
        </w:tblCellMar>
      </w:tblPr>
      <w:tblGrid>
        <w:gridCol w:w="6083"/>
        <w:gridCol w:w="740"/>
        <w:gridCol w:w="917"/>
      </w:tblGrid>
      <w:tr>
        <w:trPr>
          <w:trHeight w:val="476" w:hRule="atLeast"/>
        </w:trPr>
        <w:tc>
          <w:tcPr>
            <w:tcW w:w="6083"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40"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1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本年度申请总数</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本年度对申请的答复总数</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其中：同意公开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同意部分公开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不予公开</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其中：1.信息不存在</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2.非本部门掌握</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3.申请内容不明确</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4.《条例》第8、14条规定</w:t>
            </w:r>
          </w:p>
        </w:tc>
        <w:tc>
          <w:tcPr>
            <w:tcW w:w="740"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5.其他原因</w:t>
            </w:r>
          </w:p>
        </w:tc>
        <w:tc>
          <w:tcPr>
            <w:tcW w:w="740"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1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630" w:firstLineChars="20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3.咨询处理情况统计</w:t>
      </w:r>
    </w:p>
    <w:tbl>
      <w:tblPr>
        <w:tblStyle w:val="7"/>
        <w:tblW w:w="0" w:type="auto"/>
        <w:tblInd w:w="491" w:type="dxa"/>
        <w:tblLayout w:type="fixed"/>
        <w:tblCellMar>
          <w:top w:w="0" w:type="dxa"/>
          <w:left w:w="108" w:type="dxa"/>
          <w:bottom w:w="0" w:type="dxa"/>
          <w:right w:w="108" w:type="dxa"/>
        </w:tblCellMar>
      </w:tblPr>
      <w:tblGrid>
        <w:gridCol w:w="6098"/>
        <w:gridCol w:w="712"/>
        <w:gridCol w:w="930"/>
      </w:tblGrid>
      <w:tr>
        <w:tblPrEx>
          <w:tblCellMar>
            <w:top w:w="0" w:type="dxa"/>
            <w:left w:w="108" w:type="dxa"/>
            <w:bottom w:w="0" w:type="dxa"/>
            <w:right w:w="108" w:type="dxa"/>
          </w:tblCellMar>
        </w:tblPrEx>
        <w:trPr>
          <w:trHeight w:val="476" w:hRule="atLeast"/>
        </w:trPr>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rPr>
            </w:pPr>
            <w:r>
              <w:rPr>
                <w:rFonts w:hint="eastAsia" w:ascii="仿宋_GB2312" w:hAnsi="宋体" w:eastAsia="仿宋_GB2312" w:cs="宋体"/>
                <w:caps/>
                <w:kern w:val="0"/>
                <w:sz w:val="32"/>
                <w:szCs w:val="32"/>
                <w:shd w:val="clear" w:color="auto" w:fill="FFFFFF"/>
              </w:rPr>
              <w:t>指    标</w:t>
            </w:r>
          </w:p>
        </w:tc>
        <w:tc>
          <w:tcPr>
            <w:tcW w:w="712"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30"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本年度接受咨询总数</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其中：1.当面咨询</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2.电话咨询</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3.网上咨询（政务意见箱）</w:t>
            </w:r>
          </w:p>
        </w:tc>
        <w:tc>
          <w:tcPr>
            <w:tcW w:w="712"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网上咨询（政务意见箱）15天内回复的数目</w:t>
            </w:r>
          </w:p>
        </w:tc>
        <w:tc>
          <w:tcPr>
            <w:tcW w:w="712"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0"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4.复议、诉讼和申诉情况统计</w:t>
      </w:r>
    </w:p>
    <w:tbl>
      <w:tblPr>
        <w:tblStyle w:val="7"/>
        <w:tblW w:w="0" w:type="auto"/>
        <w:tblInd w:w="491" w:type="dxa"/>
        <w:tblLayout w:type="fixed"/>
        <w:tblCellMar>
          <w:top w:w="0" w:type="dxa"/>
          <w:left w:w="108" w:type="dxa"/>
          <w:bottom w:w="0" w:type="dxa"/>
          <w:right w:w="108" w:type="dxa"/>
        </w:tblCellMar>
      </w:tblPr>
      <w:tblGrid>
        <w:gridCol w:w="6120"/>
        <w:gridCol w:w="753"/>
        <w:gridCol w:w="867"/>
      </w:tblGrid>
      <w:tr>
        <w:tblPrEx>
          <w:tblCellMar>
            <w:top w:w="0" w:type="dxa"/>
            <w:left w:w="108" w:type="dxa"/>
            <w:bottom w:w="0" w:type="dxa"/>
            <w:right w:w="108" w:type="dxa"/>
          </w:tblCellMar>
        </w:tblPrEx>
        <w:tc>
          <w:tcPr>
            <w:tcW w:w="6120"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53"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6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本年度被行政复议数量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9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spacing w:line="420" w:lineRule="atLeast"/>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其中:决定撤销、变更或确认该具体行政行为违法的数量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本年度引发有关政府信息公开行政诉讼数量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其中：1.判决撤销或部分撤销的数量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2.判决在一定期限内履行的数量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3.判决变更的数量</w:t>
            </w:r>
          </w:p>
        </w:tc>
        <w:tc>
          <w:tcPr>
            <w:tcW w:w="753"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本年度共引发有关政府信息公开的申诉数量</w:t>
            </w:r>
          </w:p>
        </w:tc>
        <w:tc>
          <w:tcPr>
            <w:tcW w:w="753" w:type="dxa"/>
            <w:tcBorders>
              <w:bottom w:val="double" w:color="000000" w:sz="2"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6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5.人员及经费支出情况统计</w:t>
      </w:r>
    </w:p>
    <w:tbl>
      <w:tblPr>
        <w:tblStyle w:val="7"/>
        <w:tblW w:w="0" w:type="auto"/>
        <w:tblInd w:w="491" w:type="dxa"/>
        <w:tblLayout w:type="fixed"/>
        <w:tblCellMar>
          <w:top w:w="0" w:type="dxa"/>
          <w:left w:w="108" w:type="dxa"/>
          <w:bottom w:w="0" w:type="dxa"/>
          <w:right w:w="108" w:type="dxa"/>
        </w:tblCellMar>
      </w:tblPr>
      <w:tblGrid>
        <w:gridCol w:w="6098"/>
        <w:gridCol w:w="725"/>
        <w:gridCol w:w="917"/>
      </w:tblGrid>
      <w:tr>
        <w:tblPrEx>
          <w:tblCellMar>
            <w:top w:w="0" w:type="dxa"/>
            <w:left w:w="108" w:type="dxa"/>
            <w:bottom w:w="0" w:type="dxa"/>
            <w:right w:w="108" w:type="dxa"/>
          </w:tblCellMar>
        </w:tblPrEx>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政府信息公开查阅点数量</w:t>
            </w:r>
          </w:p>
        </w:tc>
        <w:tc>
          <w:tcPr>
            <w:tcW w:w="725"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个</w:t>
            </w:r>
          </w:p>
        </w:tc>
        <w:tc>
          <w:tcPr>
            <w:tcW w:w="91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政府信息依申请受理点数量</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政府信息公开指定工作人员总数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其中：1.全职人员数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2.兼职人员数</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hAnsi="宋体" w:cs="宋体"/>
                <w:kern w:val="0"/>
                <w:sz w:val="32"/>
                <w:szCs w:val="32"/>
                <w:shd w:val="clear" w:color="auto" w:fill="FFFFFF"/>
                <w:lang w:val="en-US" w:eastAsia="zh-CN"/>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本年度政府信息公开专项经费安排</w:t>
            </w:r>
          </w:p>
        </w:tc>
        <w:tc>
          <w:tcPr>
            <w:tcW w:w="7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9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本年度政府信息公开实际支出</w:t>
            </w:r>
          </w:p>
        </w:tc>
        <w:tc>
          <w:tcPr>
            <w:tcW w:w="725"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91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pStyle w:val="12"/>
        <w:shd w:val="clear" w:color="auto" w:fill="FFFFFF"/>
        <w:autoSpaceDN w:val="0"/>
        <w:ind w:left="315" w:firstLine="160"/>
        <w:jc w:val="left"/>
      </w:pPr>
    </w:p>
    <w:sectPr>
      <w:pgSz w:w="11906" w:h="16838"/>
      <w:pgMar w:top="2098" w:right="1474" w:bottom="1984" w:left="1633" w:header="851" w:footer="1531" w:gutter="0"/>
      <w:cols w:space="0" w:num="1"/>
      <w:rtlGutter w:val="0"/>
      <w:docGrid w:type="linesAndChars" w:linePitch="579" w:charSpace="-11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简标宋">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57"/>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0575"/>
    <w:rsid w:val="000774E9"/>
    <w:rsid w:val="001C2B25"/>
    <w:rsid w:val="002E6F64"/>
    <w:rsid w:val="00301410"/>
    <w:rsid w:val="003D1B6F"/>
    <w:rsid w:val="00400575"/>
    <w:rsid w:val="00545016"/>
    <w:rsid w:val="00747DFF"/>
    <w:rsid w:val="00763943"/>
    <w:rsid w:val="007F6C41"/>
    <w:rsid w:val="00844C6E"/>
    <w:rsid w:val="00A32CD0"/>
    <w:rsid w:val="00B833EE"/>
    <w:rsid w:val="00E845C4"/>
    <w:rsid w:val="06005AE6"/>
    <w:rsid w:val="0CAB16A5"/>
    <w:rsid w:val="43E3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50" w:leftChars="150" w:firstLine="50" w:firstLineChars="5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mail Signature"/>
    <w:basedOn w:val="1"/>
    <w:semiHidden/>
    <w:unhideWhenUsed/>
    <w:uiPriority w:val="99"/>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1 Char"/>
    <w:basedOn w:val="8"/>
    <w:link w:val="3"/>
    <w:qFormat/>
    <w:uiPriority w:val="9"/>
    <w:rPr>
      <w:b/>
      <w:bCs/>
      <w:kern w:val="44"/>
      <w:sz w:val="44"/>
      <w:szCs w:val="44"/>
    </w:rPr>
  </w:style>
  <w:style w:type="character" w:customStyle="1" w:styleId="10">
    <w:name w:val="标题 3 Char"/>
    <w:basedOn w:val="8"/>
    <w:link w:val="4"/>
    <w:qFormat/>
    <w:uiPriority w:val="9"/>
    <w:rPr>
      <w:b/>
      <w:bCs/>
      <w:sz w:val="32"/>
      <w:szCs w:val="32"/>
    </w:rPr>
  </w:style>
  <w:style w:type="character" w:customStyle="1" w:styleId="11">
    <w:name w:val="标题 4 Char"/>
    <w:basedOn w:val="8"/>
    <w:link w:val="5"/>
    <w:qFormat/>
    <w:uiPriority w:val="9"/>
    <w:rPr>
      <w:rFonts w:asciiTheme="majorHAnsi" w:hAnsiTheme="majorHAnsi" w:eastAsiaTheme="majorEastAsia" w:cstheme="majorBidi"/>
      <w:b/>
      <w:bCs/>
      <w:sz w:val="28"/>
      <w:szCs w:val="28"/>
    </w:rPr>
  </w:style>
  <w:style w:type="paragraph" w:customStyle="1" w:styleId="12">
    <w:name w:val="p0"/>
    <w:basedOn w:val="1"/>
    <w:qFormat/>
    <w:uiPriority w:val="0"/>
    <w:pPr>
      <w:widowControl/>
      <w:ind w:left="0" w:leftChars="0" w:firstLine="420" w:firstLineChars="0"/>
    </w:pPr>
    <w:rPr>
      <w:rFonts w:ascii="仿宋_GB2312" w:hAnsi="宋体" w:eastAsia="仿宋_GB2312" w:cs="宋体"/>
      <w:kern w:val="0"/>
      <w:sz w:val="32"/>
      <w:szCs w:val="32"/>
    </w:rPr>
  </w:style>
  <w:style w:type="paragraph" w:customStyle="1" w:styleId="13">
    <w:name w:val="p15"/>
    <w:basedOn w:val="1"/>
    <w:qFormat/>
    <w:uiPriority w:val="0"/>
    <w:pPr>
      <w:widowControl/>
      <w:ind w:left="0" w:leftChars="0" w:firstLine="0" w:firstLineChars="0"/>
      <w:jc w:val="center"/>
    </w:pPr>
    <w:rPr>
      <w:rFonts w:ascii="微软简标宋" w:hAnsi="微软简标宋" w:eastAsia="宋体" w:cs="宋体"/>
      <w:b/>
      <w:bCs/>
      <w:kern w:val="0"/>
      <w:sz w:val="44"/>
      <w:szCs w:val="44"/>
    </w:rPr>
  </w:style>
  <w:style w:type="paragraph" w:customStyle="1" w:styleId="14">
    <w:name w:val="p16"/>
    <w:basedOn w:val="1"/>
    <w:qFormat/>
    <w:uiPriority w:val="0"/>
    <w:pPr>
      <w:widowControl/>
      <w:ind w:left="0" w:leftChars="0" w:firstLine="0" w:firstLineChars="0"/>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438</Words>
  <Characters>2503</Characters>
  <Lines>20</Lines>
  <Paragraphs>5</Paragraphs>
  <TotalTime>69</TotalTime>
  <ScaleCrop>false</ScaleCrop>
  <LinksUpToDate>false</LinksUpToDate>
  <CharactersWithSpaces>2936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2020-06-05T06:43:00Z</dcterms:created>
  <dc:creator>NTKO</dc:creator>
  <cp:lastModifiedBy>武士</cp:lastModifiedBy>
  <dcterms:modified xsi:type="dcterms:W3CDTF">2020-06-15T15:01:18Z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