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pacing w:val="-17"/>
          <w:w w:val="95"/>
          <w:kern w:val="0"/>
          <w:sz w:val="44"/>
          <w:szCs w:val="44"/>
        </w:rPr>
      </w:pPr>
      <w:r>
        <w:rPr>
          <w:rFonts w:hint="eastAsia" w:ascii="方正小标宋简体" w:hAnsi="方正小标宋简体" w:eastAsia="方正小标宋简体" w:cs="方正小标宋简体"/>
          <w:b w:val="0"/>
          <w:bCs w:val="0"/>
          <w:spacing w:val="-17"/>
          <w:w w:val="95"/>
          <w:kern w:val="0"/>
          <w:sz w:val="44"/>
          <w:szCs w:val="44"/>
        </w:rPr>
        <w:t>桓台县信访局20</w:t>
      </w:r>
      <w:r>
        <w:rPr>
          <w:rFonts w:hint="eastAsia" w:ascii="方正小标宋简体" w:hAnsi="方正小标宋简体" w:eastAsia="方正小标宋简体" w:cs="方正小标宋简体"/>
          <w:b w:val="0"/>
          <w:bCs w:val="0"/>
          <w:spacing w:val="-17"/>
          <w:w w:val="95"/>
          <w:kern w:val="0"/>
          <w:sz w:val="44"/>
          <w:szCs w:val="44"/>
          <w:lang w:val="en-US" w:eastAsia="zh-CN"/>
        </w:rPr>
        <w:t>10</w:t>
      </w:r>
      <w:r>
        <w:rPr>
          <w:rFonts w:hint="eastAsia" w:ascii="方正小标宋简体" w:hAnsi="方正小标宋简体" w:eastAsia="方正小标宋简体" w:cs="方正小标宋简体"/>
          <w:b w:val="0"/>
          <w:bCs w:val="0"/>
          <w:spacing w:val="-17"/>
          <w:w w:val="95"/>
          <w:kern w:val="0"/>
          <w:sz w:val="44"/>
          <w:szCs w:val="44"/>
        </w:rPr>
        <w:t>年度政府信息公开工作年度报告</w:t>
      </w:r>
    </w:p>
    <w:p>
      <w:pPr>
        <w:widowControl/>
        <w:ind w:left="0" w:leftChars="0" w:firstLine="420" w:firstLineChars="0"/>
        <w:rPr>
          <w:rFonts w:ascii="仿宋_GB2312" w:hAnsi="宋体" w:eastAsia="仿宋_GB2312" w:cs="宋体"/>
          <w:kern w:val="0"/>
          <w:sz w:val="32"/>
          <w:szCs w:val="32"/>
        </w:rPr>
      </w:pP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40" w:firstLineChars="200"/>
        <w:jc w:val="both"/>
        <w:textAlignment w:val="auto"/>
        <w:outlineLvl w:val="9"/>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本报</w:t>
      </w:r>
      <w:r>
        <w:rPr>
          <w:rFonts w:hint="eastAsia" w:ascii="仿宋_GB2312" w:hAnsi="宋体" w:eastAsia="仿宋_GB2312" w:cs="宋体"/>
          <w:kern w:val="0"/>
          <w:sz w:val="32"/>
          <w:szCs w:val="32"/>
          <w:shd w:val="clear" w:color="auto" w:fill="FFFFFF"/>
          <w:lang w:eastAsia="zh-CN"/>
        </w:rPr>
        <w:t>告</w:t>
      </w:r>
      <w:r>
        <w:rPr>
          <w:rFonts w:hint="eastAsia" w:ascii="仿宋_GB2312" w:hAnsi="宋体" w:eastAsia="仿宋_GB2312" w:cs="宋体"/>
          <w:kern w:val="0"/>
          <w:sz w:val="32"/>
          <w:szCs w:val="32"/>
          <w:shd w:val="clear" w:color="auto" w:fill="FFFFFF"/>
        </w:rPr>
        <w:t>是根据《中华人民共和国政府信息公开条例》，由桓台县</w:t>
      </w:r>
      <w:r>
        <w:rPr>
          <w:rFonts w:hint="eastAsia" w:ascii="仿宋_GB2312" w:hAnsi="宋体" w:eastAsia="仿宋_GB2312" w:cs="宋体"/>
          <w:kern w:val="0"/>
          <w:sz w:val="32"/>
          <w:szCs w:val="32"/>
          <w:shd w:val="clear" w:color="auto" w:fill="FFFFFF"/>
          <w:lang w:eastAsia="zh-CN"/>
        </w:rPr>
        <w:t>信访</w:t>
      </w:r>
      <w:r>
        <w:rPr>
          <w:rFonts w:hint="eastAsia" w:ascii="仿宋_GB2312" w:hAnsi="宋体" w:eastAsia="仿宋_GB2312" w:cs="宋体"/>
          <w:kern w:val="0"/>
          <w:sz w:val="32"/>
          <w:szCs w:val="32"/>
          <w:shd w:val="clear" w:color="auto" w:fill="FFFFFF"/>
        </w:rPr>
        <w:t>局编制的2010年度政府信息公开年度报告。</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全文包括概述；政府信息公开工作的组织领导和制度建设情况；发布解读、回应社会关切以及互动交流情况；重点领域政府信息公开推进工作；主动公开政府信息情况；政府信息公开申请办理情况；政府信息的收费及减免情况；因政府信息公开申请提起行政复议及行政诉讼情况；政府信息公开保密审查及监督检查情况；所属事业单位信息公开工作推进措施和落实请款；政府信息公开工作存在的主要问题及改进情况；需要说明的事项与附表</w:t>
      </w:r>
      <w:r>
        <w:rPr>
          <w:rFonts w:hint="eastAsia" w:ascii="仿宋_GB2312" w:hAnsi="宋体" w:eastAsia="仿宋_GB2312" w:cs="宋体"/>
          <w:spacing w:val="-11"/>
          <w:kern w:val="0"/>
          <w:sz w:val="32"/>
          <w:szCs w:val="32"/>
          <w:shd w:val="clear" w:color="auto" w:fill="FFFFFF"/>
        </w:rPr>
        <w:t>等12个部分。桓台县政府信息公开网站</w:t>
      </w:r>
      <w:r>
        <w:rPr>
          <w:rFonts w:hint="eastAsia" w:ascii="仿宋_GB2312" w:hAnsi="宋体" w:eastAsia="仿宋_GB2312" w:cs="宋体"/>
          <w:kern w:val="0"/>
          <w:sz w:val="28"/>
          <w:szCs w:val="28"/>
          <w:shd w:val="clear" w:color="auto" w:fill="FFFFFF"/>
        </w:rPr>
        <w:t>http://www.huantai.gov.cn/</w:t>
      </w:r>
      <w:r>
        <w:rPr>
          <w:rFonts w:hint="eastAsia" w:ascii="仿宋_GB2312" w:hAnsi="宋体" w:eastAsia="仿宋_GB2312" w:cs="宋体"/>
          <w:kern w:val="0"/>
          <w:sz w:val="32"/>
          <w:szCs w:val="32"/>
          <w:shd w:val="clear" w:color="auto" w:fill="FFFFFF"/>
        </w:rPr>
        <w:t>上可下载本报告的电子版。如对本报告有任何疑问，请联系：桓台县</w:t>
      </w:r>
      <w:r>
        <w:rPr>
          <w:rFonts w:hint="eastAsia" w:ascii="仿宋_GB2312" w:hAnsi="宋体" w:eastAsia="仿宋_GB2312" w:cs="宋体"/>
          <w:kern w:val="0"/>
          <w:sz w:val="32"/>
          <w:szCs w:val="32"/>
          <w:shd w:val="clear" w:color="auto" w:fill="FFFFFF"/>
          <w:lang w:eastAsia="zh-CN"/>
        </w:rPr>
        <w:t>信访</w:t>
      </w:r>
      <w:r>
        <w:rPr>
          <w:rFonts w:hint="eastAsia" w:ascii="仿宋_GB2312" w:hAnsi="宋体" w:eastAsia="仿宋_GB2312" w:cs="宋体"/>
          <w:kern w:val="0"/>
          <w:sz w:val="32"/>
          <w:szCs w:val="32"/>
          <w:shd w:val="clear" w:color="auto" w:fill="FFFFFF"/>
        </w:rPr>
        <w:t>局办公室，联系电话：</w:t>
      </w:r>
      <w:r>
        <w:rPr>
          <w:rFonts w:hint="eastAsia" w:ascii="仿宋_GB2312" w:hAnsi="宋体" w:eastAsia="仿宋_GB2312" w:cs="宋体"/>
          <w:kern w:val="0"/>
          <w:sz w:val="32"/>
          <w:szCs w:val="32"/>
          <w:shd w:val="clear" w:color="auto" w:fill="FFFFFF"/>
          <w:lang w:val="en-US" w:eastAsia="zh-CN"/>
        </w:rPr>
        <w:t>8180004</w:t>
      </w:r>
      <w:r>
        <w:rPr>
          <w:rFonts w:hint="eastAsia" w:ascii="仿宋_GB2312" w:hAnsi="宋体" w:eastAsia="仿宋_GB2312" w:cs="宋体"/>
          <w:kern w:val="0"/>
          <w:sz w:val="32"/>
          <w:szCs w:val="32"/>
          <w:shd w:val="clear" w:color="auto" w:fill="FFFFFF"/>
        </w:rPr>
        <w:t>。</w:t>
      </w:r>
    </w:p>
    <w:p>
      <w:pPr>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一、概述</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lang w:eastAsia="zh-CN"/>
        </w:rPr>
        <w:t>县信访局</w:t>
      </w:r>
      <w:r>
        <w:rPr>
          <w:rFonts w:hint="eastAsia" w:ascii="仿宋_GB2312" w:hAnsi="宋体" w:eastAsia="仿宋_GB2312" w:cs="宋体"/>
          <w:kern w:val="0"/>
          <w:sz w:val="32"/>
          <w:szCs w:val="32"/>
          <w:shd w:val="clear" w:color="auto" w:fill="FFFFFF"/>
        </w:rPr>
        <w:t>在县委县政府的领导下，以保障公民、法人和其他组织依法获取</w:t>
      </w:r>
      <w:r>
        <w:rPr>
          <w:rFonts w:hint="eastAsia" w:ascii="仿宋_GB2312" w:hAnsi="宋体" w:eastAsia="仿宋_GB2312" w:cs="宋体"/>
          <w:kern w:val="0"/>
          <w:sz w:val="32"/>
          <w:szCs w:val="32"/>
          <w:shd w:val="clear" w:color="auto" w:fill="FFFFFF"/>
          <w:lang w:eastAsia="zh-CN"/>
        </w:rPr>
        <w:t>信访</w:t>
      </w:r>
      <w:r>
        <w:rPr>
          <w:rFonts w:hint="eastAsia" w:ascii="仿宋_GB2312" w:hAnsi="宋体" w:eastAsia="仿宋_GB2312" w:cs="宋体"/>
          <w:kern w:val="0"/>
          <w:sz w:val="32"/>
          <w:szCs w:val="32"/>
          <w:shd w:val="clear" w:color="auto" w:fill="FFFFFF"/>
        </w:rPr>
        <w:t>工作的政府信息，提高</w:t>
      </w:r>
      <w:r>
        <w:rPr>
          <w:rFonts w:hint="eastAsia" w:ascii="仿宋_GB2312" w:hAnsi="宋体" w:eastAsia="仿宋_GB2312" w:cs="宋体"/>
          <w:kern w:val="0"/>
          <w:sz w:val="32"/>
          <w:szCs w:val="32"/>
          <w:shd w:val="clear" w:color="auto" w:fill="FFFFFF"/>
          <w:lang w:eastAsia="zh-CN"/>
        </w:rPr>
        <w:t>信访工作的</w:t>
      </w:r>
      <w:r>
        <w:rPr>
          <w:rFonts w:hint="eastAsia" w:ascii="仿宋_GB2312" w:hAnsi="宋体" w:eastAsia="仿宋_GB2312" w:cs="宋体"/>
          <w:kern w:val="0"/>
          <w:sz w:val="32"/>
          <w:szCs w:val="32"/>
          <w:shd w:val="clear" w:color="auto" w:fill="FFFFFF"/>
        </w:rPr>
        <w:t>透明度，畅通与人民群众的沟通渠道，扎实推进政府信息公开的各项工作，</w:t>
      </w:r>
      <w:r>
        <w:rPr>
          <w:rFonts w:hint="eastAsia" w:ascii="仿宋_GB2312" w:hAnsi="宋体" w:eastAsia="仿宋_GB2312" w:cs="宋体"/>
          <w:kern w:val="0"/>
          <w:sz w:val="32"/>
          <w:szCs w:val="32"/>
          <w:shd w:val="clear" w:color="auto" w:fill="FFFFFF"/>
          <w:lang w:eastAsia="zh-CN"/>
        </w:rPr>
        <w:t>确保</w:t>
      </w:r>
      <w:r>
        <w:rPr>
          <w:rFonts w:hint="eastAsia" w:ascii="仿宋_GB2312" w:hAnsi="宋体" w:eastAsia="仿宋_GB2312" w:cs="宋体"/>
          <w:kern w:val="0"/>
          <w:sz w:val="32"/>
          <w:szCs w:val="32"/>
          <w:shd w:val="clear" w:color="auto" w:fill="FFFFFF"/>
        </w:rPr>
        <w:t>政府信息公开工作运行正常。</w:t>
      </w:r>
    </w:p>
    <w:p>
      <w:pPr>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二、政府信息公开的组织领导与制度建设</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为加强政府信息公开工作的组织领导，</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成立了以局长为组长，</w:t>
      </w:r>
      <w:r>
        <w:rPr>
          <w:rFonts w:hint="eastAsia" w:ascii="仿宋_GB2312" w:hAnsi="宋体" w:eastAsia="仿宋_GB2312" w:cs="宋体"/>
          <w:kern w:val="0"/>
          <w:sz w:val="32"/>
          <w:szCs w:val="32"/>
          <w:lang w:eastAsia="zh-CN"/>
        </w:rPr>
        <w:t>分管</w:t>
      </w:r>
      <w:r>
        <w:rPr>
          <w:rFonts w:hint="eastAsia" w:ascii="仿宋_GB2312" w:hAnsi="宋体" w:eastAsia="仿宋_GB2312" w:cs="宋体"/>
          <w:kern w:val="0"/>
          <w:sz w:val="32"/>
          <w:szCs w:val="32"/>
        </w:rPr>
        <w:t>副局长为副组长，</w:t>
      </w:r>
      <w:r>
        <w:rPr>
          <w:rFonts w:hint="eastAsia" w:ascii="仿宋_GB2312" w:hAnsi="宋体" w:eastAsia="仿宋_GB2312" w:cs="宋体"/>
          <w:kern w:val="0"/>
          <w:sz w:val="32"/>
          <w:szCs w:val="32"/>
          <w:lang w:eastAsia="zh-CN"/>
        </w:rPr>
        <w:t>各业务科室</w:t>
      </w:r>
      <w:r>
        <w:rPr>
          <w:rFonts w:hint="eastAsia" w:ascii="仿宋_GB2312" w:hAnsi="宋体" w:eastAsia="仿宋_GB2312" w:cs="宋体"/>
          <w:kern w:val="0"/>
          <w:sz w:val="32"/>
          <w:szCs w:val="32"/>
        </w:rPr>
        <w:t>负责人为成员的</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政府信息公开工作领导小组。小组下设办公室，由局办公室具体承办信息公开</w:t>
      </w:r>
      <w:r>
        <w:rPr>
          <w:rFonts w:hint="eastAsia" w:ascii="仿宋_GB2312" w:hAnsi="宋体" w:eastAsia="仿宋_GB2312" w:cs="宋体"/>
          <w:kern w:val="0"/>
          <w:sz w:val="32"/>
          <w:szCs w:val="32"/>
          <w:lang w:eastAsia="zh-CN"/>
        </w:rPr>
        <w:t>的相关</w:t>
      </w:r>
      <w:r>
        <w:rPr>
          <w:rFonts w:hint="eastAsia" w:ascii="仿宋_GB2312" w:hAnsi="宋体" w:eastAsia="仿宋_GB2312" w:cs="宋体"/>
          <w:kern w:val="0"/>
          <w:sz w:val="32"/>
          <w:szCs w:val="32"/>
        </w:rPr>
        <w:t>工作。</w:t>
      </w:r>
    </w:p>
    <w:p>
      <w:pPr>
        <w:keepNext w:val="0"/>
        <w:keepLines w:val="0"/>
        <w:pageBreakBefore w:val="0"/>
        <w:widowControl/>
        <w:kinsoku/>
        <w:wordWrap/>
        <w:overflowPunct/>
        <w:topLinePunct w:val="0"/>
        <w:autoSpaceDE/>
        <w:autoSpaceDN/>
        <w:bidi w:val="0"/>
        <w:adjustRightInd/>
        <w:snapToGrid/>
        <w:ind w:left="0" w:leftChars="0" w:firstLine="64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三、发布解读、回应社会关切以及互动交流情况</w:t>
      </w:r>
    </w:p>
    <w:p>
      <w:pPr>
        <w:keepNext w:val="0"/>
        <w:keepLines w:val="0"/>
        <w:pageBreakBefore w:val="0"/>
        <w:widowControl/>
        <w:numPr>
          <w:numId w:val="0"/>
        </w:numPr>
        <w:kinsoku/>
        <w:wordWrap/>
        <w:overflowPunct/>
        <w:topLinePunct w:val="0"/>
        <w:autoSpaceDE/>
        <w:autoSpaceDN/>
        <w:bidi w:val="0"/>
        <w:adjustRightInd/>
        <w:snapToGrid/>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lang w:eastAsia="zh-CN"/>
        </w:rPr>
        <w:t>无。</w:t>
      </w:r>
    </w:p>
    <w:p>
      <w:pPr>
        <w:keepNext w:val="0"/>
        <w:keepLines w:val="0"/>
        <w:pageBreakBefore w:val="0"/>
        <w:widowControl/>
        <w:numPr>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lang w:eastAsia="zh-CN"/>
        </w:rPr>
        <w:t>四、</w:t>
      </w:r>
      <w:r>
        <w:rPr>
          <w:rFonts w:hint="eastAsia" w:ascii="黑体" w:hAnsi="黑体" w:eastAsia="黑体" w:cs="黑体"/>
          <w:b w:val="0"/>
          <w:bCs w:val="0"/>
          <w:kern w:val="0"/>
          <w:sz w:val="32"/>
          <w:szCs w:val="32"/>
        </w:rPr>
        <w:t>重点领域政府信息公开工作推进情况</w:t>
      </w:r>
    </w:p>
    <w:p>
      <w:pPr>
        <w:keepNext w:val="0"/>
        <w:keepLines w:val="0"/>
        <w:pageBreakBefore w:val="0"/>
        <w:widowControl/>
        <w:numPr>
          <w:numId w:val="0"/>
        </w:numPr>
        <w:kinsoku/>
        <w:wordWrap/>
        <w:overflowPunct/>
        <w:topLinePunct w:val="0"/>
        <w:autoSpaceDE/>
        <w:bidi w:val="0"/>
        <w:adjustRightInd/>
        <w:snapToGrid/>
        <w:ind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宋体" w:eastAsia="仿宋_GB2312" w:cs="宋体"/>
          <w:kern w:val="0"/>
          <w:sz w:val="32"/>
          <w:szCs w:val="32"/>
          <w:lang w:val="en-US" w:eastAsia="zh-CN"/>
        </w:rPr>
        <w:t>2010</w:t>
      </w:r>
      <w:r>
        <w:rPr>
          <w:rFonts w:hint="eastAsia" w:ascii="仿宋_GB2312" w:hAnsi="仿宋_GB2312" w:eastAsia="仿宋_GB2312" w:cs="仿宋_GB2312"/>
          <w:i w:val="0"/>
          <w:caps w:val="0"/>
          <w:color w:val="000000"/>
          <w:spacing w:val="0"/>
          <w:sz w:val="32"/>
          <w:szCs w:val="32"/>
        </w:rPr>
        <w:t>年县信访局不涉及重点领域政府信息公开工作。</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黑体"/>
          <w:b w:val="0"/>
          <w:bCs w:val="0"/>
          <w:kern w:val="36"/>
          <w:sz w:val="32"/>
          <w:szCs w:val="32"/>
          <w:shd w:val="clear" w:color="auto" w:fill="FFFFFF"/>
        </w:rPr>
      </w:pPr>
      <w:r>
        <w:rPr>
          <w:rFonts w:hint="eastAsia" w:ascii="黑体" w:hAnsi="黑体" w:eastAsia="黑体" w:cs="黑体"/>
          <w:b w:val="0"/>
          <w:bCs w:val="0"/>
          <w:kern w:val="36"/>
          <w:sz w:val="32"/>
          <w:szCs w:val="32"/>
        </w:rPr>
        <w:t>五、主动公开政府信息以及公开平台建设情况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县信访局主动公开的政府信息，涵盖信访局的机构职能、有关文件、发展规划、 重大决策、资金管理及监督保障措施等非保密的所有信息。主动公开各类政府信息共</w:t>
      </w:r>
      <w:r>
        <w:rPr>
          <w:rFonts w:hint="eastAsia" w:ascii="仿宋_GB2312" w:hAnsi="仿宋_GB2312" w:eastAsia="仿宋_GB2312" w:cs="仿宋_GB2312"/>
          <w:i w:val="0"/>
          <w:caps w:val="0"/>
          <w:color w:val="000000"/>
          <w:spacing w:val="0"/>
          <w:sz w:val="32"/>
          <w:szCs w:val="32"/>
          <w:lang w:val="en-US" w:eastAsia="zh-CN"/>
        </w:rPr>
        <w:t>7</w:t>
      </w:r>
      <w:r>
        <w:rPr>
          <w:rFonts w:hint="eastAsia" w:ascii="仿宋_GB2312" w:hAnsi="仿宋_GB2312" w:eastAsia="仿宋_GB2312" w:cs="仿宋_GB2312"/>
          <w:i w:val="0"/>
          <w:caps w:val="0"/>
          <w:color w:val="000000"/>
          <w:spacing w:val="0"/>
          <w:sz w:val="32"/>
          <w:szCs w:val="32"/>
        </w:rPr>
        <w:t>条，包括机构设置及职责负责人信息类2条，负责人信息1条，法规规章类2条，政府信息公开指南类1条，政府公开信息年报1条。以上信息在桓台县人民政府网站公布。</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六、政府信息公开申请办理情况</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40" w:firstLineChars="200"/>
        <w:jc w:val="both"/>
        <w:textAlignment w:val="auto"/>
        <w:outlineLvl w:val="9"/>
        <w:rPr>
          <w:rFonts w:hint="eastAsia" w:ascii="仿宋_GB2312" w:hAnsi="宋体" w:eastAsia="仿宋_GB2312" w:cs="宋体"/>
          <w:color w:val="000000"/>
          <w:kern w:val="0"/>
          <w:sz w:val="32"/>
          <w:szCs w:val="32"/>
          <w:shd w:val="clear" w:color="auto" w:fill="FFFFFF"/>
        </w:rPr>
      </w:pPr>
      <w:r>
        <w:rPr>
          <w:rFonts w:hint="eastAsia" w:ascii="仿宋_GB2312" w:hAnsi="仿宋_GB2312" w:eastAsia="仿宋_GB2312" w:cs="仿宋_GB2312"/>
          <w:i w:val="0"/>
          <w:caps w:val="0"/>
          <w:color w:val="000000"/>
          <w:spacing w:val="0"/>
          <w:sz w:val="32"/>
          <w:szCs w:val="32"/>
        </w:rPr>
        <w:t>县信访局没有收到书面或其它形式要求公开或不予公开政府信息的申请。</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七、政府信息的收费及减免情况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w:t>
      </w:r>
      <w:r>
        <w:rPr>
          <w:rFonts w:hint="eastAsia" w:ascii="仿宋_GB2312" w:hAnsi="仿宋_GB2312" w:eastAsia="仿宋_GB2312" w:cs="仿宋_GB2312"/>
          <w:i w:val="0"/>
          <w:caps w:val="0"/>
          <w:color w:val="000000"/>
          <w:spacing w:val="0"/>
          <w:sz w:val="32"/>
          <w:szCs w:val="32"/>
          <w:lang w:val="en-US" w:eastAsia="zh-CN"/>
        </w:rPr>
        <w:t>0</w:t>
      </w:r>
      <w:r>
        <w:rPr>
          <w:rFonts w:hint="eastAsia" w:ascii="仿宋_GB2312" w:hAnsi="仿宋_GB2312" w:eastAsia="仿宋_GB2312" w:cs="仿宋_GB2312"/>
          <w:i w:val="0"/>
          <w:caps w:val="0"/>
          <w:color w:val="000000"/>
          <w:spacing w:val="0"/>
          <w:sz w:val="32"/>
          <w:szCs w:val="32"/>
        </w:rPr>
        <w:t>年县信访局未发生此类情况。</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八、因政府信息公开申请提起行政复议、行政诉讼情况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40" w:firstLineChars="200"/>
        <w:jc w:val="both"/>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201</w:t>
      </w:r>
      <w:r>
        <w:rPr>
          <w:rFonts w:hint="eastAsia" w:ascii="仿宋_GB2312" w:hAnsi="仿宋_GB2312" w:eastAsia="仿宋_GB2312" w:cs="仿宋_GB2312"/>
          <w:i w:val="0"/>
          <w:caps w:val="0"/>
          <w:color w:val="000000"/>
          <w:spacing w:val="0"/>
          <w:sz w:val="32"/>
          <w:szCs w:val="32"/>
          <w:lang w:val="en-US" w:eastAsia="zh-CN"/>
        </w:rPr>
        <w:t>0</w:t>
      </w:r>
      <w:r>
        <w:rPr>
          <w:rFonts w:hint="eastAsia" w:ascii="仿宋_GB2312" w:hAnsi="仿宋_GB2312" w:eastAsia="仿宋_GB2312" w:cs="仿宋_GB2312"/>
          <w:i w:val="0"/>
          <w:caps w:val="0"/>
          <w:color w:val="000000"/>
          <w:spacing w:val="0"/>
          <w:sz w:val="32"/>
          <w:szCs w:val="32"/>
        </w:rPr>
        <w:t>年县信访局未发生此类情况。</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九、因政府信息公开保密审查及监督检查情况</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2010年</w:t>
      </w:r>
      <w:r>
        <w:rPr>
          <w:rFonts w:hint="eastAsia" w:ascii="仿宋_GB2312" w:hAnsi="宋体" w:eastAsia="仿宋_GB2312" w:cs="宋体"/>
          <w:kern w:val="0"/>
          <w:sz w:val="32"/>
          <w:szCs w:val="32"/>
          <w:lang w:eastAsia="zh-CN"/>
        </w:rPr>
        <w:t>县信访局</w:t>
      </w:r>
      <w:r>
        <w:rPr>
          <w:rFonts w:hint="eastAsia" w:ascii="仿宋_GB2312" w:hAnsi="宋体" w:eastAsia="仿宋_GB2312" w:cs="宋体"/>
          <w:kern w:val="0"/>
          <w:sz w:val="32"/>
          <w:szCs w:val="32"/>
        </w:rPr>
        <w:t>严格按照《保密法》及相关规定，严格执行政府信息公开前保密审查制度，明确审查工作程序和责任，确保“上网信息不涉密，涉密信息不上网”。</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十、所属事业单位信息公开工作推进措施和落实情况</w:t>
      </w:r>
    </w:p>
    <w:p>
      <w:pPr>
        <w:keepNext w:val="0"/>
        <w:keepLines w:val="0"/>
        <w:pageBreakBefore w:val="0"/>
        <w:widowControl/>
        <w:kinsoku/>
        <w:wordWrap/>
        <w:overflowPunct/>
        <w:topLinePunct w:val="0"/>
        <w:autoSpaceDE/>
        <w:autoSpaceDN w:val="0"/>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是成立了政府信息公开工作领导小组，明确工作责任，为贯彻施行政府信息公开工作提供了强有力的保障。二是根据政务信息公开的属性，按照主动公开、依申请公开、不予公开三类进行公开。三是实行专人负责，确保政府信息公开工作的顺利推进。</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宋体"/>
          <w:b w:val="0"/>
          <w:bCs w:val="0"/>
          <w:kern w:val="36"/>
          <w:sz w:val="32"/>
          <w:szCs w:val="32"/>
        </w:rPr>
      </w:pPr>
      <w:r>
        <w:rPr>
          <w:rFonts w:hint="eastAsia" w:ascii="黑体" w:hAnsi="黑体" w:eastAsia="黑体" w:cs="宋体"/>
          <w:b w:val="0"/>
          <w:bCs w:val="0"/>
          <w:kern w:val="36"/>
          <w:sz w:val="32"/>
          <w:szCs w:val="32"/>
        </w:rPr>
        <w:t>十一、存在的主要问题和改进措施</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shd w:val="clear" w:color="auto" w:fill="FFFFFF"/>
          <w:lang w:eastAsia="zh-CN"/>
        </w:rPr>
      </w:pPr>
      <w:r>
        <w:rPr>
          <w:rFonts w:hint="eastAsia" w:ascii="仿宋_GB2312" w:hAnsi="宋体" w:eastAsia="仿宋_GB2312" w:cs="宋体"/>
          <w:kern w:val="0"/>
          <w:sz w:val="32"/>
          <w:szCs w:val="32"/>
          <w:shd w:val="clear" w:color="auto" w:fill="FFFFFF"/>
          <w:lang w:eastAsia="zh-CN"/>
        </w:rPr>
        <w:t>一方面在</w:t>
      </w:r>
      <w:r>
        <w:rPr>
          <w:rFonts w:hint="eastAsia" w:ascii="仿宋_GB2312" w:hAnsi="宋体" w:eastAsia="仿宋_GB2312" w:cs="宋体"/>
          <w:kern w:val="0"/>
          <w:sz w:val="32"/>
          <w:szCs w:val="32"/>
          <w:shd w:val="clear" w:color="auto" w:fill="FFFFFF"/>
        </w:rPr>
        <w:t>政府信息公开</w:t>
      </w:r>
      <w:r>
        <w:rPr>
          <w:rFonts w:hint="eastAsia" w:ascii="仿宋_GB2312" w:hAnsi="宋体" w:eastAsia="仿宋_GB2312" w:cs="宋体"/>
          <w:kern w:val="0"/>
          <w:sz w:val="32"/>
          <w:szCs w:val="32"/>
          <w:shd w:val="clear" w:color="auto" w:fill="FFFFFF"/>
          <w:lang w:eastAsia="zh-CN"/>
        </w:rPr>
        <w:t>的范围上有待进一步拓展</w:t>
      </w:r>
      <w:r>
        <w:rPr>
          <w:rFonts w:hint="eastAsia" w:ascii="仿宋_GB2312" w:hAnsi="宋体" w:eastAsia="仿宋_GB2312" w:cs="宋体"/>
          <w:kern w:val="0"/>
          <w:sz w:val="32"/>
          <w:szCs w:val="32"/>
          <w:shd w:val="clear" w:color="auto" w:fill="FFFFFF"/>
        </w:rPr>
        <w:t>；</w:t>
      </w:r>
      <w:r>
        <w:rPr>
          <w:rFonts w:hint="eastAsia" w:ascii="仿宋_GB2312" w:hAnsi="宋体" w:eastAsia="仿宋_GB2312" w:cs="宋体"/>
          <w:kern w:val="0"/>
          <w:sz w:val="32"/>
          <w:szCs w:val="32"/>
          <w:shd w:val="clear" w:color="auto" w:fill="FFFFFF"/>
          <w:lang w:eastAsia="zh-CN"/>
        </w:rPr>
        <w:t>另一方面</w:t>
      </w:r>
      <w:r>
        <w:rPr>
          <w:rFonts w:hint="eastAsia" w:ascii="仿宋_GB2312" w:hAnsi="宋体" w:eastAsia="仿宋_GB2312" w:cs="宋体"/>
          <w:kern w:val="0"/>
          <w:sz w:val="32"/>
          <w:szCs w:val="32"/>
          <w:shd w:val="clear" w:color="auto" w:fill="FFFFFF"/>
        </w:rPr>
        <w:t>信息公开的</w:t>
      </w:r>
      <w:r>
        <w:rPr>
          <w:rFonts w:hint="eastAsia" w:ascii="仿宋_GB2312" w:hAnsi="宋体" w:eastAsia="仿宋_GB2312" w:cs="宋体"/>
          <w:kern w:val="0"/>
          <w:sz w:val="32"/>
          <w:szCs w:val="32"/>
          <w:shd w:val="clear" w:color="auto" w:fill="FFFFFF"/>
          <w:lang w:eastAsia="zh-CN"/>
        </w:rPr>
        <w:t>时效性上</w:t>
      </w:r>
      <w:r>
        <w:rPr>
          <w:rFonts w:hint="eastAsia" w:ascii="仿宋_GB2312" w:hAnsi="宋体" w:eastAsia="仿宋_GB2312" w:cs="宋体"/>
          <w:kern w:val="0"/>
          <w:sz w:val="32"/>
          <w:szCs w:val="32"/>
          <w:shd w:val="clear" w:color="auto" w:fill="FFFFFF"/>
        </w:rPr>
        <w:t>有待进一步提升</w:t>
      </w:r>
      <w:r>
        <w:rPr>
          <w:rFonts w:hint="eastAsia" w:ascii="仿宋_GB2312" w:hAnsi="宋体" w:eastAsia="仿宋_GB2312" w:cs="宋体"/>
          <w:kern w:val="0"/>
          <w:sz w:val="32"/>
          <w:szCs w:val="32"/>
          <w:shd w:val="clear" w:color="auto" w:fill="FFFFFF"/>
          <w:lang w:eastAsia="zh-CN"/>
        </w:rPr>
        <w:t>。</w:t>
      </w:r>
    </w:p>
    <w:p>
      <w:pPr>
        <w:keepNext w:val="0"/>
        <w:keepLines w:val="0"/>
        <w:pageBreakBefore w:val="0"/>
        <w:widowControl/>
        <w:shd w:val="clear" w:color="auto" w:fill="FFFFFF"/>
        <w:kinsoku/>
        <w:wordWrap/>
        <w:overflowPunct/>
        <w:topLinePunct w:val="0"/>
        <w:autoSpaceDE/>
        <w:autoSpaceDN w:val="0"/>
        <w:bidi w:val="0"/>
        <w:adjustRightInd/>
        <w:snapToGrid/>
        <w:ind w:left="0" w:leftChars="0" w:firstLine="640" w:firstLineChars="200"/>
        <w:jc w:val="both"/>
        <w:textAlignment w:val="auto"/>
        <w:outlineLvl w:val="9"/>
        <w:rPr>
          <w:rFonts w:hint="eastAsia" w:ascii="仿宋_GB2312" w:hAnsi="宋体" w:eastAsia="仿宋_GB2312" w:cs="宋体"/>
          <w:color w:val="000000"/>
          <w:kern w:val="0"/>
          <w:sz w:val="32"/>
          <w:szCs w:val="32"/>
          <w:shd w:val="clear" w:color="auto" w:fill="FFFFFF"/>
        </w:rPr>
      </w:pPr>
      <w:r>
        <w:rPr>
          <w:rFonts w:hint="eastAsia" w:ascii="仿宋_GB2312" w:hAnsi="宋体" w:eastAsia="仿宋_GB2312" w:cs="宋体"/>
          <w:kern w:val="0"/>
          <w:sz w:val="32"/>
          <w:szCs w:val="32"/>
          <w:shd w:val="clear" w:color="auto" w:fill="FFFFFF"/>
        </w:rPr>
        <w:t>2011年，我们将继续按照</w:t>
      </w:r>
      <w:r>
        <w:rPr>
          <w:rFonts w:hint="eastAsia" w:ascii="仿宋_GB2312" w:hAnsi="宋体" w:eastAsia="仿宋_GB2312" w:cs="宋体"/>
          <w:kern w:val="0"/>
          <w:sz w:val="32"/>
          <w:szCs w:val="32"/>
          <w:shd w:val="clear" w:color="auto" w:fill="FFFFFF"/>
          <w:lang w:eastAsia="zh-CN"/>
        </w:rPr>
        <w:t>县委</w:t>
      </w:r>
      <w:r>
        <w:rPr>
          <w:rFonts w:hint="eastAsia" w:ascii="仿宋_GB2312" w:hAnsi="宋体" w:eastAsia="仿宋_GB2312" w:cs="宋体"/>
          <w:kern w:val="0"/>
          <w:sz w:val="32"/>
          <w:szCs w:val="32"/>
          <w:shd w:val="clear" w:color="auto" w:fill="FFFFFF"/>
        </w:rPr>
        <w:t>县政府</w:t>
      </w:r>
      <w:r>
        <w:rPr>
          <w:rFonts w:hint="eastAsia" w:ascii="仿宋_GB2312" w:hAnsi="宋体" w:eastAsia="仿宋_GB2312" w:cs="宋体"/>
          <w:kern w:val="0"/>
          <w:sz w:val="32"/>
          <w:szCs w:val="32"/>
          <w:shd w:val="clear" w:color="auto" w:fill="FFFFFF"/>
          <w:lang w:eastAsia="zh-CN"/>
        </w:rPr>
        <w:t>工作要求</w:t>
      </w:r>
      <w:r>
        <w:rPr>
          <w:rFonts w:hint="eastAsia" w:ascii="仿宋_GB2312" w:hAnsi="宋体" w:eastAsia="仿宋_GB2312" w:cs="宋体"/>
          <w:kern w:val="0"/>
          <w:sz w:val="32"/>
          <w:szCs w:val="32"/>
          <w:shd w:val="clear" w:color="auto" w:fill="FFFFFF"/>
        </w:rPr>
        <w:t>，深化</w:t>
      </w:r>
      <w:r>
        <w:rPr>
          <w:rFonts w:hint="eastAsia" w:ascii="仿宋_GB2312" w:hAnsi="宋体" w:eastAsia="仿宋_GB2312" w:cs="宋体"/>
          <w:kern w:val="0"/>
          <w:sz w:val="32"/>
          <w:szCs w:val="32"/>
          <w:shd w:val="clear" w:color="auto" w:fill="FFFFFF"/>
          <w:lang w:eastAsia="zh-CN"/>
        </w:rPr>
        <w:t>政府信息公开工作，</w:t>
      </w:r>
      <w:r>
        <w:rPr>
          <w:rFonts w:hint="eastAsia" w:ascii="仿宋_GB2312" w:hAnsi="宋体" w:eastAsia="仿宋_GB2312" w:cs="宋体"/>
          <w:kern w:val="0"/>
          <w:sz w:val="32"/>
          <w:szCs w:val="32"/>
          <w:shd w:val="clear" w:color="auto" w:fill="FFFFFF"/>
        </w:rPr>
        <w:t>主动</w:t>
      </w:r>
      <w:r>
        <w:rPr>
          <w:rFonts w:hint="eastAsia" w:ascii="仿宋_GB2312" w:hAnsi="宋体" w:eastAsia="仿宋_GB2312" w:cs="宋体"/>
          <w:kern w:val="0"/>
          <w:sz w:val="32"/>
          <w:szCs w:val="32"/>
          <w:shd w:val="clear" w:color="auto" w:fill="FFFFFF"/>
          <w:lang w:eastAsia="zh-CN"/>
        </w:rPr>
        <w:t>拓展</w:t>
      </w:r>
      <w:r>
        <w:rPr>
          <w:rFonts w:hint="eastAsia" w:ascii="仿宋_GB2312" w:hAnsi="宋体" w:eastAsia="仿宋_GB2312" w:cs="宋体"/>
          <w:kern w:val="0"/>
          <w:sz w:val="32"/>
          <w:szCs w:val="32"/>
          <w:shd w:val="clear" w:color="auto" w:fill="FFFFFF"/>
        </w:rPr>
        <w:t>政府信息公开范围，提升政府信息公开的意识，及时发布信息，确保信息公开的准确性和时效性，</w:t>
      </w:r>
      <w:r>
        <w:rPr>
          <w:rFonts w:hint="eastAsia" w:ascii="仿宋_GB2312" w:hAnsi="宋体" w:eastAsia="仿宋_GB2312" w:cs="宋体"/>
          <w:color w:val="000000"/>
          <w:kern w:val="0"/>
          <w:sz w:val="32"/>
          <w:szCs w:val="32"/>
          <w:shd w:val="clear" w:color="auto" w:fill="FFFFFF"/>
        </w:rPr>
        <w:t>努力提高政府信息公开水平。</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黑体" w:hAnsi="黑体" w:eastAsia="黑体" w:cs="黑体"/>
          <w:b w:val="0"/>
          <w:bCs w:val="0"/>
          <w:kern w:val="36"/>
          <w:sz w:val="32"/>
          <w:szCs w:val="32"/>
        </w:rPr>
      </w:pPr>
      <w:r>
        <w:rPr>
          <w:rFonts w:hint="eastAsia" w:ascii="黑体" w:hAnsi="黑体" w:eastAsia="黑体" w:cs="黑体"/>
          <w:b w:val="0"/>
          <w:bCs w:val="0"/>
          <w:kern w:val="36"/>
          <w:sz w:val="32"/>
          <w:szCs w:val="32"/>
        </w:rPr>
        <w:t>十二、需要说明的事项与附表</w:t>
      </w:r>
    </w:p>
    <w:p>
      <w:pPr>
        <w:keepNext w:val="0"/>
        <w:keepLines w:val="0"/>
        <w:pageBreakBefore w:val="0"/>
        <w:widowControl/>
        <w:kinsoku/>
        <w:wordWrap/>
        <w:overflowPunct/>
        <w:topLinePunct w:val="0"/>
        <w:autoSpaceDE/>
        <w:bidi w:val="0"/>
        <w:adjustRightInd/>
        <w:snapToGrid/>
        <w:ind w:left="0" w:leftChars="0" w:firstLine="640" w:firstLineChars="200"/>
        <w:jc w:val="both"/>
        <w:textAlignment w:val="auto"/>
        <w:outlineLvl w:val="9"/>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无</w:t>
      </w:r>
      <w:r>
        <w:rPr>
          <w:rFonts w:hint="eastAsia" w:ascii="仿宋_GB2312" w:hAnsi="宋体" w:eastAsia="仿宋_GB2312" w:cs="宋体"/>
          <w:kern w:val="0"/>
          <w:sz w:val="32"/>
          <w:szCs w:val="32"/>
          <w:lang w:eastAsia="zh-CN"/>
        </w:rPr>
        <w:t>。</w:t>
      </w:r>
    </w:p>
    <w:p>
      <w:pPr>
        <w:widowControl/>
        <w:shd w:val="clear" w:color="auto" w:fill="FFFFFF"/>
        <w:autoSpaceDN w:val="0"/>
        <w:ind w:left="0" w:leftChars="0" w:firstLine="0" w:firstLineChars="0"/>
        <w:jc w:val="left"/>
        <w:rPr>
          <w:rFonts w:hint="eastAsia" w:ascii="黑体" w:hAnsi="黑体" w:eastAsia="黑体" w:cs="黑体"/>
          <w:b w:val="0"/>
          <w:bCs w:val="0"/>
          <w:color w:val="auto"/>
          <w:kern w:val="0"/>
          <w:sz w:val="32"/>
          <w:szCs w:val="32"/>
          <w:shd w:val="clear" w:color="auto" w:fill="FFFFFF"/>
        </w:rPr>
      </w:pPr>
      <w:bookmarkStart w:id="0" w:name="_GoBack"/>
      <w:r>
        <w:rPr>
          <w:rFonts w:hint="eastAsia" w:ascii="黑体" w:hAnsi="黑体" w:eastAsia="黑体" w:cs="黑体"/>
          <w:b w:val="0"/>
          <w:bCs w:val="0"/>
          <w:color w:val="auto"/>
          <w:kern w:val="0"/>
          <w:sz w:val="32"/>
          <w:szCs w:val="32"/>
          <w:shd w:val="clear" w:color="auto" w:fill="FFFFFF"/>
        </w:rPr>
        <w:t>附表</w:t>
      </w:r>
    </w:p>
    <w:bookmarkEnd w:id="0"/>
    <w:p>
      <w:pPr>
        <w:widowControl/>
        <w:shd w:val="clear" w:color="auto" w:fill="FFFFFF"/>
        <w:autoSpaceDN w:val="0"/>
        <w:ind w:left="0" w:leftChars="0" w:firstLine="465"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b/>
          <w:bCs/>
          <w:color w:val="333333"/>
          <w:kern w:val="0"/>
          <w:sz w:val="32"/>
          <w:szCs w:val="32"/>
          <w:shd w:val="clear" w:color="auto" w:fill="FFFFFF"/>
        </w:rPr>
        <w:t>1.主动公开情况统计</w:t>
      </w:r>
    </w:p>
    <w:tbl>
      <w:tblPr>
        <w:tblStyle w:val="6"/>
        <w:tblW w:w="0" w:type="auto"/>
        <w:tblInd w:w="468" w:type="dxa"/>
        <w:tblLayout w:type="fixed"/>
        <w:tblCellMar>
          <w:top w:w="0" w:type="dxa"/>
          <w:left w:w="108" w:type="dxa"/>
          <w:bottom w:w="0" w:type="dxa"/>
          <w:right w:w="108" w:type="dxa"/>
        </w:tblCellMar>
      </w:tblPr>
      <w:tblGrid>
        <w:gridCol w:w="6106"/>
        <w:gridCol w:w="698"/>
        <w:gridCol w:w="936"/>
      </w:tblGrid>
      <w:tr>
        <w:tblPrEx>
          <w:tblCellMar>
            <w:top w:w="0" w:type="dxa"/>
            <w:left w:w="108" w:type="dxa"/>
            <w:bottom w:w="0" w:type="dxa"/>
            <w:right w:w="108" w:type="dxa"/>
          </w:tblCellMar>
        </w:tblPrEx>
        <w:trPr>
          <w:trHeight w:val="476" w:hRule="atLeast"/>
        </w:trPr>
        <w:tc>
          <w:tcPr>
            <w:tcW w:w="6106"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698"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936"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本年度主动公开信息总数</w:t>
            </w:r>
          </w:p>
        </w:tc>
        <w:tc>
          <w:tcPr>
            <w:tcW w:w="69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6"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hint="eastAsia" w:ascii="仿宋_GB2312" w:hAnsi="宋体" w:eastAsia="仿宋_GB2312" w:cs="宋体"/>
                <w:kern w:val="0"/>
                <w:sz w:val="32"/>
                <w:szCs w:val="32"/>
                <w:shd w:val="clear" w:color="auto" w:fill="FFFFFF"/>
                <w:lang w:eastAsia="zh-CN"/>
              </w:rPr>
            </w:pPr>
            <w:r>
              <w:rPr>
                <w:rFonts w:hint="eastAsia" w:ascii="仿宋_GB2312" w:hAnsi="宋体" w:eastAsia="仿宋_GB2312" w:cs="宋体"/>
                <w:kern w:val="0"/>
                <w:sz w:val="32"/>
                <w:szCs w:val="32"/>
                <w:shd w:val="clear" w:color="auto" w:fill="FFFFFF"/>
                <w:lang w:val="en-US" w:eastAsia="zh-CN"/>
              </w:rPr>
              <w:t>7</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其中：政策文件类信息</w:t>
            </w:r>
          </w:p>
        </w:tc>
        <w:tc>
          <w:tcPr>
            <w:tcW w:w="69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6"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本年度全文电子化的主动公开信息数</w:t>
            </w:r>
          </w:p>
        </w:tc>
        <w:tc>
          <w:tcPr>
            <w:tcW w:w="69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36"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06"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本年度总共栏目数（二级目录）</w:t>
            </w:r>
          </w:p>
        </w:tc>
        <w:tc>
          <w:tcPr>
            <w:tcW w:w="69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个</w:t>
            </w:r>
          </w:p>
        </w:tc>
        <w:tc>
          <w:tcPr>
            <w:tcW w:w="936"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2.依申请公开情况统计</w:t>
      </w:r>
    </w:p>
    <w:tbl>
      <w:tblPr>
        <w:tblStyle w:val="6"/>
        <w:tblW w:w="0" w:type="auto"/>
        <w:tblInd w:w="491" w:type="dxa"/>
        <w:tblLayout w:type="fixed"/>
        <w:tblCellMar>
          <w:top w:w="0" w:type="dxa"/>
          <w:left w:w="108" w:type="dxa"/>
          <w:bottom w:w="0" w:type="dxa"/>
          <w:right w:w="108" w:type="dxa"/>
        </w:tblCellMar>
      </w:tblPr>
      <w:tblGrid>
        <w:gridCol w:w="6083"/>
        <w:gridCol w:w="736"/>
        <w:gridCol w:w="921"/>
      </w:tblGrid>
      <w:tr>
        <w:tblPrEx>
          <w:tblCellMar>
            <w:top w:w="0" w:type="dxa"/>
            <w:left w:w="108" w:type="dxa"/>
            <w:bottom w:w="0" w:type="dxa"/>
            <w:right w:w="108" w:type="dxa"/>
          </w:tblCellMar>
        </w:tblPrEx>
        <w:trPr>
          <w:trHeight w:val="476" w:hRule="atLeast"/>
        </w:trPr>
        <w:tc>
          <w:tcPr>
            <w:tcW w:w="6083"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36"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921"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本年度申请总数</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本年度对申请的答复总数</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其中：同意公开</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同意部分公开</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不予公开</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其中：1.信息不存在</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2.非本部门掌握</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3.申请内容不明确</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4.《条例》第8、14条规定</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83"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5.其他原因</w:t>
            </w:r>
          </w:p>
        </w:tc>
        <w:tc>
          <w:tcPr>
            <w:tcW w:w="736"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921"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color w:val="333333"/>
          <w:kern w:val="0"/>
          <w:sz w:val="32"/>
          <w:szCs w:val="32"/>
          <w:shd w:val="clear" w:color="auto" w:fill="FFFFFF"/>
        </w:rPr>
      </w:pPr>
      <w:r>
        <w:rPr>
          <w:rFonts w:hint="eastAsia" w:ascii="仿宋_GB2312" w:hAnsi="宋体" w:eastAsia="仿宋_GB2312" w:cs="宋体"/>
          <w:color w:val="333333"/>
          <w:kern w:val="0"/>
          <w:sz w:val="32"/>
          <w:szCs w:val="32"/>
          <w:shd w:val="clear" w:color="auto" w:fill="FFFFFF"/>
        </w:rPr>
        <w:t xml:space="preserve">  </w:t>
      </w: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3.咨询处理情况统计</w:t>
      </w:r>
    </w:p>
    <w:tbl>
      <w:tblPr>
        <w:tblStyle w:val="6"/>
        <w:tblW w:w="0" w:type="auto"/>
        <w:tblInd w:w="491" w:type="dxa"/>
        <w:tblLayout w:type="fixed"/>
        <w:tblCellMar>
          <w:top w:w="0" w:type="dxa"/>
          <w:left w:w="108" w:type="dxa"/>
          <w:bottom w:w="0" w:type="dxa"/>
          <w:right w:w="108" w:type="dxa"/>
        </w:tblCellMar>
      </w:tblPr>
      <w:tblGrid>
        <w:gridCol w:w="6098"/>
        <w:gridCol w:w="758"/>
        <w:gridCol w:w="884"/>
      </w:tblGrid>
      <w:tr>
        <w:tblPrEx>
          <w:tblCellMar>
            <w:top w:w="0" w:type="dxa"/>
            <w:left w:w="108" w:type="dxa"/>
            <w:bottom w:w="0" w:type="dxa"/>
            <w:right w:w="108" w:type="dxa"/>
          </w:tblCellMar>
        </w:tblPrEx>
        <w:trPr>
          <w:trHeight w:val="476" w:hRule="atLeast"/>
        </w:trPr>
        <w:tc>
          <w:tcPr>
            <w:tcW w:w="6098"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rPr>
            </w:pPr>
            <w:r>
              <w:rPr>
                <w:rFonts w:hint="eastAsia" w:ascii="仿宋_GB2312" w:hAnsi="宋体" w:eastAsia="仿宋_GB2312" w:cs="宋体"/>
                <w:caps/>
                <w:kern w:val="0"/>
                <w:sz w:val="32"/>
                <w:szCs w:val="32"/>
                <w:shd w:val="clear" w:color="auto" w:fill="FFFFFF"/>
              </w:rPr>
              <w:t>指    标</w:t>
            </w:r>
          </w:p>
        </w:tc>
        <w:tc>
          <w:tcPr>
            <w:tcW w:w="758"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884"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本年度接受咨询总数</w:t>
            </w:r>
          </w:p>
        </w:tc>
        <w:tc>
          <w:tcPr>
            <w:tcW w:w="75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其中：1.当面咨询</w:t>
            </w:r>
          </w:p>
        </w:tc>
        <w:tc>
          <w:tcPr>
            <w:tcW w:w="75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2.电话咨询</w:t>
            </w:r>
          </w:p>
        </w:tc>
        <w:tc>
          <w:tcPr>
            <w:tcW w:w="75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 xml:space="preserve">          3.网上咨询（政务意见箱）</w:t>
            </w:r>
          </w:p>
        </w:tc>
        <w:tc>
          <w:tcPr>
            <w:tcW w:w="758"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098"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rPr>
            </w:pPr>
            <w:r>
              <w:rPr>
                <w:rFonts w:hint="eastAsia" w:ascii="仿宋_GB2312" w:hAnsi="宋体" w:eastAsia="仿宋_GB2312" w:cs="宋体"/>
                <w:kern w:val="0"/>
                <w:sz w:val="32"/>
                <w:szCs w:val="32"/>
                <w:shd w:val="clear" w:color="auto" w:fill="FFFFFF"/>
              </w:rPr>
              <w:t>网上咨询（政务意见箱）15天内回复的数目</w:t>
            </w:r>
          </w:p>
        </w:tc>
        <w:tc>
          <w:tcPr>
            <w:tcW w:w="758"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条</w:t>
            </w:r>
          </w:p>
        </w:tc>
        <w:tc>
          <w:tcPr>
            <w:tcW w:w="884"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4.复议、诉讼和申诉情况统计</w:t>
      </w:r>
    </w:p>
    <w:tbl>
      <w:tblPr>
        <w:tblStyle w:val="6"/>
        <w:tblW w:w="0" w:type="auto"/>
        <w:tblInd w:w="491" w:type="dxa"/>
        <w:tblLayout w:type="fixed"/>
        <w:tblCellMar>
          <w:top w:w="0" w:type="dxa"/>
          <w:left w:w="108" w:type="dxa"/>
          <w:bottom w:w="0" w:type="dxa"/>
          <w:right w:w="108" w:type="dxa"/>
        </w:tblCellMar>
      </w:tblPr>
      <w:tblGrid>
        <w:gridCol w:w="6120"/>
        <w:gridCol w:w="736"/>
        <w:gridCol w:w="884"/>
      </w:tblGrid>
      <w:tr>
        <w:tblPrEx>
          <w:tblCellMar>
            <w:top w:w="0" w:type="dxa"/>
            <w:left w:w="108" w:type="dxa"/>
            <w:bottom w:w="0" w:type="dxa"/>
            <w:right w:w="108" w:type="dxa"/>
          </w:tblCellMar>
        </w:tblPrEx>
        <w:tc>
          <w:tcPr>
            <w:tcW w:w="6120"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指    标</w:t>
            </w:r>
          </w:p>
        </w:tc>
        <w:tc>
          <w:tcPr>
            <w:tcW w:w="736"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单位</w:t>
            </w:r>
          </w:p>
        </w:tc>
        <w:tc>
          <w:tcPr>
            <w:tcW w:w="884"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数量</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本年度被行政复议数量</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9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spacing w:line="420" w:lineRule="atLeast"/>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其中:决定撤销、变更或确认该具体行政行为违法的数量</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本年度引发有关政府信息公开行政诉讼数量</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其中：1.判决撤销或部分撤销的数量</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2.判决在一定期限内履行的数量</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3.判决变更的数量</w:t>
            </w:r>
          </w:p>
        </w:tc>
        <w:tc>
          <w:tcPr>
            <w:tcW w:w="736" w:type="dxa"/>
            <w:tcBorders>
              <w:bottom w:val="single" w:color="000000" w:sz="8"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rPr>
          <w:trHeight w:val="476" w:hRule="atLeast"/>
        </w:trPr>
        <w:tc>
          <w:tcPr>
            <w:tcW w:w="6120"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本年度共引发有关政府信息公开的申诉数量</w:t>
            </w:r>
          </w:p>
        </w:tc>
        <w:tc>
          <w:tcPr>
            <w:tcW w:w="736" w:type="dxa"/>
            <w:tcBorders>
              <w:bottom w:val="double" w:color="000000" w:sz="2" w:space="0"/>
              <w:right w:val="single" w:color="000000" w:sz="8" w:space="0"/>
            </w:tcBorders>
            <w:shd w:val="clear" w:color="auto" w:fill="FFFFFF"/>
            <w:tcMar>
              <w:top w:w="0" w:type="dxa"/>
              <w:left w:w="0" w:type="dxa"/>
              <w:bottom w:w="0" w:type="dxa"/>
              <w:right w:w="0" w:type="dxa"/>
            </w:tcMa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件</w:t>
            </w:r>
          </w:p>
        </w:tc>
        <w:tc>
          <w:tcPr>
            <w:tcW w:w="884"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color w:val="333333"/>
          <w:kern w:val="0"/>
          <w:sz w:val="32"/>
          <w:szCs w:val="32"/>
          <w:shd w:val="clear" w:color="auto" w:fill="FFFFFF"/>
        </w:rPr>
      </w:pP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color w:val="333333"/>
          <w:kern w:val="0"/>
          <w:sz w:val="32"/>
          <w:szCs w:val="32"/>
          <w:shd w:val="clear" w:color="auto" w:fill="FFFFFF"/>
        </w:rPr>
        <w:t xml:space="preserve">  </w:t>
      </w:r>
    </w:p>
    <w:p>
      <w:pPr>
        <w:widowControl/>
        <w:shd w:val="clear" w:color="auto" w:fill="FFFFFF"/>
        <w:autoSpaceDN w:val="0"/>
        <w:ind w:left="0" w:leftChars="0" w:firstLine="0" w:firstLineChars="0"/>
        <w:jc w:val="left"/>
        <w:rPr>
          <w:rFonts w:hint="eastAsia" w:ascii="仿宋_GB2312" w:hAnsi="宋体" w:eastAsia="仿宋_GB2312" w:cs="宋体"/>
          <w:color w:val="333333"/>
          <w:kern w:val="0"/>
          <w:sz w:val="32"/>
          <w:szCs w:val="32"/>
          <w:shd w:val="clear" w:color="auto" w:fill="FFFFFF"/>
        </w:rPr>
      </w:pPr>
    </w:p>
    <w:p>
      <w:pPr>
        <w:widowControl/>
        <w:shd w:val="clear" w:color="auto" w:fill="FFFFFF"/>
        <w:autoSpaceDN w:val="0"/>
        <w:ind w:left="0" w:leftChars="0" w:firstLine="0" w:firstLineChars="0"/>
        <w:jc w:val="left"/>
        <w:rPr>
          <w:rFonts w:hint="eastAsia" w:ascii="仿宋_GB2312" w:hAnsi="宋体" w:eastAsia="仿宋_GB2312" w:cs="宋体"/>
          <w:color w:val="333333"/>
          <w:kern w:val="0"/>
          <w:sz w:val="32"/>
          <w:szCs w:val="32"/>
          <w:shd w:val="clear" w:color="auto" w:fill="FFFFFF"/>
        </w:rPr>
      </w:pPr>
    </w:p>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r>
        <w:rPr>
          <w:rFonts w:hint="eastAsia" w:ascii="仿宋_GB2312" w:hAnsi="宋体" w:eastAsia="仿宋_GB2312" w:cs="宋体"/>
          <w:color w:val="333333"/>
          <w:kern w:val="0"/>
          <w:sz w:val="32"/>
          <w:szCs w:val="32"/>
          <w:shd w:val="clear" w:color="auto" w:fill="FFFFFF"/>
        </w:rPr>
        <w:t xml:space="preserve"> </w:t>
      </w:r>
      <w:r>
        <w:rPr>
          <w:rFonts w:hint="eastAsia" w:ascii="仿宋_GB2312" w:hAnsi="宋体" w:eastAsia="仿宋_GB2312" w:cs="宋体"/>
          <w:kern w:val="0"/>
          <w:sz w:val="32"/>
          <w:szCs w:val="32"/>
          <w:shd w:val="clear" w:color="auto" w:fill="FFFFFF"/>
        </w:rPr>
        <w:t xml:space="preserve"> </w:t>
      </w:r>
      <w:r>
        <w:rPr>
          <w:rFonts w:hint="eastAsia" w:ascii="仿宋_GB2312" w:hAnsi="宋体" w:eastAsia="仿宋_GB2312" w:cs="宋体"/>
          <w:b/>
          <w:bCs/>
          <w:color w:val="333333"/>
          <w:kern w:val="0"/>
          <w:sz w:val="32"/>
          <w:szCs w:val="32"/>
          <w:shd w:val="clear" w:color="auto" w:fill="FFFFFF"/>
        </w:rPr>
        <w:t>5.人员及经费支出情况统计</w:t>
      </w:r>
    </w:p>
    <w:tbl>
      <w:tblPr>
        <w:tblStyle w:val="6"/>
        <w:tblW w:w="0" w:type="auto"/>
        <w:tblInd w:w="491" w:type="dxa"/>
        <w:tblLayout w:type="fixed"/>
        <w:tblCellMar>
          <w:top w:w="0" w:type="dxa"/>
          <w:left w:w="108" w:type="dxa"/>
          <w:bottom w:w="0" w:type="dxa"/>
          <w:right w:w="108" w:type="dxa"/>
        </w:tblCellMar>
      </w:tblPr>
      <w:tblGrid>
        <w:gridCol w:w="6098"/>
        <w:gridCol w:w="525"/>
        <w:gridCol w:w="1117"/>
      </w:tblGrid>
      <w:tr>
        <w:tblPrEx>
          <w:tblCellMar>
            <w:top w:w="0" w:type="dxa"/>
            <w:left w:w="108" w:type="dxa"/>
            <w:bottom w:w="0" w:type="dxa"/>
            <w:right w:w="108" w:type="dxa"/>
          </w:tblCellMar>
        </w:tblPrEx>
        <w:tc>
          <w:tcPr>
            <w:tcW w:w="6098" w:type="dxa"/>
            <w:tcBorders>
              <w:top w:val="double" w:color="000000" w:sz="2" w:space="0"/>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 </w:t>
            </w:r>
            <w:r>
              <w:rPr>
                <w:rFonts w:hint="eastAsia" w:ascii="仿宋_GB2312" w:hAnsi="宋体" w:eastAsia="仿宋_GB2312" w:cs="宋体"/>
                <w:caps/>
                <w:kern w:val="0"/>
                <w:sz w:val="32"/>
                <w:szCs w:val="32"/>
                <w:shd w:val="clear" w:color="auto" w:fill="FFFFFF"/>
              </w:rPr>
              <w:t>政府信息公开查阅点数量</w:t>
            </w:r>
          </w:p>
        </w:tc>
        <w:tc>
          <w:tcPr>
            <w:tcW w:w="525" w:type="dxa"/>
            <w:tcBorders>
              <w:top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个</w:t>
            </w:r>
          </w:p>
        </w:tc>
        <w:tc>
          <w:tcPr>
            <w:tcW w:w="1117" w:type="dxa"/>
            <w:tcBorders>
              <w:top w:val="double" w:color="000000" w:sz="2" w:space="0"/>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caps/>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政府信息依申请受理点数量</w:t>
            </w:r>
          </w:p>
        </w:tc>
        <w:tc>
          <w:tcPr>
            <w:tcW w:w="5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个</w:t>
            </w:r>
          </w:p>
        </w:tc>
        <w:tc>
          <w:tcPr>
            <w:tcW w:w="11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政府信息公开指定工作人员总数</w:t>
            </w:r>
          </w:p>
        </w:tc>
        <w:tc>
          <w:tcPr>
            <w:tcW w:w="5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11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其中：1.全职人员数</w:t>
            </w:r>
          </w:p>
        </w:tc>
        <w:tc>
          <w:tcPr>
            <w:tcW w:w="5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11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2.兼职人员数</w:t>
            </w:r>
          </w:p>
        </w:tc>
        <w:tc>
          <w:tcPr>
            <w:tcW w:w="5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人</w:t>
            </w:r>
          </w:p>
        </w:tc>
        <w:tc>
          <w:tcPr>
            <w:tcW w:w="11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hint="eastAsia" w:ascii="仿宋_GB2312" w:hAnsi="宋体" w:eastAsia="仿宋_GB2312" w:cs="宋体"/>
                <w:kern w:val="0"/>
                <w:sz w:val="32"/>
                <w:szCs w:val="32"/>
                <w:shd w:val="clear" w:color="auto" w:fill="FFFFFF"/>
                <w:lang w:eastAsia="zh-CN"/>
              </w:rPr>
            </w:pPr>
            <w:r>
              <w:rPr>
                <w:rFonts w:hint="eastAsia" w:ascii="仿宋_GB2312" w:hAnsi="宋体" w:eastAsia="仿宋_GB2312" w:cs="宋体"/>
                <w:kern w:val="0"/>
                <w:sz w:val="32"/>
                <w:szCs w:val="32"/>
                <w:shd w:val="clear" w:color="auto" w:fill="FFFFFF"/>
                <w:lang w:val="en-US" w:eastAsia="zh-CN"/>
              </w:rPr>
              <w:t>0</w:t>
            </w:r>
          </w:p>
        </w:tc>
      </w:tr>
      <w:tr>
        <w:tblPrEx>
          <w:tblCellMar>
            <w:top w:w="0" w:type="dxa"/>
            <w:left w:w="108" w:type="dxa"/>
            <w:bottom w:w="0" w:type="dxa"/>
            <w:right w:w="108" w:type="dxa"/>
          </w:tblCellMar>
        </w:tblPrEx>
        <w:tc>
          <w:tcPr>
            <w:tcW w:w="6098" w:type="dxa"/>
            <w:tcBorders>
              <w:left w:val="double" w:color="000000" w:sz="2" w:space="0"/>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本年度政府信息公开专项经费安排</w:t>
            </w:r>
          </w:p>
        </w:tc>
        <w:tc>
          <w:tcPr>
            <w:tcW w:w="525" w:type="dxa"/>
            <w:tcBorders>
              <w:bottom w:val="single" w:color="000000" w:sz="8"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万元</w:t>
            </w:r>
          </w:p>
        </w:tc>
        <w:tc>
          <w:tcPr>
            <w:tcW w:w="1117" w:type="dxa"/>
            <w:tcBorders>
              <w:bottom w:val="single" w:color="000000" w:sz="8"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r>
        <w:tblPrEx>
          <w:tblCellMar>
            <w:top w:w="0" w:type="dxa"/>
            <w:left w:w="108" w:type="dxa"/>
            <w:bottom w:w="0" w:type="dxa"/>
            <w:right w:w="108" w:type="dxa"/>
          </w:tblCellMar>
        </w:tblPrEx>
        <w:tc>
          <w:tcPr>
            <w:tcW w:w="6098" w:type="dxa"/>
            <w:tcBorders>
              <w:left w:val="double" w:color="000000" w:sz="2" w:space="0"/>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left"/>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本年度政府信息公开实际支出</w:t>
            </w:r>
          </w:p>
        </w:tc>
        <w:tc>
          <w:tcPr>
            <w:tcW w:w="525" w:type="dxa"/>
            <w:tcBorders>
              <w:bottom w:val="double" w:color="000000" w:sz="2" w:space="0"/>
              <w:right w:val="single" w:color="000000" w:sz="8"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万元</w:t>
            </w:r>
          </w:p>
        </w:tc>
        <w:tc>
          <w:tcPr>
            <w:tcW w:w="1117" w:type="dxa"/>
            <w:tcBorders>
              <w:bottom w:val="double" w:color="000000" w:sz="2" w:space="0"/>
              <w:right w:val="double" w:color="000000" w:sz="2" w:space="0"/>
            </w:tcBorders>
            <w:shd w:val="clear" w:color="auto" w:fill="FFFFFF"/>
            <w:tcMar>
              <w:top w:w="0" w:type="dxa"/>
              <w:left w:w="0" w:type="dxa"/>
              <w:bottom w:w="0" w:type="dxa"/>
              <w:right w:w="0" w:type="dxa"/>
            </w:tcMar>
            <w:vAlign w:val="center"/>
          </w:tcPr>
          <w:p>
            <w:pPr>
              <w:widowControl/>
              <w:shd w:val="clear" w:color="auto" w:fill="FFFFFF"/>
              <w:autoSpaceDN w:val="0"/>
              <w:ind w:left="0" w:leftChars="0" w:firstLine="0" w:firstLineChars="0"/>
              <w:jc w:val="center"/>
              <w:rPr>
                <w:rFonts w:ascii="仿宋_GB2312" w:hAnsi="宋体" w:eastAsia="仿宋_GB2312" w:cs="宋体"/>
                <w:kern w:val="0"/>
                <w:sz w:val="32"/>
                <w:szCs w:val="32"/>
                <w:shd w:val="clear" w:color="auto" w:fill="FFFFFF"/>
              </w:rPr>
            </w:pPr>
            <w:r>
              <w:rPr>
                <w:rFonts w:hint="eastAsia" w:ascii="仿宋_GB2312" w:hAnsi="宋体" w:eastAsia="仿宋_GB2312" w:cs="宋体"/>
                <w:kern w:val="0"/>
                <w:sz w:val="32"/>
                <w:szCs w:val="32"/>
                <w:shd w:val="clear" w:color="auto" w:fill="FFFFFF"/>
              </w:rPr>
              <w:t>0</w:t>
            </w:r>
          </w:p>
        </w:tc>
      </w:tr>
    </w:tbl>
    <w:p>
      <w:pPr>
        <w:widowControl/>
        <w:shd w:val="clear" w:color="auto" w:fill="FFFFFF"/>
        <w:autoSpaceDN w:val="0"/>
        <w:ind w:left="0" w:leftChars="0" w:firstLine="0" w:firstLineChars="0"/>
        <w:jc w:val="left"/>
        <w:rPr>
          <w:rFonts w:hint="eastAsia" w:ascii="仿宋_GB2312" w:hAnsi="宋体" w:eastAsia="仿宋_GB2312" w:cs="宋体"/>
          <w:kern w:val="0"/>
          <w:sz w:val="32"/>
          <w:szCs w:val="32"/>
          <w:shd w:val="clear" w:color="auto" w:fill="FFFFFF"/>
        </w:rPr>
      </w:pPr>
    </w:p>
    <w:p>
      <w:pPr>
        <w:widowControl/>
        <w:autoSpaceDN w:val="0"/>
        <w:ind w:left="0" w:leftChars="0" w:firstLine="0" w:firstLineChars="0"/>
        <w:rPr>
          <w:rFonts w:hint="eastAsia" w:ascii="仿宋_GB2312" w:hAnsi="宋体" w:eastAsia="仿宋_GB2312" w:cs="宋体"/>
          <w:kern w:val="0"/>
          <w:sz w:val="32"/>
          <w:szCs w:val="32"/>
        </w:rPr>
      </w:pPr>
    </w:p>
    <w:p>
      <w:pPr>
        <w:widowControl/>
        <w:autoSpaceDN w:val="0"/>
        <w:ind w:left="315" w:leftChars="0" w:firstLine="105" w:firstLineChars="0"/>
        <w:rPr>
          <w:rFonts w:hint="eastAsia" w:ascii="仿宋_GB2312" w:hAnsi="宋体" w:eastAsia="仿宋_GB2312" w:cs="宋体"/>
          <w:kern w:val="0"/>
          <w:sz w:val="32"/>
          <w:szCs w:val="32"/>
        </w:rPr>
      </w:pPr>
    </w:p>
    <w:p>
      <w:pPr>
        <w:pStyle w:val="11"/>
        <w:shd w:val="clear" w:color="auto" w:fill="FFFFFF"/>
        <w:autoSpaceDN w:val="0"/>
        <w:ind w:left="315" w:firstLine="160"/>
        <w:jc w:val="left"/>
      </w:pP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微软简标宋">
    <w:altName w:val="Times New Roman"/>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0575"/>
    <w:rsid w:val="000774E9"/>
    <w:rsid w:val="001C2B25"/>
    <w:rsid w:val="002E6F64"/>
    <w:rsid w:val="00301410"/>
    <w:rsid w:val="003D1B6F"/>
    <w:rsid w:val="00400575"/>
    <w:rsid w:val="00545016"/>
    <w:rsid w:val="00747DFF"/>
    <w:rsid w:val="007F6C41"/>
    <w:rsid w:val="00844C6E"/>
    <w:rsid w:val="00A32CD0"/>
    <w:rsid w:val="00B833EE"/>
    <w:rsid w:val="07B44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ind w:left="150" w:leftChars="150" w:firstLine="50" w:firstLineChars="5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9"/>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character" w:customStyle="1" w:styleId="8">
    <w:name w:val="标题 1 Char"/>
    <w:basedOn w:val="7"/>
    <w:link w:val="2"/>
    <w:qFormat/>
    <w:uiPriority w:val="9"/>
    <w:rPr>
      <w:b/>
      <w:bCs/>
      <w:kern w:val="44"/>
      <w:sz w:val="44"/>
      <w:szCs w:val="44"/>
    </w:rPr>
  </w:style>
  <w:style w:type="character" w:customStyle="1" w:styleId="9">
    <w:name w:val="标题 3 Char"/>
    <w:basedOn w:val="7"/>
    <w:link w:val="3"/>
    <w:qFormat/>
    <w:uiPriority w:val="9"/>
    <w:rPr>
      <w:b/>
      <w:bCs/>
      <w:sz w:val="32"/>
      <w:szCs w:val="32"/>
    </w:rPr>
  </w:style>
  <w:style w:type="character" w:customStyle="1" w:styleId="10">
    <w:name w:val="标题 4 Char"/>
    <w:basedOn w:val="7"/>
    <w:link w:val="4"/>
    <w:qFormat/>
    <w:uiPriority w:val="9"/>
    <w:rPr>
      <w:rFonts w:asciiTheme="majorHAnsi" w:hAnsiTheme="majorHAnsi" w:eastAsiaTheme="majorEastAsia" w:cstheme="majorBidi"/>
      <w:b/>
      <w:bCs/>
      <w:sz w:val="28"/>
      <w:szCs w:val="28"/>
    </w:rPr>
  </w:style>
  <w:style w:type="paragraph" w:customStyle="1" w:styleId="11">
    <w:name w:val="p0"/>
    <w:basedOn w:val="1"/>
    <w:qFormat/>
    <w:uiPriority w:val="0"/>
    <w:pPr>
      <w:widowControl/>
      <w:ind w:left="0" w:leftChars="0" w:firstLine="420" w:firstLineChars="0"/>
    </w:pPr>
    <w:rPr>
      <w:rFonts w:ascii="仿宋_GB2312" w:hAnsi="宋体" w:eastAsia="仿宋_GB2312" w:cs="宋体"/>
      <w:kern w:val="0"/>
      <w:sz w:val="32"/>
      <w:szCs w:val="32"/>
    </w:rPr>
  </w:style>
  <w:style w:type="paragraph" w:customStyle="1" w:styleId="12">
    <w:name w:val="p15"/>
    <w:basedOn w:val="1"/>
    <w:qFormat/>
    <w:uiPriority w:val="0"/>
    <w:pPr>
      <w:widowControl/>
      <w:ind w:left="0" w:leftChars="0" w:firstLine="0" w:firstLineChars="0"/>
      <w:jc w:val="center"/>
    </w:pPr>
    <w:rPr>
      <w:rFonts w:ascii="微软简标宋" w:hAnsi="微软简标宋" w:eastAsia="宋体" w:cs="宋体"/>
      <w:b/>
      <w:bCs/>
      <w:kern w:val="0"/>
      <w:sz w:val="44"/>
      <w:szCs w:val="44"/>
    </w:rPr>
  </w:style>
  <w:style w:type="paragraph" w:customStyle="1" w:styleId="13">
    <w:name w:val="p16"/>
    <w:basedOn w:val="1"/>
    <w:qFormat/>
    <w:uiPriority w:val="0"/>
    <w:pPr>
      <w:widowControl/>
      <w:ind w:left="0" w:leftChars="0" w:firstLine="0" w:firstLineChars="0"/>
    </w:pPr>
    <w:rPr>
      <w:rFonts w:ascii="仿宋_GB2312" w:hAnsi="宋体" w:eastAsia="仿宋_GB2312" w:cs="宋体"/>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438</Words>
  <Characters>2503</Characters>
  <Lines>20</Lines>
  <Paragraphs>5</Paragraphs>
  <TotalTime>7</TotalTime>
  <ScaleCrop>false</ScaleCrop>
  <LinksUpToDate>false</LinksUpToDate>
  <CharactersWithSpaces>2936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2020-06-05T06:43:00Z</dcterms:created>
  <dc:creator>NTKO</dc:creator>
  <cp:lastModifiedBy>武士</cp:lastModifiedBy>
  <dcterms:modified xsi:type="dcterms:W3CDTF">2020-06-11T06:35:47Z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