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cs="方正小标宋简体"/>
          <w:kern w:val="0"/>
          <w:sz w:val="44"/>
          <w:szCs w:val="44"/>
          <w:lang w:val="en-US" w:eastAsia="zh-CN"/>
        </w:rPr>
      </w:pPr>
      <w:r>
        <w:rPr>
          <w:rFonts w:hint="eastAsia" w:ascii="方正小标宋简体" w:eastAsia="方正小标宋简体" w:cs="方正小标宋简体"/>
          <w:kern w:val="0"/>
          <w:sz w:val="44"/>
          <w:szCs w:val="44"/>
        </w:rPr>
        <w:t>202</w:t>
      </w:r>
      <w:r>
        <w:rPr>
          <w:rFonts w:hint="eastAsia" w:ascii="方正小标宋简体" w:eastAsia="方正小标宋简体" w:cs="方正小标宋简体"/>
          <w:kern w:val="0"/>
          <w:sz w:val="44"/>
          <w:szCs w:val="44"/>
          <w:lang w:val="en-US" w:eastAsia="zh-CN"/>
        </w:rPr>
        <w:t>3</w:t>
      </w:r>
      <w:r>
        <w:rPr>
          <w:rFonts w:hint="eastAsia" w:ascii="方正小标宋简体" w:eastAsia="方正小标宋简体" w:cs="方正小标宋简体"/>
          <w:kern w:val="0"/>
          <w:sz w:val="44"/>
          <w:szCs w:val="44"/>
        </w:rPr>
        <w:t>年</w:t>
      </w:r>
      <w:r>
        <w:rPr>
          <w:rFonts w:hint="eastAsia" w:ascii="方正小标宋简体" w:eastAsia="方正小标宋简体" w:cs="方正小标宋简体"/>
          <w:kern w:val="0"/>
          <w:sz w:val="44"/>
          <w:szCs w:val="44"/>
          <w:lang w:val="en-US" w:eastAsia="zh-CN"/>
        </w:rPr>
        <w:t>6月份年度重点工作完成情况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 xml:space="preserve">填报单位（公章）：                      联系人：                   联系方式：              </w:t>
      </w:r>
    </w:p>
    <w:tbl>
      <w:tblPr>
        <w:tblStyle w:val="10"/>
        <w:tblW w:w="14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3"/>
        <w:gridCol w:w="2823"/>
        <w:gridCol w:w="2509"/>
        <w:gridCol w:w="777"/>
        <w:gridCol w:w="1023"/>
        <w:gridCol w:w="26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456" w:type="dxa"/>
            <w:vAlign w:val="center"/>
          </w:tcPr>
          <w:p>
            <w:pPr>
              <w:overflowPunct w:val="0"/>
              <w:adjustRightInd w:val="0"/>
              <w:snapToGrid w:val="0"/>
              <w:spacing w:line="260" w:lineRule="exact"/>
              <w:jc w:val="center"/>
              <w:textAlignment w:val="center"/>
              <w:rPr>
                <w:rFonts w:hint="eastAsia" w:ascii="Times New Roman" w:hAnsi="Times New Roman" w:eastAsia="黑体" w:cs="Times New Roman"/>
                <w:bCs/>
                <w:kern w:val="0"/>
                <w:sz w:val="24"/>
                <w:szCs w:val="24"/>
                <w:lang w:val="en-US" w:eastAsia="zh-CN" w:bidi="ar-SA"/>
              </w:rPr>
            </w:pPr>
            <w:r>
              <w:rPr>
                <w:rFonts w:hint="default" w:ascii="Times New Roman" w:hAnsi="Times New Roman" w:eastAsia="黑体" w:cs="Times New Roman"/>
                <w:kern w:val="0"/>
                <w:sz w:val="24"/>
                <w:szCs w:val="24"/>
                <w:lang w:bidi="ar"/>
              </w:rPr>
              <w:t>序号</w:t>
            </w:r>
          </w:p>
        </w:tc>
        <w:tc>
          <w:tcPr>
            <w:tcW w:w="2613" w:type="dxa"/>
            <w:vAlign w:val="center"/>
          </w:tcPr>
          <w:p>
            <w:pPr>
              <w:overflowPunct w:val="0"/>
              <w:adjustRightInd w:val="0"/>
              <w:snapToGrid w:val="0"/>
              <w:spacing w:line="260" w:lineRule="exact"/>
              <w:ind w:left="-53" w:leftChars="-25" w:right="-53" w:rightChars="-25"/>
              <w:jc w:val="center"/>
              <w:rPr>
                <w:rFonts w:hint="default" w:ascii="Times New Roman" w:hAnsi="Times New Roman" w:eastAsia="仿宋_GB2312" w:cs="Times New Roman"/>
                <w:bCs/>
                <w:kern w:val="0"/>
                <w:sz w:val="24"/>
                <w:szCs w:val="24"/>
                <w:lang w:val="en-US" w:eastAsia="zh-CN" w:bidi="ar-SA"/>
              </w:rPr>
            </w:pPr>
            <w:r>
              <w:rPr>
                <w:rFonts w:hint="default" w:ascii="Times New Roman" w:hAnsi="Times New Roman" w:eastAsia="黑体" w:cs="Times New Roman"/>
                <w:bCs/>
                <w:kern w:val="0"/>
                <w:sz w:val="24"/>
                <w:szCs w:val="24"/>
              </w:rPr>
              <w:t>年度工作目标</w:t>
            </w:r>
          </w:p>
        </w:tc>
        <w:tc>
          <w:tcPr>
            <w:tcW w:w="2823" w:type="dxa"/>
            <w:vAlign w:val="center"/>
          </w:tcPr>
          <w:p>
            <w:pPr>
              <w:overflowPunct w:val="0"/>
              <w:adjustRightInd w:val="0"/>
              <w:snapToGrid w:val="0"/>
              <w:spacing w:line="260" w:lineRule="exact"/>
              <w:ind w:left="-53" w:leftChars="-25" w:right="-53" w:rightChars="-25"/>
              <w:jc w:val="center"/>
              <w:rPr>
                <w:rFonts w:hint="default" w:ascii="Times New Roman" w:hAnsi="Times New Roman" w:eastAsia="黑体" w:cs="Times New Roman"/>
                <w:bCs/>
                <w:kern w:val="0"/>
                <w:sz w:val="21"/>
                <w:szCs w:val="21"/>
                <w:lang w:val="en-US" w:eastAsia="zh-CN" w:bidi="ar-SA"/>
              </w:rPr>
            </w:pPr>
            <w:r>
              <w:rPr>
                <w:rFonts w:hint="default" w:ascii="Times New Roman" w:hAnsi="Times New Roman" w:eastAsia="黑体" w:cs="Times New Roman"/>
                <w:bCs/>
                <w:kern w:val="0"/>
                <w:sz w:val="24"/>
                <w:szCs w:val="24"/>
                <w:lang w:val="en-US" w:eastAsia="zh-CN"/>
              </w:rPr>
              <w:t>第</w:t>
            </w:r>
            <w:r>
              <w:rPr>
                <w:rFonts w:hint="eastAsia" w:ascii="Times New Roman" w:hAnsi="Times New Roman" w:eastAsia="黑体" w:cs="Times New Roman"/>
                <w:bCs/>
                <w:kern w:val="0"/>
                <w:sz w:val="24"/>
                <w:szCs w:val="24"/>
                <w:lang w:val="en-US" w:eastAsia="zh-CN"/>
              </w:rPr>
              <w:t>2</w:t>
            </w:r>
            <w:r>
              <w:rPr>
                <w:rFonts w:hint="default" w:ascii="Times New Roman" w:hAnsi="Times New Roman" w:eastAsia="黑体" w:cs="Times New Roman"/>
                <w:bCs/>
                <w:kern w:val="0"/>
                <w:sz w:val="24"/>
                <w:szCs w:val="24"/>
                <w:lang w:val="en-US" w:eastAsia="zh-CN"/>
              </w:rPr>
              <w:t>季度目标</w:t>
            </w:r>
          </w:p>
        </w:tc>
        <w:tc>
          <w:tcPr>
            <w:tcW w:w="2509" w:type="dxa"/>
            <w:shd w:val="clear" w:color="auto" w:fill="auto"/>
            <w:vAlign w:val="center"/>
          </w:tcPr>
          <w:p>
            <w:pPr>
              <w:overflowPunct w:val="0"/>
              <w:adjustRightInd w:val="0"/>
              <w:snapToGrid w:val="0"/>
              <w:spacing w:line="260" w:lineRule="exact"/>
              <w:ind w:left="-53" w:leftChars="-25" w:right="-53" w:rightChars="-25"/>
              <w:jc w:val="center"/>
              <w:rPr>
                <w:rFonts w:hint="default" w:ascii="Times New Roman" w:hAnsi="Times New Roman" w:eastAsia="黑体" w:cs="Times New Roman"/>
                <w:bCs/>
                <w:kern w:val="0"/>
                <w:sz w:val="24"/>
                <w:szCs w:val="24"/>
                <w:lang w:val="en-US" w:eastAsia="zh-CN"/>
              </w:rPr>
            </w:pPr>
            <w:r>
              <w:rPr>
                <w:rFonts w:hint="eastAsia" w:ascii="Times New Roman" w:hAnsi="Times New Roman" w:eastAsia="黑体" w:cs="Times New Roman"/>
                <w:bCs/>
                <w:kern w:val="0"/>
                <w:sz w:val="24"/>
                <w:szCs w:val="24"/>
                <w:lang w:val="en-US" w:eastAsia="zh-CN"/>
              </w:rPr>
              <w:t>工作落实情况</w:t>
            </w:r>
          </w:p>
        </w:tc>
        <w:tc>
          <w:tcPr>
            <w:tcW w:w="777" w:type="dxa"/>
            <w:shd w:val="clear" w:color="auto" w:fill="auto"/>
            <w:vAlign w:val="center"/>
          </w:tcPr>
          <w:p>
            <w:pPr>
              <w:overflowPunct w:val="0"/>
              <w:adjustRightInd w:val="0"/>
              <w:snapToGrid w:val="0"/>
              <w:spacing w:line="260" w:lineRule="exact"/>
              <w:ind w:left="-53" w:leftChars="-25" w:right="-53" w:rightChars="-25"/>
              <w:jc w:val="center"/>
              <w:rPr>
                <w:rFonts w:hint="eastAsia" w:ascii="Times New Roman" w:hAnsi="Times New Roman" w:eastAsia="黑体" w:cs="Times New Roman"/>
                <w:bCs/>
                <w:kern w:val="0"/>
                <w:sz w:val="24"/>
                <w:szCs w:val="24"/>
                <w:lang w:val="en-US" w:eastAsia="zh-CN"/>
              </w:rPr>
            </w:pPr>
            <w:r>
              <w:rPr>
                <w:rFonts w:hint="eastAsia" w:ascii="Times New Roman" w:hAnsi="Times New Roman" w:eastAsia="黑体" w:cs="Times New Roman"/>
                <w:bCs/>
                <w:kern w:val="0"/>
                <w:sz w:val="24"/>
                <w:szCs w:val="24"/>
                <w:lang w:val="en-US" w:eastAsia="zh-CN"/>
              </w:rPr>
              <w:t>是否</w:t>
            </w:r>
          </w:p>
          <w:p>
            <w:pPr>
              <w:overflowPunct w:val="0"/>
              <w:adjustRightInd w:val="0"/>
              <w:snapToGrid w:val="0"/>
              <w:spacing w:line="260" w:lineRule="exact"/>
              <w:ind w:left="-53" w:leftChars="-25" w:right="-53" w:rightChars="-25"/>
              <w:jc w:val="center"/>
              <w:rPr>
                <w:rFonts w:hint="default" w:ascii="Times New Roman" w:hAnsi="Times New Roman" w:eastAsia="黑体" w:cs="Times New Roman"/>
                <w:bCs/>
                <w:kern w:val="0"/>
                <w:sz w:val="24"/>
                <w:szCs w:val="24"/>
                <w:lang w:val="en-US" w:eastAsia="zh-CN" w:bidi="ar-SA"/>
              </w:rPr>
            </w:pPr>
            <w:r>
              <w:rPr>
                <w:rFonts w:hint="eastAsia" w:ascii="Times New Roman" w:hAnsi="Times New Roman" w:eastAsia="黑体" w:cs="Times New Roman"/>
                <w:bCs/>
                <w:kern w:val="0"/>
                <w:sz w:val="24"/>
                <w:szCs w:val="24"/>
                <w:lang w:val="en-US" w:eastAsia="zh-CN"/>
              </w:rPr>
              <w:t>完成</w:t>
            </w:r>
          </w:p>
        </w:tc>
        <w:tc>
          <w:tcPr>
            <w:tcW w:w="1023" w:type="dxa"/>
            <w:shd w:val="clear" w:color="auto" w:fill="auto"/>
            <w:vAlign w:val="center"/>
          </w:tcPr>
          <w:p>
            <w:pPr>
              <w:overflowPunct w:val="0"/>
              <w:adjustRightInd w:val="0"/>
              <w:snapToGrid w:val="0"/>
              <w:spacing w:line="260" w:lineRule="exact"/>
              <w:ind w:left="-53" w:leftChars="-25" w:right="-53" w:rightChars="-25"/>
              <w:jc w:val="center"/>
              <w:rPr>
                <w:rFonts w:hint="default" w:ascii="Times New Roman" w:hAnsi="Times New Roman" w:eastAsia="黑体" w:cs="Times New Roman"/>
                <w:bCs/>
                <w:kern w:val="0"/>
                <w:sz w:val="24"/>
                <w:szCs w:val="24"/>
                <w:lang w:val="en-US" w:eastAsia="zh-CN" w:bidi="ar-SA"/>
              </w:rPr>
            </w:pPr>
            <w:r>
              <w:rPr>
                <w:rFonts w:hint="eastAsia" w:ascii="Times New Roman" w:hAnsi="Times New Roman" w:eastAsia="黑体" w:cs="Times New Roman"/>
                <w:bCs/>
                <w:kern w:val="0"/>
                <w:sz w:val="24"/>
                <w:szCs w:val="24"/>
                <w:lang w:val="en-US" w:eastAsia="zh-CN"/>
              </w:rPr>
              <w:t>未完成原因</w:t>
            </w:r>
          </w:p>
        </w:tc>
        <w:tc>
          <w:tcPr>
            <w:tcW w:w="2659" w:type="dxa"/>
            <w:shd w:val="clear" w:color="auto" w:fill="auto"/>
            <w:vAlign w:val="center"/>
          </w:tcPr>
          <w:p>
            <w:pPr>
              <w:overflowPunct w:val="0"/>
              <w:adjustRightInd w:val="0"/>
              <w:snapToGrid w:val="0"/>
              <w:spacing w:line="260" w:lineRule="exact"/>
              <w:ind w:left="-53" w:leftChars="-25" w:right="-53" w:rightChars="-25"/>
              <w:jc w:val="center"/>
              <w:rPr>
                <w:rFonts w:hint="eastAsia" w:ascii="Times New Roman" w:hAnsi="Times New Roman" w:eastAsia="黑体" w:cs="Times New Roman"/>
                <w:bCs/>
                <w:kern w:val="0"/>
                <w:sz w:val="24"/>
                <w:szCs w:val="24"/>
                <w:lang w:val="en-US" w:eastAsia="zh-CN"/>
              </w:rPr>
            </w:pPr>
            <w:r>
              <w:rPr>
                <w:rFonts w:hint="eastAsia" w:ascii="Times New Roman" w:hAnsi="Times New Roman" w:eastAsia="黑体" w:cs="Times New Roman"/>
                <w:bCs/>
                <w:kern w:val="0"/>
                <w:sz w:val="24"/>
                <w:szCs w:val="24"/>
                <w:lang w:val="en-US" w:eastAsia="zh-CN"/>
              </w:rPr>
              <w:t>下一步</w:t>
            </w:r>
          </w:p>
          <w:p>
            <w:pPr>
              <w:overflowPunct w:val="0"/>
              <w:adjustRightInd w:val="0"/>
              <w:snapToGrid w:val="0"/>
              <w:spacing w:line="260" w:lineRule="exact"/>
              <w:ind w:left="-53" w:leftChars="-25" w:right="-53" w:rightChars="-25"/>
              <w:jc w:val="center"/>
              <w:rPr>
                <w:rFonts w:hint="default" w:ascii="Times New Roman" w:hAnsi="Times New Roman" w:eastAsia="黑体" w:cs="Times New Roman"/>
                <w:bCs/>
                <w:kern w:val="0"/>
                <w:sz w:val="24"/>
                <w:szCs w:val="24"/>
                <w:lang w:val="en-US" w:eastAsia="zh-CN" w:bidi="ar-SA"/>
              </w:rPr>
            </w:pPr>
            <w:r>
              <w:rPr>
                <w:rFonts w:hint="eastAsia" w:ascii="Times New Roman" w:hAnsi="Times New Roman" w:eastAsia="黑体" w:cs="Times New Roman"/>
                <w:bCs/>
                <w:kern w:val="0"/>
                <w:sz w:val="24"/>
                <w:szCs w:val="24"/>
                <w:lang w:val="en-US" w:eastAsia="zh-CN"/>
              </w:rPr>
              <w:t>工作措施</w:t>
            </w:r>
          </w:p>
        </w:tc>
        <w:tc>
          <w:tcPr>
            <w:tcW w:w="1800" w:type="dxa"/>
            <w:vAlign w:val="center"/>
          </w:tcPr>
          <w:p>
            <w:pPr>
              <w:overflowPunct w:val="0"/>
              <w:adjustRightInd w:val="0"/>
              <w:snapToGrid w:val="0"/>
              <w:spacing w:line="260" w:lineRule="exact"/>
              <w:jc w:val="center"/>
              <w:rPr>
                <w:rFonts w:hint="eastAsia" w:ascii="Times New Roman" w:hAnsi="Times New Roman" w:eastAsia="黑体" w:cs="Times New Roman"/>
                <w:bCs/>
                <w:kern w:val="0"/>
                <w:sz w:val="24"/>
                <w:szCs w:val="24"/>
                <w:lang w:val="en-US" w:eastAsia="zh-CN" w:bidi="ar-SA"/>
              </w:rPr>
            </w:pPr>
            <w:r>
              <w:rPr>
                <w:rFonts w:hint="default" w:ascii="Times New Roman" w:hAnsi="Times New Roman" w:eastAsia="黑体" w:cs="Times New Roman"/>
                <w:bCs/>
                <w:kern w:val="0"/>
                <w:sz w:val="24"/>
                <w:szCs w:val="24"/>
                <w:lang w:val="en-US" w:eastAsia="zh-CN"/>
              </w:rPr>
              <w:t>责任</w:t>
            </w:r>
            <w:r>
              <w:rPr>
                <w:rFonts w:hint="default" w:ascii="Times New Roman" w:hAnsi="Times New Roman" w:eastAsia="黑体" w:cs="Times New Roman"/>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456" w:type="dxa"/>
            <w:vAlign w:val="center"/>
          </w:tcPr>
          <w:p>
            <w:pPr>
              <w:overflowPunct w:val="0"/>
              <w:adjustRightInd w:val="0"/>
              <w:snapToGrid w:val="0"/>
              <w:spacing w:line="260" w:lineRule="exact"/>
              <w:jc w:val="center"/>
              <w:textAlignment w:val="center"/>
              <w:rPr>
                <w:rFonts w:hint="eastAsia"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1</w:t>
            </w:r>
          </w:p>
        </w:tc>
        <w:tc>
          <w:tcPr>
            <w:tcW w:w="2613" w:type="dxa"/>
            <w:vAlign w:val="center"/>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spacing w:val="0"/>
                <w:w w:val="100"/>
                <w:sz w:val="22"/>
                <w:szCs w:val="22"/>
                <w:highlight w:val="none"/>
              </w:rPr>
              <w:t>扎实推进建筑业高质量发展三年行动，支持骨干企业通过股权合作、项目合作、劳务合作等方式，与大型央企、国企及优势民企联合开拓外埠市场，</w:t>
            </w:r>
            <w:r>
              <w:rPr>
                <w:rFonts w:hint="default" w:ascii="Times New Roman" w:hAnsi="Times New Roman" w:eastAsia="仿宋_GB2312" w:cs="Times New Roman"/>
                <w:color w:val="auto"/>
                <w:spacing w:val="0"/>
                <w:w w:val="100"/>
                <w:kern w:val="0"/>
                <w:sz w:val="22"/>
                <w:szCs w:val="22"/>
                <w:highlight w:val="none"/>
              </w:rPr>
              <w:t>加速工业化、数字化、智能化转型，力争完成建筑业总产值630亿元。</w:t>
            </w:r>
          </w:p>
        </w:tc>
        <w:tc>
          <w:tcPr>
            <w:tcW w:w="2823"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1.引导企业走高质量发展之路。</w:t>
            </w: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2.鼓励本地企业与大型国企、央企共同承建大型建设项目,力争完成建筑业总产值240亿元。</w:t>
            </w:r>
          </w:p>
        </w:tc>
        <w:tc>
          <w:tcPr>
            <w:tcW w:w="2509"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1.我县13家企业入选市骨干企业、2家企业入选专精特新企业名单。</w:t>
            </w:r>
          </w:p>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2.预计完成建筑业产值241亿元，同比增长13.47%。</w:t>
            </w:r>
          </w:p>
        </w:tc>
        <w:tc>
          <w:tcPr>
            <w:tcW w:w="777"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已完成</w:t>
            </w:r>
          </w:p>
        </w:tc>
        <w:tc>
          <w:tcPr>
            <w:tcW w:w="1023"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p>
        </w:tc>
        <w:tc>
          <w:tcPr>
            <w:tcW w:w="2659"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rPr>
            </w:pPr>
            <w:r>
              <w:rPr>
                <w:rFonts w:hint="eastAsia" w:ascii="Times New Roman" w:hAnsi="Times New Roman" w:eastAsia="仿宋_GB2312" w:cs="Times New Roman"/>
                <w:color w:val="auto"/>
                <w:spacing w:val="0"/>
                <w:w w:val="100"/>
                <w:sz w:val="22"/>
                <w:szCs w:val="22"/>
                <w:highlight w:val="none"/>
              </w:rPr>
              <w:t xml:space="preserve">1.继续深化服务，提振企业信心。完善党建共建、政银企、对外联络等平台建设，提升项目承接能力。  </w:t>
            </w:r>
          </w:p>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rPr>
              <w:t>2.加大政策扶持，推动市场回升向好。落实好</w:t>
            </w:r>
            <w:r>
              <w:rPr>
                <w:rFonts w:hint="eastAsia" w:ascii="Times New Roman" w:hAnsi="Times New Roman" w:eastAsia="仿宋_GB2312" w:cs="Times New Roman"/>
                <w:color w:val="auto"/>
                <w:spacing w:val="0"/>
                <w:w w:val="100"/>
                <w:sz w:val="22"/>
                <w:szCs w:val="22"/>
                <w:highlight w:val="none"/>
                <w:lang w:eastAsia="zh-CN"/>
              </w:rPr>
              <w:t>专项扶持</w:t>
            </w:r>
            <w:r>
              <w:rPr>
                <w:rFonts w:hint="eastAsia" w:ascii="Times New Roman" w:hAnsi="Times New Roman" w:eastAsia="仿宋_GB2312" w:cs="Times New Roman"/>
                <w:color w:val="auto"/>
                <w:spacing w:val="0"/>
                <w:w w:val="100"/>
                <w:sz w:val="22"/>
                <w:szCs w:val="22"/>
                <w:highlight w:val="none"/>
              </w:rPr>
              <w:t>政策，大力培育机电安装、石油化工、公路桥梁等专业施工企业，进一步拓宽专业施工领域。</w:t>
            </w:r>
          </w:p>
        </w:tc>
        <w:tc>
          <w:tcPr>
            <w:tcW w:w="1800" w:type="dxa"/>
            <w:vAlign w:val="center"/>
          </w:tcPr>
          <w:p>
            <w:pPr>
              <w:overflowPunct w:val="0"/>
              <w:adjustRightInd w:val="0"/>
              <w:snapToGrid w:val="0"/>
              <w:spacing w:line="260" w:lineRule="exact"/>
              <w:jc w:val="center"/>
              <w:rPr>
                <w:rFonts w:hint="default" w:ascii="Times New Roman" w:hAnsi="Times New Roman" w:eastAsia="仿宋_GB2312" w:cs="Times New Roman"/>
                <w:color w:val="auto"/>
                <w:spacing w:val="0"/>
                <w:w w:val="100"/>
                <w:sz w:val="24"/>
                <w:szCs w:val="24"/>
                <w:highlight w:val="none"/>
                <w:lang w:val="en-US" w:eastAsia="zh-CN"/>
              </w:rPr>
            </w:pPr>
            <w:r>
              <w:rPr>
                <w:rFonts w:hint="default" w:ascii="Times New Roman" w:hAnsi="Times New Roman" w:eastAsia="仿宋_GB2312" w:cs="Times New Roman"/>
                <w:color w:val="auto"/>
                <w:spacing w:val="0"/>
                <w:w w:val="100"/>
                <w:sz w:val="24"/>
                <w:szCs w:val="24"/>
                <w:highlight w:val="none"/>
                <w:lang w:val="en-US" w:eastAsia="zh-CN"/>
              </w:rPr>
              <w:t>县住房城乡</w:t>
            </w:r>
          </w:p>
          <w:p>
            <w:pPr>
              <w:overflowPunct w:val="0"/>
              <w:adjustRightInd w:val="0"/>
              <w:snapToGrid w:val="0"/>
              <w:spacing w:line="260" w:lineRule="exact"/>
              <w:jc w:val="center"/>
              <w:rPr>
                <w:rFonts w:hint="eastAsia"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pacing w:val="0"/>
                <w:w w:val="100"/>
                <w:sz w:val="24"/>
                <w:szCs w:val="24"/>
                <w:highlight w:val="none"/>
                <w:lang w:val="en-US" w:eastAsia="zh-CN"/>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456" w:type="dxa"/>
            <w:vAlign w:val="center"/>
          </w:tcPr>
          <w:p>
            <w:pPr>
              <w:overflowPunct w:val="0"/>
              <w:adjustRightInd w:val="0"/>
              <w:snapToGrid w:val="0"/>
              <w:spacing w:line="260" w:lineRule="exact"/>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2</w:t>
            </w:r>
          </w:p>
        </w:tc>
        <w:tc>
          <w:tcPr>
            <w:tcW w:w="2613" w:type="dxa"/>
            <w:vAlign w:val="center"/>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spacing w:val="0"/>
                <w:w w:val="100"/>
                <w:kern w:val="2"/>
                <w:sz w:val="22"/>
                <w:szCs w:val="22"/>
                <w:highlight w:val="none"/>
                <w:lang w:val="en-US" w:eastAsia="zh-CN"/>
              </w:rPr>
              <w:t>有序推进城市更新，完善城市路网，打通一中西路、镇南大街、渔洋街等梗阻道路，实现建成区雨污合流管网全面清零。</w:t>
            </w:r>
          </w:p>
        </w:tc>
        <w:tc>
          <w:tcPr>
            <w:tcW w:w="2823"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1.完成一中西路、镇南大街、渔洋街等梗阻道路的文物勘察办理工作。</w:t>
            </w: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2.雨污合流项目，张北路、中心大街、背街小巷、建筑小区等管网改造施工。</w:t>
            </w:r>
          </w:p>
        </w:tc>
        <w:tc>
          <w:tcPr>
            <w:tcW w:w="2509"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1.一中西路（赵家南路-红莲湖大道）正在进行红莲湖学校南门两侧路段的施工前准备工作、一中西路（桓台大道-中心大街）目前已完成现场文物勘探作业，并编制文物保护方案。</w:t>
            </w:r>
          </w:p>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2.市政雨污合流管网改造已完成100%；具备改造条件的机关事业单位、建筑小区内部的管网改造完成，基本实现城市建成区雨污合流清零。</w:t>
            </w:r>
          </w:p>
        </w:tc>
        <w:tc>
          <w:tcPr>
            <w:tcW w:w="777"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已完成</w:t>
            </w:r>
          </w:p>
        </w:tc>
        <w:tc>
          <w:tcPr>
            <w:tcW w:w="1023" w:type="dxa"/>
            <w:vAlign w:val="top"/>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p>
        </w:tc>
        <w:tc>
          <w:tcPr>
            <w:tcW w:w="2659" w:type="dxa"/>
            <w:vAlign w:val="top"/>
          </w:tcPr>
          <w:p>
            <w:pPr>
              <w:numPr>
                <w:ilvl w:val="0"/>
                <w:numId w:val="1"/>
              </w:num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开展一中西路（赵家南路-红莲湖大道）红莲湖学校南门两侧路段的施工；配合市文旅局组织专家论证一中西路（桓台大道-中心大街）的文物保护方案。</w:t>
            </w:r>
          </w:p>
          <w:p>
            <w:pPr>
              <w:numPr>
                <w:ilvl w:val="0"/>
                <w:numId w:val="1"/>
              </w:num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及时组织雨污合流改造项目竣工验收工作；委托第三方专业机构编制自评估报告，通过省市核验。</w:t>
            </w:r>
          </w:p>
        </w:tc>
        <w:tc>
          <w:tcPr>
            <w:tcW w:w="1800" w:type="dxa"/>
            <w:vAlign w:val="center"/>
          </w:tcPr>
          <w:p>
            <w:pPr>
              <w:overflowPunct w:val="0"/>
              <w:adjustRightInd w:val="0"/>
              <w:snapToGrid w:val="0"/>
              <w:spacing w:line="260" w:lineRule="exact"/>
              <w:jc w:val="center"/>
              <w:rPr>
                <w:rFonts w:hint="default" w:ascii="Times New Roman" w:hAnsi="Times New Roman" w:eastAsia="仿宋_GB2312" w:cs="Times New Roman"/>
                <w:color w:val="auto"/>
                <w:spacing w:val="0"/>
                <w:w w:val="100"/>
                <w:kern w:val="2"/>
                <w:sz w:val="24"/>
                <w:szCs w:val="24"/>
                <w:highlight w:val="none"/>
                <w:lang w:val="en-US" w:eastAsia="zh-CN"/>
              </w:rPr>
            </w:pPr>
            <w:r>
              <w:rPr>
                <w:rFonts w:hint="default" w:ascii="Times New Roman" w:hAnsi="Times New Roman" w:eastAsia="仿宋_GB2312" w:cs="Times New Roman"/>
                <w:color w:val="auto"/>
                <w:spacing w:val="0"/>
                <w:w w:val="100"/>
                <w:kern w:val="2"/>
                <w:sz w:val="24"/>
                <w:szCs w:val="24"/>
                <w:highlight w:val="none"/>
                <w:lang w:val="en-US" w:eastAsia="zh-CN"/>
              </w:rPr>
              <w:t>县住房城乡</w:t>
            </w:r>
          </w:p>
          <w:p>
            <w:pPr>
              <w:overflowPunct w:val="0"/>
              <w:adjustRightInd w:val="0"/>
              <w:snapToGrid w:val="0"/>
              <w:spacing w:line="260" w:lineRule="exact"/>
              <w:jc w:val="center"/>
              <w:rPr>
                <w:rFonts w:hint="eastAsia" w:ascii="Times New Roman" w:hAnsi="Times New Roman" w:eastAsia="仿宋_GB2312" w:cs="Times New Roman"/>
                <w:bCs w:val="0"/>
                <w:color w:val="auto"/>
                <w:kern w:val="0"/>
                <w:sz w:val="24"/>
                <w:szCs w:val="24"/>
                <w:highlight w:val="none"/>
                <w:lang w:val="en-US" w:eastAsia="zh-CN" w:bidi="ar-SA"/>
              </w:rPr>
            </w:pPr>
            <w:r>
              <w:rPr>
                <w:rFonts w:hint="default" w:ascii="Times New Roman" w:hAnsi="Times New Roman" w:eastAsia="仿宋_GB2312" w:cs="Times New Roman"/>
                <w:color w:val="auto"/>
                <w:spacing w:val="0"/>
                <w:w w:val="100"/>
                <w:kern w:val="2"/>
                <w:sz w:val="24"/>
                <w:szCs w:val="24"/>
                <w:highlight w:val="none"/>
                <w:lang w:val="en-US" w:eastAsia="zh-CN"/>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456" w:type="dxa"/>
            <w:vAlign w:val="center"/>
          </w:tcPr>
          <w:p>
            <w:pPr>
              <w:overflowPunct w:val="0"/>
              <w:adjustRightInd w:val="0"/>
              <w:snapToGrid w:val="0"/>
              <w:spacing w:line="260" w:lineRule="exact"/>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3</w:t>
            </w:r>
          </w:p>
        </w:tc>
        <w:tc>
          <w:tcPr>
            <w:tcW w:w="2613" w:type="dxa"/>
            <w:vAlign w:val="center"/>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rPr>
              <w:t>统筹抓好扬尘、移动污染源等治理，做好重污染天气应急管控，推动环境空气质量持续改善。</w:t>
            </w:r>
          </w:p>
        </w:tc>
        <w:tc>
          <w:tcPr>
            <w:tcW w:w="2823"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1.加强对施工现场非道路移动机械进行监督检查，确保施工现场使用经生态环境部门编码登记且喷绘环保编码的符合国Ⅲ及以上排放标准的非道路移动机械。</w:t>
            </w:r>
          </w:p>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2.确保非道路移动机械污染防治各项工作要求全面落实。</w:t>
            </w:r>
          </w:p>
        </w:tc>
        <w:tc>
          <w:tcPr>
            <w:tcW w:w="2509" w:type="dxa"/>
            <w:vAlign w:val="top"/>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通过“四不两直”及专项检查方式对全县在建工地非道路移动机械使用情况进行监督检查，确保施工现场使用经环保部门编码登记且喷绘环保编码的符合国Ⅲ及以上排放标准的非道路移动机械，确保非道路移动机械污染防治各项工作要求全面落实。</w:t>
            </w:r>
          </w:p>
        </w:tc>
        <w:tc>
          <w:tcPr>
            <w:tcW w:w="777" w:type="dxa"/>
            <w:vAlign w:val="center"/>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已完成</w:t>
            </w:r>
          </w:p>
        </w:tc>
        <w:tc>
          <w:tcPr>
            <w:tcW w:w="1023" w:type="dxa"/>
            <w:vAlign w:val="center"/>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p>
        </w:tc>
        <w:tc>
          <w:tcPr>
            <w:tcW w:w="2659" w:type="dxa"/>
            <w:vAlign w:val="top"/>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继续通过“四不两直”及专项检查方式对全县在建工地扬尘防控工作和非道路移动机械使用情况进行监督检查。确保施工现场扬尘治理8个100%及非道路移动机械污染防治工作落实到位并长期保持。</w:t>
            </w:r>
          </w:p>
        </w:tc>
        <w:tc>
          <w:tcPr>
            <w:tcW w:w="1800" w:type="dxa"/>
            <w:vAlign w:val="center"/>
          </w:tcPr>
          <w:p>
            <w:pPr>
              <w:overflowPunct w:val="0"/>
              <w:adjustRightInd w:val="0"/>
              <w:snapToGrid w:val="0"/>
              <w:spacing w:line="260" w:lineRule="exact"/>
              <w:jc w:val="center"/>
              <w:rPr>
                <w:rFonts w:hint="eastAsia" w:ascii="Times New Roman" w:hAnsi="Times New Roman" w:eastAsia="仿宋_GB2312" w:cs="Times New Roman"/>
                <w:bCs w:val="0"/>
                <w:color w:val="auto"/>
                <w:kern w:val="0"/>
                <w:sz w:val="24"/>
                <w:szCs w:val="24"/>
                <w:highlight w:val="none"/>
                <w:lang w:val="en-US" w:eastAsia="zh-CN"/>
              </w:rPr>
            </w:pPr>
            <w:r>
              <w:rPr>
                <w:rFonts w:hint="eastAsia" w:ascii="Times New Roman" w:hAnsi="Times New Roman" w:eastAsia="仿宋_GB2312" w:cs="Times New Roman"/>
                <w:bCs w:val="0"/>
                <w:color w:val="auto"/>
                <w:kern w:val="0"/>
                <w:sz w:val="24"/>
                <w:szCs w:val="24"/>
                <w:highlight w:val="none"/>
                <w:lang w:val="en-US" w:eastAsia="zh-CN"/>
              </w:rPr>
              <w:t>县住房城乡</w:t>
            </w:r>
          </w:p>
          <w:p>
            <w:pPr>
              <w:overflowPunct w:val="0"/>
              <w:adjustRightInd w:val="0"/>
              <w:snapToGrid w:val="0"/>
              <w:spacing w:line="260" w:lineRule="exact"/>
              <w:jc w:val="center"/>
              <w:rPr>
                <w:rFonts w:hint="default" w:ascii="Times New Roman" w:hAnsi="Times New Roman" w:eastAsia="仿宋_GB2312" w:cs="Times New Roman"/>
                <w:bCs w:val="0"/>
                <w:color w:val="auto"/>
                <w:kern w:val="0"/>
                <w:sz w:val="24"/>
                <w:szCs w:val="24"/>
                <w:highlight w:val="none"/>
                <w:lang w:val="en-US" w:eastAsia="zh-CN" w:bidi="ar-SA"/>
              </w:rPr>
            </w:pPr>
            <w:r>
              <w:rPr>
                <w:rFonts w:hint="eastAsia" w:ascii="Times New Roman" w:hAnsi="Times New Roman" w:eastAsia="仿宋_GB2312" w:cs="Times New Roman"/>
                <w:bCs w:val="0"/>
                <w:color w:val="auto"/>
                <w:kern w:val="0"/>
                <w:sz w:val="24"/>
                <w:szCs w:val="24"/>
                <w:highlight w:val="none"/>
                <w:lang w:val="en-US" w:eastAsia="zh-CN"/>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56" w:type="dxa"/>
            <w:vAlign w:val="center"/>
          </w:tcPr>
          <w:p>
            <w:pPr>
              <w:overflowPunct w:val="0"/>
              <w:adjustRightInd w:val="0"/>
              <w:snapToGrid w:val="0"/>
              <w:spacing w:line="260" w:lineRule="exact"/>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4</w:t>
            </w:r>
          </w:p>
        </w:tc>
        <w:tc>
          <w:tcPr>
            <w:tcW w:w="2613" w:type="dxa"/>
            <w:vAlign w:val="center"/>
          </w:tcPr>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eastAsia="zh-CN"/>
              </w:rPr>
              <w:t>加快推进红莲湖学校小学部、东和嘉园小学等项目建设。</w:t>
            </w:r>
          </w:p>
        </w:tc>
        <w:tc>
          <w:tcPr>
            <w:tcW w:w="2823" w:type="dxa"/>
            <w:vAlign w:val="center"/>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1.东和嘉园小学教学楼A、B座装饰装修完成。综合楼一、二次结构施工完成。风雨操场钢结构完成。</w:t>
            </w: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2.红莲湖学校小学部、共享部完成全部施工任务及室外配套项目建设任务。</w:t>
            </w:r>
          </w:p>
        </w:tc>
        <w:tc>
          <w:tcPr>
            <w:tcW w:w="2509" w:type="dxa"/>
            <w:vAlign w:val="top"/>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1.东和嘉园小学教学楼A、B座主体、二次结构完成，内外装工程已入场施工。综合楼二次结构完成，风雨操场钢结构完成。</w:t>
            </w:r>
          </w:p>
          <w:p>
            <w:pPr>
              <w:overflowPunct w:val="0"/>
              <w:adjustRightInd w:val="0"/>
              <w:snapToGrid w:val="0"/>
              <w:spacing w:line="260" w:lineRule="exact"/>
              <w:ind w:left="-53" w:leftChars="-25" w:right="-53" w:rightChars="-25"/>
              <w:rPr>
                <w:rFonts w:hint="eastAsia"/>
                <w:lang w:val="en-US" w:eastAsia="zh-CN"/>
              </w:rPr>
            </w:pPr>
            <w:r>
              <w:rPr>
                <w:rFonts w:hint="eastAsia" w:ascii="Times New Roman" w:hAnsi="Times New Roman" w:eastAsia="仿宋_GB2312" w:cs="Times New Roman"/>
                <w:color w:val="auto"/>
                <w:spacing w:val="0"/>
                <w:w w:val="100"/>
                <w:sz w:val="22"/>
                <w:szCs w:val="22"/>
                <w:highlight w:val="none"/>
                <w:lang w:val="en-US" w:eastAsia="zh-CN"/>
              </w:rPr>
              <w:t>2.红莲湖学校小学部除风雨操场地面外全部进入收尾阶段，共享部除泳池设备、风雨操场地面、体操馆地面全部进入收尾阶段，配套工程除小学部车库南入口处全部完成。</w:t>
            </w:r>
          </w:p>
        </w:tc>
        <w:tc>
          <w:tcPr>
            <w:tcW w:w="777" w:type="dxa"/>
            <w:vAlign w:val="top"/>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rPr>
            </w:pP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p>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已完成</w:t>
            </w:r>
          </w:p>
        </w:tc>
        <w:tc>
          <w:tcPr>
            <w:tcW w:w="1023" w:type="dxa"/>
            <w:vAlign w:val="center"/>
          </w:tcPr>
          <w:p>
            <w:pPr>
              <w:overflowPunct w:val="0"/>
              <w:adjustRightInd w:val="0"/>
              <w:snapToGrid w:val="0"/>
              <w:spacing w:line="260" w:lineRule="exact"/>
              <w:ind w:left="-53" w:leftChars="-25" w:right="-53" w:rightChars="-25"/>
              <w:jc w:val="both"/>
              <w:rPr>
                <w:rFonts w:hint="default" w:ascii="Times New Roman" w:hAnsi="Times New Roman" w:eastAsia="仿宋_GB2312" w:cs="Times New Roman"/>
                <w:color w:val="auto"/>
                <w:spacing w:val="0"/>
                <w:w w:val="100"/>
                <w:sz w:val="22"/>
                <w:szCs w:val="22"/>
                <w:highlight w:val="none"/>
                <w:lang w:val="en-US" w:eastAsia="zh-CN"/>
              </w:rPr>
            </w:pPr>
          </w:p>
        </w:tc>
        <w:tc>
          <w:tcPr>
            <w:tcW w:w="2659" w:type="dxa"/>
            <w:vAlign w:val="top"/>
          </w:tcPr>
          <w:p>
            <w:pPr>
              <w:overflowPunct w:val="0"/>
              <w:adjustRightInd w:val="0"/>
              <w:snapToGrid w:val="0"/>
              <w:spacing w:line="260" w:lineRule="exact"/>
              <w:ind w:left="-53" w:leftChars="-25" w:right="-53" w:rightChars="-25"/>
              <w:rPr>
                <w:rFonts w:hint="eastAsia" w:ascii="Times New Roman" w:hAnsi="Times New Roman" w:eastAsia="仿宋_GB2312" w:cs="Times New Roman"/>
                <w:color w:val="auto"/>
                <w:spacing w:val="0"/>
                <w:w w:val="100"/>
                <w:sz w:val="22"/>
                <w:szCs w:val="22"/>
                <w:highlight w:val="none"/>
              </w:rPr>
            </w:pPr>
            <w:r>
              <w:rPr>
                <w:rFonts w:hint="eastAsia" w:ascii="Times New Roman" w:hAnsi="Times New Roman" w:eastAsia="仿宋_GB2312" w:cs="Times New Roman"/>
                <w:color w:val="auto"/>
                <w:spacing w:val="0"/>
                <w:w w:val="100"/>
                <w:sz w:val="22"/>
                <w:szCs w:val="22"/>
                <w:highlight w:val="none"/>
                <w:lang w:val="en-US" w:eastAsia="zh-CN"/>
              </w:rPr>
              <w:t>1.</w:t>
            </w:r>
            <w:r>
              <w:rPr>
                <w:rFonts w:hint="eastAsia" w:ascii="Times New Roman" w:hAnsi="Times New Roman" w:eastAsia="仿宋_GB2312" w:cs="Times New Roman"/>
                <w:color w:val="auto"/>
                <w:spacing w:val="0"/>
                <w:w w:val="100"/>
                <w:sz w:val="22"/>
                <w:szCs w:val="22"/>
                <w:highlight w:val="none"/>
              </w:rPr>
              <w:t>积极协调县财政局等部门</w:t>
            </w:r>
            <w:r>
              <w:rPr>
                <w:rFonts w:hint="eastAsia" w:ascii="Times New Roman" w:hAnsi="Times New Roman" w:eastAsia="仿宋_GB2312" w:cs="Times New Roman"/>
                <w:color w:val="auto"/>
                <w:spacing w:val="0"/>
                <w:w w:val="100"/>
                <w:sz w:val="22"/>
                <w:szCs w:val="22"/>
                <w:highlight w:val="none"/>
                <w:lang w:val="en-US" w:eastAsia="zh-CN"/>
              </w:rPr>
              <w:t>保障项目</w:t>
            </w:r>
            <w:r>
              <w:rPr>
                <w:rFonts w:hint="eastAsia" w:ascii="Times New Roman" w:hAnsi="Times New Roman" w:eastAsia="仿宋_GB2312" w:cs="Times New Roman"/>
                <w:color w:val="auto"/>
                <w:spacing w:val="0"/>
                <w:w w:val="100"/>
                <w:sz w:val="22"/>
                <w:szCs w:val="22"/>
                <w:highlight w:val="none"/>
              </w:rPr>
              <w:t>资金</w:t>
            </w:r>
            <w:r>
              <w:rPr>
                <w:rFonts w:hint="eastAsia" w:ascii="Times New Roman" w:hAnsi="Times New Roman" w:eastAsia="仿宋_GB2312" w:cs="Times New Roman"/>
                <w:color w:val="auto"/>
                <w:spacing w:val="0"/>
                <w:w w:val="100"/>
                <w:sz w:val="22"/>
                <w:szCs w:val="22"/>
                <w:highlight w:val="none"/>
                <w:lang w:eastAsia="zh-CN"/>
              </w:rPr>
              <w:t>。</w:t>
            </w:r>
            <w:r>
              <w:rPr>
                <w:rFonts w:hint="eastAsia" w:ascii="Times New Roman" w:hAnsi="Times New Roman" w:eastAsia="仿宋_GB2312" w:cs="Times New Roman"/>
                <w:color w:val="auto"/>
                <w:spacing w:val="0"/>
                <w:w w:val="100"/>
                <w:sz w:val="22"/>
                <w:szCs w:val="22"/>
                <w:highlight w:val="none"/>
              </w:rPr>
              <w:t>协调果里镇政府，督促中铁二十局加快工程进度。</w:t>
            </w:r>
          </w:p>
          <w:p>
            <w:pPr>
              <w:overflowPunct w:val="0"/>
              <w:adjustRightInd w:val="0"/>
              <w:snapToGrid w:val="0"/>
              <w:spacing w:line="260" w:lineRule="exact"/>
              <w:ind w:left="-53" w:leftChars="-25" w:right="-53" w:rightChars="-25"/>
              <w:rPr>
                <w:rFonts w:hint="default" w:ascii="Times New Roman" w:hAnsi="Times New Roman" w:eastAsia="仿宋_GB2312" w:cs="Times New Roman"/>
                <w:color w:val="auto"/>
                <w:spacing w:val="0"/>
                <w:w w:val="100"/>
                <w:sz w:val="22"/>
                <w:szCs w:val="22"/>
                <w:highlight w:val="none"/>
                <w:lang w:val="en-US" w:eastAsia="zh-CN"/>
              </w:rPr>
            </w:pPr>
            <w:r>
              <w:rPr>
                <w:rFonts w:hint="eastAsia" w:ascii="Times New Roman" w:hAnsi="Times New Roman" w:eastAsia="仿宋_GB2312" w:cs="Times New Roman"/>
                <w:color w:val="auto"/>
                <w:spacing w:val="0"/>
                <w:w w:val="100"/>
                <w:sz w:val="22"/>
                <w:szCs w:val="22"/>
                <w:highlight w:val="none"/>
                <w:lang w:val="en-US" w:eastAsia="zh-CN"/>
              </w:rPr>
              <w:t>2.</w:t>
            </w:r>
            <w:r>
              <w:rPr>
                <w:rFonts w:hint="eastAsia" w:ascii="Times New Roman" w:hAnsi="Times New Roman" w:eastAsia="仿宋_GB2312" w:cs="Times New Roman"/>
                <w:color w:val="auto"/>
                <w:spacing w:val="0"/>
                <w:w w:val="100"/>
                <w:sz w:val="22"/>
                <w:szCs w:val="22"/>
                <w:highlight w:val="none"/>
              </w:rPr>
              <w:t>七月份全部完工，交付</w:t>
            </w:r>
            <w:r>
              <w:rPr>
                <w:rFonts w:hint="eastAsia" w:ascii="Times New Roman" w:hAnsi="Times New Roman" w:eastAsia="仿宋_GB2312" w:cs="Times New Roman"/>
                <w:color w:val="auto"/>
                <w:spacing w:val="0"/>
                <w:w w:val="100"/>
                <w:sz w:val="22"/>
                <w:szCs w:val="22"/>
                <w:highlight w:val="none"/>
                <w:lang w:eastAsia="zh-CN"/>
              </w:rPr>
              <w:t>县</w:t>
            </w:r>
            <w:r>
              <w:rPr>
                <w:rFonts w:hint="eastAsia" w:ascii="Times New Roman" w:hAnsi="Times New Roman" w:eastAsia="仿宋_GB2312" w:cs="Times New Roman"/>
                <w:color w:val="auto"/>
                <w:spacing w:val="0"/>
                <w:w w:val="100"/>
                <w:sz w:val="22"/>
                <w:szCs w:val="22"/>
                <w:highlight w:val="none"/>
              </w:rPr>
              <w:t>教体局进行内配配置</w:t>
            </w:r>
            <w:r>
              <w:rPr>
                <w:rFonts w:hint="eastAsia" w:ascii="Times New Roman" w:hAnsi="Times New Roman" w:eastAsia="仿宋_GB2312" w:cs="Times New Roman"/>
                <w:color w:val="auto"/>
                <w:spacing w:val="0"/>
                <w:w w:val="100"/>
                <w:sz w:val="22"/>
                <w:szCs w:val="22"/>
                <w:highlight w:val="none"/>
                <w:lang w:eastAsia="zh-CN"/>
              </w:rPr>
              <w:t>，具备开学条件。</w:t>
            </w:r>
            <w:bookmarkStart w:id="0" w:name="_GoBack"/>
            <w:bookmarkEnd w:id="0"/>
          </w:p>
        </w:tc>
        <w:tc>
          <w:tcPr>
            <w:tcW w:w="1800" w:type="dxa"/>
            <w:vAlign w:val="center"/>
          </w:tcPr>
          <w:p>
            <w:pPr>
              <w:overflowPunct w:val="0"/>
              <w:adjustRightInd w:val="0"/>
              <w:snapToGrid w:val="0"/>
              <w:spacing w:line="260" w:lineRule="exact"/>
              <w:jc w:val="center"/>
              <w:rPr>
                <w:rFonts w:hint="default" w:ascii="Times New Roman" w:hAnsi="Times New Roman" w:eastAsia="仿宋_GB2312" w:cs="Times New Roman"/>
                <w:bCs w:val="0"/>
                <w:color w:val="auto"/>
                <w:kern w:val="0"/>
                <w:sz w:val="24"/>
                <w:szCs w:val="24"/>
                <w:highlight w:val="none"/>
                <w:lang w:val="en-US" w:eastAsia="zh-CN"/>
              </w:rPr>
            </w:pPr>
            <w:r>
              <w:rPr>
                <w:rFonts w:hint="default" w:ascii="Times New Roman" w:hAnsi="Times New Roman" w:eastAsia="仿宋_GB2312" w:cs="Times New Roman"/>
                <w:bCs w:val="0"/>
                <w:color w:val="auto"/>
                <w:kern w:val="0"/>
                <w:sz w:val="24"/>
                <w:szCs w:val="24"/>
                <w:highlight w:val="none"/>
                <w:lang w:val="en-US" w:eastAsia="zh-CN"/>
              </w:rPr>
              <w:t>县住房城乡</w:t>
            </w:r>
          </w:p>
          <w:p>
            <w:pPr>
              <w:overflowPunct w:val="0"/>
              <w:adjustRightInd w:val="0"/>
              <w:snapToGrid w:val="0"/>
              <w:spacing w:line="260" w:lineRule="exact"/>
              <w:jc w:val="center"/>
              <w:rPr>
                <w:rFonts w:hint="eastAsia" w:ascii="Times New Roman" w:hAnsi="Times New Roman" w:eastAsia="仿宋_GB2312" w:cs="Times New Roman"/>
                <w:bCs w:val="0"/>
                <w:color w:val="auto"/>
                <w:kern w:val="0"/>
                <w:sz w:val="24"/>
                <w:szCs w:val="24"/>
                <w:highlight w:val="none"/>
                <w:lang w:val="en-US" w:eastAsia="zh-CN" w:bidi="ar-SA"/>
              </w:rPr>
            </w:pPr>
            <w:r>
              <w:rPr>
                <w:rFonts w:hint="default" w:ascii="Times New Roman" w:hAnsi="Times New Roman" w:eastAsia="仿宋_GB2312" w:cs="Times New Roman"/>
                <w:bCs w:val="0"/>
                <w:color w:val="auto"/>
                <w:kern w:val="0"/>
                <w:sz w:val="24"/>
                <w:szCs w:val="24"/>
                <w:highlight w:val="none"/>
                <w:lang w:val="en-US" w:eastAsia="zh-CN"/>
              </w:rPr>
              <w:t>建设局</w:t>
            </w:r>
          </w:p>
        </w:tc>
      </w:tr>
    </w:tbl>
    <w:p>
      <w:pPr>
        <w:rPr>
          <w:b/>
          <w:bCs/>
        </w:rPr>
      </w:pPr>
    </w:p>
    <w:sectPr>
      <w:footerReference r:id="rId3" w:type="default"/>
      <w:pgSz w:w="16838" w:h="11906" w:orient="landscape"/>
      <w:pgMar w:top="720" w:right="720" w:bottom="720" w:left="720" w:header="56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0540B-6657-4372-872D-9C380530D9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AE1034D-DA9D-4675-8330-4E2C768EF364}"/>
  </w:font>
  <w:font w:name="仿宋_GB2312">
    <w:panose1 w:val="02010609030101010101"/>
    <w:charset w:val="86"/>
    <w:family w:val="auto"/>
    <w:pitch w:val="default"/>
    <w:sig w:usb0="00000001" w:usb1="080E0000" w:usb2="00000000" w:usb3="00000000" w:csb0="00040000" w:csb1="00000000"/>
    <w:embedRegular r:id="rId3" w:fontKey="{9B711A30-B3DB-41AE-9FD6-6EEE8A2BB385}"/>
  </w:font>
  <w:font w:name="方正小标宋简体">
    <w:panose1 w:val="03000509000000000000"/>
    <w:charset w:val="86"/>
    <w:family w:val="auto"/>
    <w:pitch w:val="default"/>
    <w:sig w:usb0="00000001" w:usb1="080E0000" w:usb2="00000000" w:usb3="00000000" w:csb0="00040000" w:csb1="00000000"/>
    <w:embedRegular r:id="rId4" w:fontKey="{E1CC576C-B88A-4868-A718-1A611328FD54}"/>
  </w:font>
  <w:font w:name="楷体_GB2312">
    <w:panose1 w:val="02010609030101010101"/>
    <w:charset w:val="86"/>
    <w:family w:val="auto"/>
    <w:pitch w:val="default"/>
    <w:sig w:usb0="00000001" w:usb1="080E0000" w:usb2="00000000" w:usb3="00000000" w:csb0="00040000" w:csb1="00000000"/>
    <w:embedRegular r:id="rId5" w:fontKey="{0DA33828-BD4F-48C4-AADE-3A697E3B82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283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83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7.35pt;mso-position-horizontal:center;mso-position-horizontal-relative:margin;z-index:251659264;mso-width-relative:page;mso-height-relative:page;" filled="f" stroked="f" coordsize="21600,21600" o:gfxdata="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VjjmB1AAAAAUBAAAPAAAAAAAAAAEAIAAAACIAAABkcnMvZG93bnJldi54&#10;bWxQSwECFAAUAAAACACHTuJAmm0GwjcCAABiBAAADgAAAAAAAAABACAAAAAjAQAAZHJzL2Uyb0Rv&#10;Yy54bWxQSwUGAAAAAAYABgBZAQAAzAUAAAAA&#10;">
              <v:fill on="f" focussize="0,0"/>
              <v:stroke on="f" weight="0.5pt"/>
              <v:imagedata o:title=""/>
              <o:lock v:ext="edit" aspectratio="f"/>
              <v:textbox inset="0mm,0mm,0mm,0mm" style="mso-fit-shape-to-text:t;">
                <w:txbxContent>
                  <w:p>
                    <w:pPr>
                      <w:pStyle w:val="5"/>
                      <w:rPr>
                        <w:sz w:val="24"/>
                        <w:szCs w:val="24"/>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0761C"/>
    <w:multiLevelType w:val="singleLevel"/>
    <w:tmpl w:val="D9E076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zg4NGVlZWFjY2JhNGRlZjYwMmMxMWQzZjgzM2YifQ=="/>
  </w:docVars>
  <w:rsids>
    <w:rsidRoot w:val="4FD102AF"/>
    <w:rsid w:val="07B97486"/>
    <w:rsid w:val="26676196"/>
    <w:rsid w:val="2D475AA9"/>
    <w:rsid w:val="3E502919"/>
    <w:rsid w:val="4DD71406"/>
    <w:rsid w:val="4FD102AF"/>
    <w:rsid w:val="531D7E21"/>
    <w:rsid w:val="5B2E44F0"/>
    <w:rsid w:val="5F8458B4"/>
    <w:rsid w:val="61DC274E"/>
    <w:rsid w:val="67011D2D"/>
    <w:rsid w:val="73802FF2"/>
    <w:rsid w:val="7CFC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ind w:firstLine="0" w:firstLineChars="0"/>
      <w:jc w:val="center"/>
      <w:outlineLvl w:val="0"/>
    </w:pPr>
    <w:rPr>
      <w:rFonts w:ascii="Times New Roman" w:hAnsi="Times New Roman" w:eastAsia="方正小标宋简体"/>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rPr>
  </w:style>
  <w:style w:type="paragraph" w:styleId="4">
    <w:name w:val="Body Text Indent"/>
    <w:basedOn w:val="1"/>
    <w:next w:val="1"/>
    <w:qFormat/>
    <w:uiPriority w:val="0"/>
    <w:pPr>
      <w:spacing w:line="300" w:lineRule="auto"/>
      <w:ind w:firstLine="562"/>
    </w:pPr>
    <w:rPr>
      <w:rFonts w:ascii="宋体"/>
      <w:b/>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jc w:val="center"/>
      <w:outlineLvl w:val="0"/>
    </w:pPr>
    <w:rPr>
      <w:rFonts w:ascii="Arial" w:hAnsi="Arial" w:cs="Arial"/>
      <w:bCs/>
      <w:szCs w:val="32"/>
    </w:rPr>
  </w:style>
  <w:style w:type="paragraph" w:styleId="8">
    <w:name w:val="Body Text First Indent 2"/>
    <w:basedOn w:val="4"/>
    <w:next w:val="1"/>
    <w:qFormat/>
    <w:uiPriority w:val="0"/>
    <w:pPr>
      <w:spacing w:after="120" w:line="240" w:lineRule="auto"/>
      <w:ind w:left="420" w:leftChars="200" w:firstLine="420" w:firstLineChars="200"/>
    </w:pPr>
    <w:rPr>
      <w:rFonts w:ascii="Times New Roman"/>
      <w:b w:val="0"/>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 首行缩进:  2 字符"/>
    <w:basedOn w:val="13"/>
    <w:qFormat/>
    <w:uiPriority w:val="0"/>
    <w:pPr>
      <w:ind w:firstLine="560"/>
    </w:pPr>
    <w:rPr>
      <w:rFonts w:ascii="Calibri" w:hAnsi="Calibri" w:eastAsia="仿宋_GB2312" w:cs="宋体"/>
      <w:sz w:val="24"/>
      <w:szCs w:val="20"/>
    </w:rPr>
  </w:style>
  <w:style w:type="paragraph" w:customStyle="1" w:styleId="13">
    <w:name w:val="正文 New New New New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2003</Words>
  <Characters>2054</Characters>
  <Lines>0</Lines>
  <Paragraphs>0</Paragraphs>
  <TotalTime>12</TotalTime>
  <ScaleCrop>false</ScaleCrop>
  <LinksUpToDate>false</LinksUpToDate>
  <CharactersWithSpaces>2131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2023-06-27T08:06:00Z</dcterms:created>
  <dc:creator>yuanyuanyuan</dc:creator>
  <cp:lastModifiedBy>Yimi舒婷</cp:lastModifiedBy>
  <cp:lastPrinted>2023-07-03T02:58:00Z</cp:lastPrinted>
  <dcterms:modified xsi:type="dcterms:W3CDTF">2023-07-27T02:00:55Z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C4B0CF630AE24667B326381AC145DCB2_11</vt:lpwstr>
  </property>
</Properties>
</file>