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桓台县住房和城乡建设局</w:t>
      </w: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微软雅黑" w:hAnsi="微软雅黑" w:eastAsia="微软雅黑" w:cs="微软雅黑"/>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highlight w:val="none"/>
          <w:lang w:eastAsia="zh-CN"/>
        </w:rPr>
      </w:pPr>
      <w:r>
        <w:rPr>
          <w:rFonts w:hint="eastAsia" w:ascii="仿宋_GB2312" w:hAnsi="仿宋_GB2312" w:eastAsia="仿宋_GB2312" w:cs="仿宋_GB2312"/>
          <w:i w:val="0"/>
          <w:caps w:val="0"/>
          <w:color w:val="000000"/>
          <w:spacing w:val="0"/>
          <w:sz w:val="32"/>
          <w:szCs w:val="32"/>
          <w:highlight w:val="none"/>
          <w:lang w:eastAsia="zh-CN"/>
        </w:rPr>
        <w:t>本年度报告中所列数据的统计期限自202</w:t>
      </w:r>
      <w:r>
        <w:rPr>
          <w:rFonts w:hint="eastAsia" w:ascii="仿宋_GB2312" w:hAnsi="仿宋_GB2312" w:eastAsia="仿宋_GB2312" w:cs="仿宋_GB2312"/>
          <w:i w:val="0"/>
          <w:caps w:val="0"/>
          <w:color w:val="000000"/>
          <w:spacing w:val="0"/>
          <w:sz w:val="32"/>
          <w:szCs w:val="32"/>
          <w:highlight w:val="none"/>
          <w:lang w:val="en-US" w:eastAsia="zh-CN"/>
        </w:rPr>
        <w:t>3</w:t>
      </w:r>
      <w:r>
        <w:rPr>
          <w:rFonts w:hint="eastAsia" w:ascii="仿宋_GB2312" w:hAnsi="仿宋_GB2312" w:eastAsia="仿宋_GB2312" w:cs="仿宋_GB2312"/>
          <w:i w:val="0"/>
          <w:caps w:val="0"/>
          <w:color w:val="000000"/>
          <w:spacing w:val="0"/>
          <w:sz w:val="32"/>
          <w:szCs w:val="32"/>
          <w:highlight w:val="none"/>
          <w:lang w:eastAsia="zh-CN"/>
        </w:rPr>
        <w:t>年1月1日起，至202</w:t>
      </w:r>
      <w:r>
        <w:rPr>
          <w:rFonts w:hint="eastAsia" w:ascii="仿宋_GB2312" w:hAnsi="仿宋_GB2312" w:eastAsia="仿宋_GB2312" w:cs="仿宋_GB2312"/>
          <w:i w:val="0"/>
          <w:caps w:val="0"/>
          <w:color w:val="000000"/>
          <w:spacing w:val="0"/>
          <w:sz w:val="32"/>
          <w:szCs w:val="32"/>
          <w:highlight w:val="none"/>
          <w:lang w:val="en-US" w:eastAsia="zh-CN"/>
        </w:rPr>
        <w:t>3</w:t>
      </w:r>
      <w:r>
        <w:rPr>
          <w:rFonts w:hint="eastAsia" w:ascii="仿宋_GB2312" w:hAnsi="仿宋_GB2312" w:eastAsia="仿宋_GB2312" w:cs="仿宋_GB2312"/>
          <w:i w:val="0"/>
          <w:caps w:val="0"/>
          <w:color w:val="000000"/>
          <w:spacing w:val="0"/>
          <w:sz w:val="32"/>
          <w:szCs w:val="32"/>
          <w:highlight w:val="none"/>
          <w:lang w:eastAsia="zh-CN"/>
        </w:rPr>
        <w:t>年12月31日止。如对报告内容有疑问，请与</w:t>
      </w:r>
      <w:r>
        <w:rPr>
          <w:rFonts w:hint="eastAsia" w:ascii="仿宋_GB2312" w:hAnsi="仿宋_GB2312" w:eastAsia="仿宋_GB2312" w:cs="仿宋_GB2312"/>
          <w:i w:val="0"/>
          <w:caps w:val="0"/>
          <w:color w:val="000000"/>
          <w:spacing w:val="0"/>
          <w:sz w:val="32"/>
          <w:szCs w:val="32"/>
          <w:highlight w:val="none"/>
          <w:lang w:val="en-US" w:eastAsia="zh-CN"/>
        </w:rPr>
        <w:t>桓台县住房和城乡建设局</w:t>
      </w:r>
      <w:r>
        <w:rPr>
          <w:rFonts w:hint="eastAsia" w:ascii="仿宋_GB2312" w:hAnsi="仿宋_GB2312" w:eastAsia="仿宋_GB2312" w:cs="仿宋_GB2312"/>
          <w:i w:val="0"/>
          <w:caps w:val="0"/>
          <w:color w:val="000000"/>
          <w:spacing w:val="0"/>
          <w:sz w:val="32"/>
          <w:szCs w:val="32"/>
          <w:highlight w:val="none"/>
          <w:lang w:eastAsia="zh-CN"/>
        </w:rPr>
        <w:t>联系（地址：</w:t>
      </w:r>
      <w:r>
        <w:rPr>
          <w:rFonts w:hint="eastAsia" w:ascii="仿宋_GB2312" w:hAnsi="仿宋_GB2312" w:eastAsia="仿宋_GB2312" w:cs="仿宋_GB2312"/>
          <w:i w:val="0"/>
          <w:caps w:val="0"/>
          <w:color w:val="000000"/>
          <w:spacing w:val="0"/>
          <w:sz w:val="32"/>
          <w:szCs w:val="32"/>
          <w:highlight w:val="none"/>
          <w:lang w:val="en-US" w:eastAsia="zh-CN"/>
        </w:rPr>
        <w:t>桓台县兴桓路800号</w:t>
      </w:r>
      <w:r>
        <w:rPr>
          <w:rFonts w:hint="eastAsia" w:ascii="仿宋_GB2312" w:hAnsi="仿宋_GB2312" w:eastAsia="仿宋_GB2312" w:cs="仿宋_GB2312"/>
          <w:i w:val="0"/>
          <w:caps w:val="0"/>
          <w:color w:val="000000"/>
          <w:spacing w:val="0"/>
          <w:sz w:val="32"/>
          <w:szCs w:val="32"/>
          <w:highlight w:val="none"/>
          <w:lang w:eastAsia="zh-CN"/>
        </w:rPr>
        <w:t>；邮编：</w:t>
      </w:r>
      <w:r>
        <w:rPr>
          <w:rFonts w:hint="eastAsia" w:ascii="仿宋_GB2312" w:hAnsi="仿宋_GB2312" w:eastAsia="仿宋_GB2312" w:cs="仿宋_GB2312"/>
          <w:i w:val="0"/>
          <w:caps w:val="0"/>
          <w:color w:val="000000"/>
          <w:spacing w:val="0"/>
          <w:sz w:val="32"/>
          <w:szCs w:val="32"/>
          <w:highlight w:val="none"/>
          <w:lang w:val="en-US" w:eastAsia="zh-CN"/>
        </w:rPr>
        <w:t>256400</w:t>
      </w:r>
      <w:r>
        <w:rPr>
          <w:rFonts w:hint="eastAsia" w:ascii="仿宋_GB2312" w:hAnsi="仿宋_GB2312" w:eastAsia="仿宋_GB2312" w:cs="仿宋_GB2312"/>
          <w:i w:val="0"/>
          <w:caps w:val="0"/>
          <w:color w:val="000000"/>
          <w:spacing w:val="0"/>
          <w:sz w:val="32"/>
          <w:szCs w:val="32"/>
          <w:highlight w:val="none"/>
          <w:lang w:eastAsia="zh-CN"/>
        </w:rPr>
        <w:t>；</w:t>
      </w:r>
      <w:r>
        <w:rPr>
          <w:rFonts w:hint="eastAsia" w:ascii="仿宋_GB2312" w:hAnsi="仿宋_GB2312" w:eastAsia="仿宋_GB2312" w:cs="仿宋_GB2312"/>
          <w:i w:val="0"/>
          <w:caps w:val="0"/>
          <w:color w:val="auto"/>
          <w:spacing w:val="0"/>
          <w:sz w:val="32"/>
          <w:szCs w:val="32"/>
          <w:highlight w:val="none"/>
          <w:lang w:eastAsia="zh-CN"/>
        </w:rPr>
        <w:t>电话：</w:t>
      </w:r>
      <w:r>
        <w:rPr>
          <w:rFonts w:hint="eastAsia" w:ascii="仿宋_GB2312" w:hAnsi="仿宋_GB2312" w:eastAsia="仿宋_GB2312" w:cs="仿宋_GB2312"/>
          <w:i w:val="0"/>
          <w:caps w:val="0"/>
          <w:color w:val="auto"/>
          <w:spacing w:val="0"/>
          <w:sz w:val="32"/>
          <w:szCs w:val="32"/>
          <w:highlight w:val="none"/>
          <w:lang w:val="en-US" w:eastAsia="zh-CN"/>
        </w:rPr>
        <w:t>0533-8210279</w:t>
      </w:r>
      <w:r>
        <w:rPr>
          <w:rFonts w:hint="eastAsia" w:ascii="仿宋_GB2312" w:hAnsi="仿宋_GB2312" w:eastAsia="仿宋_GB2312" w:cs="仿宋_GB2312"/>
          <w:i w:val="0"/>
          <w:caps w:val="0"/>
          <w:color w:val="000000"/>
          <w:spacing w:val="0"/>
          <w:sz w:val="32"/>
          <w:szCs w:val="32"/>
          <w:highlight w:val="none"/>
          <w:lang w:eastAsia="zh-CN"/>
        </w:rPr>
        <w:t>；邮箱：</w:t>
      </w:r>
      <w:r>
        <w:rPr>
          <w:rFonts w:hint="eastAsia" w:ascii="仿宋_GB2312" w:hAnsi="仿宋_GB2312" w:eastAsia="仿宋_GB2312" w:cs="仿宋_GB2312"/>
          <w:i w:val="0"/>
          <w:caps w:val="0"/>
          <w:color w:val="000000"/>
          <w:spacing w:val="0"/>
          <w:sz w:val="32"/>
          <w:szCs w:val="32"/>
          <w:highlight w:val="none"/>
          <w:lang w:eastAsia="zh-CN"/>
        </w:rPr>
        <w:fldChar w:fldCharType="begin"/>
      </w:r>
      <w:r>
        <w:rPr>
          <w:rFonts w:hint="eastAsia" w:ascii="仿宋_GB2312" w:hAnsi="仿宋_GB2312" w:eastAsia="仿宋_GB2312" w:cs="仿宋_GB2312"/>
          <w:i w:val="0"/>
          <w:caps w:val="0"/>
          <w:color w:val="000000"/>
          <w:spacing w:val="0"/>
          <w:sz w:val="32"/>
          <w:szCs w:val="32"/>
          <w:highlight w:val="none"/>
          <w:lang w:eastAsia="zh-CN"/>
        </w:rPr>
        <w:instrText xml:space="preserve"> HYPERLINK "mailto:htxzjj@zb.shandong.cn）。" </w:instrText>
      </w:r>
      <w:r>
        <w:rPr>
          <w:rFonts w:hint="eastAsia" w:ascii="仿宋_GB2312" w:hAnsi="仿宋_GB2312" w:eastAsia="仿宋_GB2312" w:cs="仿宋_GB2312"/>
          <w:i w:val="0"/>
          <w:caps w:val="0"/>
          <w:color w:val="000000"/>
          <w:spacing w:val="0"/>
          <w:sz w:val="32"/>
          <w:szCs w:val="32"/>
          <w:highlight w:val="none"/>
          <w:lang w:eastAsia="zh-CN"/>
        </w:rPr>
        <w:fldChar w:fldCharType="separate"/>
      </w:r>
      <w:r>
        <w:rPr>
          <w:rStyle w:val="5"/>
          <w:rFonts w:hint="eastAsia" w:ascii="仿宋_GB2312" w:hAnsi="仿宋_GB2312" w:eastAsia="仿宋_GB2312" w:cs="仿宋_GB2312"/>
          <w:i w:val="0"/>
          <w:caps w:val="0"/>
          <w:color w:val="000000"/>
          <w:spacing w:val="0"/>
          <w:sz w:val="32"/>
          <w:szCs w:val="32"/>
          <w:highlight w:val="none"/>
          <w:lang w:eastAsia="zh-CN"/>
        </w:rPr>
        <w:t>htxzjj@zb.shandong.cn）。</w:t>
      </w:r>
      <w:r>
        <w:rPr>
          <w:rFonts w:hint="eastAsia" w:ascii="仿宋_GB2312" w:hAnsi="仿宋_GB2312" w:eastAsia="仿宋_GB2312" w:cs="仿宋_GB2312"/>
          <w:i w:val="0"/>
          <w:caps w:val="0"/>
          <w:color w:val="000000"/>
          <w:spacing w:val="0"/>
          <w:sz w:val="32"/>
          <w:szCs w:val="32"/>
          <w:highlight w:val="none"/>
          <w:lang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年，我局在</w:t>
      </w:r>
      <w:r>
        <w:rPr>
          <w:rFonts w:hint="eastAsia" w:ascii="仿宋_GB2312" w:hAnsi="仿宋_GB2312" w:eastAsia="仿宋_GB2312" w:cs="仿宋_GB2312"/>
          <w:sz w:val="32"/>
          <w:szCs w:val="32"/>
          <w:lang w:val="en-US" w:eastAsia="zh-CN"/>
        </w:rPr>
        <w:t>县委、县</w:t>
      </w:r>
      <w:r>
        <w:rPr>
          <w:rFonts w:hint="eastAsia" w:ascii="仿宋_GB2312" w:hAnsi="仿宋_GB2312" w:eastAsia="仿宋_GB2312" w:cs="仿宋_GB2312"/>
          <w:sz w:val="32"/>
          <w:szCs w:val="32"/>
        </w:rPr>
        <w:t>政府的领导下，按照《中华人民共和国政府信息公开条例》规定和</w:t>
      </w:r>
      <w:r>
        <w:rPr>
          <w:rFonts w:hint="eastAsia" w:ascii="仿宋_GB2312" w:hAnsi="仿宋_GB2312" w:eastAsia="仿宋_GB2312" w:cs="仿宋_GB2312"/>
          <w:sz w:val="32"/>
          <w:szCs w:val="32"/>
          <w:lang w:val="en-US" w:eastAsia="zh-CN"/>
        </w:rPr>
        <w:t>桓台县</w:t>
      </w:r>
      <w:r>
        <w:rPr>
          <w:rFonts w:hint="eastAsia" w:ascii="仿宋_GB2312" w:hAnsi="仿宋_GB2312" w:eastAsia="仿宋_GB2312" w:cs="仿宋_GB2312"/>
          <w:sz w:val="32"/>
          <w:szCs w:val="32"/>
        </w:rPr>
        <w:t>人民政府办公室《关于做好202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年政府信息公开工作年度报告编制和发布工作的通知》要求，逐项对照国务院办公厅政府信息与政务公开办公室</w:t>
      </w:r>
      <w:r>
        <w:rPr>
          <w:rFonts w:hint="eastAsia" w:ascii="仿宋_GB2312" w:hAnsi="仿宋_GB2312" w:eastAsia="仿宋_GB2312" w:cs="仿宋_GB2312"/>
          <w:sz w:val="32"/>
          <w:szCs w:val="32"/>
          <w:lang w:val="en-US" w:eastAsia="zh-CN"/>
        </w:rPr>
        <w:t>发布的</w:t>
      </w:r>
      <w:r>
        <w:rPr>
          <w:rFonts w:hint="eastAsia" w:ascii="仿宋_GB2312" w:hAnsi="仿宋_GB2312" w:eastAsia="仿宋_GB2312" w:cs="仿宋_GB2312"/>
          <w:sz w:val="32"/>
          <w:szCs w:val="32"/>
        </w:rPr>
        <w:t>《政府信息公开工作年度报告格式</w:t>
      </w:r>
      <w:r>
        <w:rPr>
          <w:rFonts w:hint="eastAsia" w:ascii="仿宋_GB2312" w:hAnsi="仿宋_GB2312" w:eastAsia="仿宋_GB2312" w:cs="仿宋_GB2312"/>
          <w:sz w:val="32"/>
          <w:szCs w:val="32"/>
          <w:lang w:val="en-US" w:eastAsia="zh-CN"/>
        </w:rPr>
        <w:t>模板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的要求</w:t>
      </w:r>
      <w:r>
        <w:rPr>
          <w:rFonts w:hint="eastAsia" w:ascii="仿宋_GB2312" w:hAnsi="仿宋_GB2312" w:eastAsia="仿宋_GB2312" w:cs="仿宋_GB2312"/>
          <w:sz w:val="32"/>
          <w:szCs w:val="32"/>
        </w:rPr>
        <w:t>，坚持以人民为中心的服务宗旨，聚焦</w:t>
      </w:r>
      <w:r>
        <w:rPr>
          <w:rFonts w:hint="eastAsia" w:ascii="仿宋_GB2312" w:hAnsi="仿宋_GB2312" w:eastAsia="仿宋_GB2312" w:cs="仿宋_GB2312"/>
          <w:sz w:val="32"/>
          <w:szCs w:val="32"/>
          <w:lang w:val="en-US" w:eastAsia="zh-CN"/>
        </w:rPr>
        <w:t>住建领域管理</w:t>
      </w:r>
      <w:r>
        <w:rPr>
          <w:rFonts w:hint="eastAsia" w:ascii="仿宋_GB2312" w:hAnsi="仿宋_GB2312" w:eastAsia="仿宋_GB2312" w:cs="仿宋_GB2312"/>
          <w:sz w:val="32"/>
          <w:szCs w:val="32"/>
        </w:rPr>
        <w:t>，持续深入推进政务公开，政府工作透明度进一步提高。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楷体_GB2312" w:hAnsi="楷体_GB2312" w:eastAsia="楷体_GB2312" w:cs="楷体_GB2312"/>
          <w:b w:val="0"/>
          <w:i w:val="0"/>
          <w:caps w:val="0"/>
          <w:color w:val="000000"/>
          <w:spacing w:val="0"/>
          <w:sz w:val="24"/>
          <w:szCs w:val="24"/>
        </w:rPr>
      </w:pPr>
      <w:r>
        <w:rPr>
          <w:rFonts w:hint="eastAsia" w:ascii="楷体_GB2312" w:hAnsi="楷体_GB2312" w:eastAsia="楷体_GB2312" w:cs="楷体_GB2312"/>
          <w:b w:val="0"/>
          <w:i w:val="0"/>
          <w:caps w:val="0"/>
          <w:color w:val="000000"/>
          <w:spacing w:val="0"/>
          <w:sz w:val="32"/>
          <w:szCs w:val="32"/>
        </w:rPr>
        <w:t>（一）主动公开情况</w:t>
      </w:r>
    </w:p>
    <w:p>
      <w:pPr>
        <w:ind w:firstLine="640" w:firstLineChars="200"/>
        <w:rPr>
          <w:rFonts w:hint="eastAsia" w:ascii="仿宋_GB2312" w:hAnsi="宋体" w:eastAsia="仿宋_GB2312" w:cs="仿宋_GB2312"/>
          <w:b w:val="0"/>
          <w:i w:val="0"/>
          <w:caps w:val="0"/>
          <w:color w:val="000000"/>
          <w:spacing w:val="0"/>
          <w:sz w:val="32"/>
          <w:szCs w:val="32"/>
        </w:rPr>
      </w:pPr>
      <w:r>
        <w:rPr>
          <w:rFonts w:hint="eastAsia" w:ascii="仿宋_GB2312" w:hAnsi="宋体" w:eastAsia="仿宋_GB2312" w:cs="仿宋_GB2312"/>
          <w:b w:val="0"/>
          <w:i w:val="0"/>
          <w:caps w:val="0"/>
          <w:color w:val="000000"/>
          <w:spacing w:val="0"/>
          <w:sz w:val="32"/>
          <w:szCs w:val="32"/>
        </w:rPr>
        <w:t>1</w:t>
      </w:r>
      <w:r>
        <w:rPr>
          <w:rFonts w:hint="eastAsia" w:ascii="仿宋_GB2312" w:hAnsi="宋体" w:eastAsia="仿宋_GB2312" w:cs="仿宋_GB2312"/>
          <w:b w:val="0"/>
          <w:i w:val="0"/>
          <w:caps w:val="0"/>
          <w:color w:val="000000"/>
          <w:spacing w:val="0"/>
          <w:sz w:val="32"/>
          <w:szCs w:val="32"/>
          <w:shd w:val="clear" w:color="auto" w:fill="FFFFFF"/>
        </w:rPr>
        <w:t>.202</w:t>
      </w:r>
      <w:r>
        <w:rPr>
          <w:rFonts w:hint="eastAsia" w:ascii="仿宋_GB2312" w:hAnsi="宋体" w:eastAsia="仿宋_GB2312" w:cs="仿宋_GB2312"/>
          <w:b w:val="0"/>
          <w:i w:val="0"/>
          <w:caps w:val="0"/>
          <w:color w:val="000000"/>
          <w:spacing w:val="0"/>
          <w:sz w:val="32"/>
          <w:szCs w:val="32"/>
          <w:shd w:val="clear" w:color="auto" w:fill="FFFFFF"/>
          <w:lang w:val="en-US" w:eastAsia="zh-CN"/>
        </w:rPr>
        <w:t>3</w:t>
      </w:r>
      <w:r>
        <w:rPr>
          <w:rFonts w:hint="eastAsia" w:ascii="仿宋_GB2312" w:hAnsi="宋体" w:eastAsia="仿宋_GB2312" w:cs="仿宋_GB2312"/>
          <w:b w:val="0"/>
          <w:i w:val="0"/>
          <w:caps w:val="0"/>
          <w:color w:val="000000"/>
          <w:spacing w:val="0"/>
          <w:sz w:val="32"/>
          <w:szCs w:val="32"/>
        </w:rPr>
        <w:t>年度，</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按照《中华人民共和国政府信息公开条例》要求，认真做好政府信息的主动公开工作，对政府信息进行梳理和编目，通过政务公开网站、“</w:t>
      </w:r>
      <w:r>
        <w:rPr>
          <w:rFonts w:hint="eastAsia" w:ascii="仿宋_GB2312" w:hAnsi="宋体" w:eastAsia="仿宋_GB2312" w:cs="仿宋_GB2312"/>
          <w:b w:val="0"/>
          <w:i w:val="0"/>
          <w:caps w:val="0"/>
          <w:color w:val="000000"/>
          <w:spacing w:val="0"/>
          <w:sz w:val="32"/>
          <w:szCs w:val="32"/>
          <w:lang w:eastAsia="zh-CN"/>
        </w:rPr>
        <w:t>桓台住建</w:t>
      </w:r>
      <w:r>
        <w:rPr>
          <w:rFonts w:hint="eastAsia" w:ascii="仿宋_GB2312" w:hAnsi="宋体" w:eastAsia="仿宋_GB2312" w:cs="仿宋_GB2312"/>
          <w:b w:val="0"/>
          <w:i w:val="0"/>
          <w:caps w:val="0"/>
          <w:color w:val="000000"/>
          <w:spacing w:val="0"/>
          <w:sz w:val="32"/>
          <w:szCs w:val="32"/>
        </w:rPr>
        <w:t>”微信公众等平台，全年累计报送各类信息</w:t>
      </w:r>
      <w:r>
        <w:rPr>
          <w:rFonts w:hint="eastAsia" w:ascii="仿宋_GB2312" w:hAnsi="宋体" w:eastAsia="仿宋_GB2312" w:cs="仿宋_GB2312"/>
          <w:b w:val="0"/>
          <w:i w:val="0"/>
          <w:caps w:val="0"/>
          <w:color w:val="000000"/>
          <w:spacing w:val="0"/>
          <w:sz w:val="32"/>
          <w:szCs w:val="32"/>
          <w:lang w:val="en-US" w:eastAsia="zh-CN"/>
        </w:rPr>
        <w:t>353</w:t>
      </w:r>
      <w:r>
        <w:rPr>
          <w:rFonts w:hint="eastAsia" w:ascii="仿宋_GB2312" w:hAnsi="宋体" w:eastAsia="仿宋_GB2312" w:cs="仿宋_GB2312"/>
          <w:b w:val="0"/>
          <w:i w:val="0"/>
          <w:caps w:val="0"/>
          <w:color w:val="000000"/>
          <w:spacing w:val="0"/>
          <w:sz w:val="32"/>
          <w:szCs w:val="32"/>
        </w:rPr>
        <w:t>条</w:t>
      </w:r>
      <w:r>
        <w:rPr>
          <w:rFonts w:hint="eastAsia" w:ascii="仿宋_GB2312" w:hAnsi="宋体" w:eastAsia="仿宋_GB2312" w:cs="仿宋_GB2312"/>
          <w:b w:val="0"/>
          <w:i w:val="0"/>
          <w:caps w:val="0"/>
          <w:color w:val="000000"/>
          <w:spacing w:val="0"/>
          <w:sz w:val="32"/>
          <w:szCs w:val="32"/>
          <w:lang w:eastAsia="zh-CN"/>
        </w:rPr>
        <w:t>，</w:t>
      </w:r>
      <w:r>
        <w:rPr>
          <w:rFonts w:hint="eastAsia" w:ascii="仿宋_GB2312" w:hAnsi="宋体" w:eastAsia="仿宋_GB2312" w:cs="仿宋_GB2312"/>
          <w:b w:val="0"/>
          <w:i w:val="0"/>
          <w:caps w:val="0"/>
          <w:color w:val="000000"/>
          <w:spacing w:val="0"/>
          <w:sz w:val="32"/>
          <w:szCs w:val="32"/>
          <w:lang w:val="en-US" w:eastAsia="zh-CN"/>
        </w:rPr>
        <w:t>其中通过政务公开报送102条，通过“桓台住建”公众号251条，涉及</w:t>
      </w:r>
      <w:r>
        <w:rPr>
          <w:rFonts w:hint="eastAsia" w:ascii="仿宋_GB2312" w:hAnsi="宋体" w:eastAsia="仿宋_GB2312" w:cs="仿宋_GB2312"/>
          <w:b w:val="0"/>
          <w:i w:val="0"/>
          <w:caps w:val="0"/>
          <w:color w:val="000000"/>
          <w:spacing w:val="0"/>
          <w:sz w:val="32"/>
          <w:szCs w:val="32"/>
          <w:lang w:eastAsia="zh-CN"/>
        </w:rPr>
        <w:t>住建局</w:t>
      </w:r>
      <w:r>
        <w:rPr>
          <w:rFonts w:hint="eastAsia" w:ascii="仿宋_GB2312" w:hAnsi="宋体" w:eastAsia="仿宋_GB2312" w:cs="仿宋_GB2312"/>
          <w:b w:val="0"/>
          <w:i w:val="0"/>
          <w:caps w:val="0"/>
          <w:color w:val="000000"/>
          <w:spacing w:val="0"/>
          <w:sz w:val="32"/>
          <w:szCs w:val="32"/>
        </w:rPr>
        <w:t>信息公开指南1</w:t>
      </w:r>
      <w:r>
        <w:rPr>
          <w:rFonts w:hint="eastAsia" w:ascii="仿宋_GB2312" w:hAnsi="宋体" w:eastAsia="仿宋_GB2312" w:cs="仿宋_GB2312"/>
          <w:b w:val="0"/>
          <w:i w:val="0"/>
          <w:caps w:val="0"/>
          <w:color w:val="000000"/>
          <w:spacing w:val="0"/>
          <w:sz w:val="32"/>
          <w:szCs w:val="32"/>
          <w:lang w:val="en-US" w:eastAsia="zh-CN"/>
        </w:rPr>
        <w:t>条</w:t>
      </w:r>
      <w:r>
        <w:rPr>
          <w:rFonts w:hint="eastAsia" w:ascii="仿宋_GB2312" w:hAnsi="宋体" w:eastAsia="仿宋_GB2312" w:cs="仿宋_GB2312"/>
          <w:b w:val="0"/>
          <w:i w:val="0"/>
          <w:caps w:val="0"/>
          <w:color w:val="000000"/>
          <w:spacing w:val="0"/>
          <w:sz w:val="32"/>
          <w:szCs w:val="32"/>
        </w:rPr>
        <w:t>，</w:t>
      </w:r>
      <w:r>
        <w:rPr>
          <w:rFonts w:hint="eastAsia" w:ascii="仿宋_GB2312" w:hAnsi="宋体" w:eastAsia="仿宋_GB2312" w:cs="仿宋_GB2312"/>
          <w:b w:val="0"/>
          <w:i w:val="0"/>
          <w:caps w:val="0"/>
          <w:color w:val="000000"/>
          <w:spacing w:val="0"/>
          <w:sz w:val="32"/>
          <w:szCs w:val="32"/>
          <w:lang w:eastAsia="zh-CN"/>
        </w:rPr>
        <w:t>住建局</w:t>
      </w:r>
      <w:r>
        <w:rPr>
          <w:rFonts w:hint="eastAsia" w:ascii="仿宋_GB2312" w:hAnsi="宋体" w:eastAsia="仿宋_GB2312" w:cs="仿宋_GB2312"/>
          <w:b w:val="0"/>
          <w:i w:val="0"/>
          <w:caps w:val="0"/>
          <w:color w:val="000000"/>
          <w:spacing w:val="0"/>
          <w:sz w:val="32"/>
          <w:szCs w:val="32"/>
        </w:rPr>
        <w:t>信息公开年报1</w:t>
      </w:r>
      <w:r>
        <w:rPr>
          <w:rFonts w:hint="eastAsia" w:ascii="仿宋_GB2312" w:hAnsi="宋体" w:eastAsia="仿宋_GB2312" w:cs="仿宋_GB2312"/>
          <w:b w:val="0"/>
          <w:i w:val="0"/>
          <w:caps w:val="0"/>
          <w:color w:val="000000"/>
          <w:spacing w:val="0"/>
          <w:sz w:val="32"/>
          <w:szCs w:val="32"/>
          <w:lang w:val="en-US" w:eastAsia="zh-CN"/>
        </w:rPr>
        <w:t>条</w:t>
      </w:r>
      <w:r>
        <w:rPr>
          <w:rFonts w:hint="eastAsia" w:ascii="仿宋_GB2312" w:hAnsi="宋体" w:eastAsia="仿宋_GB2312" w:cs="仿宋_GB2312"/>
          <w:b w:val="0"/>
          <w:i w:val="0"/>
          <w:caps w:val="0"/>
          <w:color w:val="000000"/>
          <w:spacing w:val="0"/>
          <w:sz w:val="32"/>
          <w:szCs w:val="32"/>
        </w:rPr>
        <w:t>，业务工作、法规公文等其他信息</w:t>
      </w:r>
      <w:r>
        <w:rPr>
          <w:rFonts w:hint="eastAsia" w:ascii="仿宋_GB2312" w:hAnsi="宋体" w:eastAsia="仿宋_GB2312" w:cs="仿宋_GB2312"/>
          <w:b w:val="0"/>
          <w:i w:val="0"/>
          <w:caps w:val="0"/>
          <w:color w:val="000000"/>
          <w:spacing w:val="0"/>
          <w:sz w:val="32"/>
          <w:szCs w:val="32"/>
          <w:lang w:val="en-US" w:eastAsia="zh-CN"/>
        </w:rPr>
        <w:t>200</w:t>
      </w:r>
      <w:r>
        <w:rPr>
          <w:rFonts w:hint="eastAsia" w:ascii="仿宋_GB2312" w:hAnsi="宋体" w:eastAsia="仿宋_GB2312" w:cs="仿宋_GB2312"/>
          <w:b w:val="0"/>
          <w:i w:val="0"/>
          <w:caps w:val="0"/>
          <w:color w:val="000000"/>
          <w:spacing w:val="0"/>
          <w:sz w:val="32"/>
          <w:szCs w:val="32"/>
        </w:rPr>
        <w:t>余条。以文字、图片等形式，及时发布重大政策和相关政策解读及</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重点工作开展情况，积极回应社会关切，得到了广大群众的</w:t>
      </w:r>
      <w:r>
        <w:rPr>
          <w:rFonts w:hint="eastAsia" w:ascii="仿宋_GB2312" w:hAnsi="宋体" w:eastAsia="仿宋_GB2312" w:cs="仿宋_GB2312"/>
          <w:b w:val="0"/>
          <w:i w:val="0"/>
          <w:caps w:val="0"/>
          <w:color w:val="000000"/>
          <w:spacing w:val="0"/>
          <w:sz w:val="32"/>
          <w:szCs w:val="32"/>
          <w:lang w:eastAsia="zh-CN"/>
        </w:rPr>
        <w:t>认可</w:t>
      </w:r>
      <w:r>
        <w:rPr>
          <w:rFonts w:hint="eastAsia" w:ascii="仿宋_GB2312" w:hAnsi="宋体" w:eastAsia="仿宋_GB2312" w:cs="仿宋_GB2312"/>
          <w:b w:val="0"/>
          <w:i w:val="0"/>
          <w:caps w:val="0"/>
          <w:color w:val="000000"/>
          <w:spacing w:val="0"/>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textAlignment w:val="auto"/>
        <w:rPr>
          <w:rFonts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32"/>
          <w:szCs w:val="32"/>
        </w:rPr>
        <w:t>（二）依申请公开情况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default" w:ascii="仿宋_GB2312" w:hAnsi="宋体" w:eastAsia="宋体" w:cs="仿宋_GB2312"/>
          <w:b w:val="0"/>
          <w:i w:val="0"/>
          <w:caps w:val="0"/>
          <w:color w:val="000000"/>
          <w:spacing w:val="0"/>
          <w:sz w:val="32"/>
          <w:szCs w:val="32"/>
          <w:lang w:val="en-US" w:eastAsia="zh-CN"/>
        </w:rPr>
      </w:pPr>
      <w:r>
        <w:rPr>
          <w:rFonts w:ascii="仿宋_GB2312" w:hAnsi="宋体" w:eastAsia="仿宋_GB2312" w:cs="仿宋_GB2312"/>
          <w:b w:val="0"/>
          <w:i w:val="0"/>
          <w:caps w:val="0"/>
          <w:color w:val="000000"/>
          <w:spacing w:val="0"/>
          <w:sz w:val="32"/>
          <w:szCs w:val="32"/>
          <w:shd w:val="clear" w:color="auto" w:fill="FFFFFF"/>
        </w:rPr>
        <w:t>202</w:t>
      </w:r>
      <w:r>
        <w:rPr>
          <w:rFonts w:hint="eastAsia" w:ascii="仿宋_GB2312" w:hAnsi="宋体" w:eastAsia="仿宋_GB2312" w:cs="仿宋_GB2312"/>
          <w:b w:val="0"/>
          <w:i w:val="0"/>
          <w:caps w:val="0"/>
          <w:color w:val="000000"/>
          <w:spacing w:val="0"/>
          <w:sz w:val="32"/>
          <w:szCs w:val="32"/>
          <w:shd w:val="clear" w:color="auto" w:fill="FFFFFF"/>
          <w:lang w:val="en-US" w:eastAsia="zh-CN"/>
        </w:rPr>
        <w:t>3</w:t>
      </w:r>
      <w:r>
        <w:rPr>
          <w:rFonts w:hint="eastAsia" w:ascii="仿宋_GB2312" w:hAnsi="宋体" w:eastAsia="仿宋_GB2312" w:cs="仿宋_GB2312"/>
          <w:b w:val="0"/>
          <w:i w:val="0"/>
          <w:caps w:val="0"/>
          <w:color w:val="000000"/>
          <w:spacing w:val="0"/>
          <w:sz w:val="32"/>
          <w:szCs w:val="32"/>
        </w:rPr>
        <w:t>年度我</w:t>
      </w:r>
      <w:r>
        <w:rPr>
          <w:rFonts w:hint="eastAsia" w:ascii="仿宋_GB2312" w:hAnsi="宋体" w:eastAsia="仿宋_GB2312" w:cs="仿宋_GB2312"/>
          <w:b w:val="0"/>
          <w:i w:val="0"/>
          <w:caps w:val="0"/>
          <w:color w:val="000000"/>
          <w:spacing w:val="0"/>
          <w:sz w:val="32"/>
          <w:szCs w:val="32"/>
          <w:lang w:eastAsia="zh-CN"/>
        </w:rPr>
        <w:t>局</w:t>
      </w:r>
      <w:r>
        <w:rPr>
          <w:rFonts w:hint="eastAsia" w:ascii="仿宋_GB2312" w:hAnsi="宋体" w:eastAsia="仿宋_GB2312" w:cs="仿宋_GB2312"/>
          <w:b w:val="0"/>
          <w:i w:val="0"/>
          <w:caps w:val="0"/>
          <w:color w:val="000000"/>
          <w:spacing w:val="0"/>
          <w:sz w:val="32"/>
          <w:szCs w:val="32"/>
        </w:rPr>
        <w:t>收到依申请公开</w:t>
      </w:r>
      <w:r>
        <w:rPr>
          <w:rFonts w:hint="eastAsia" w:ascii="仿宋_GB2312" w:hAnsi="宋体" w:eastAsia="仿宋_GB2312" w:cs="仿宋_GB2312"/>
          <w:b w:val="0"/>
          <w:i w:val="0"/>
          <w:caps w:val="0"/>
          <w:color w:val="auto"/>
          <w:spacing w:val="0"/>
          <w:sz w:val="32"/>
          <w:szCs w:val="32"/>
          <w:shd w:val="clear" w:color="auto" w:fill="FFFFFF"/>
          <w:lang w:val="en-US" w:eastAsia="zh-CN"/>
        </w:rPr>
        <w:t>5</w:t>
      </w:r>
      <w:r>
        <w:rPr>
          <w:rFonts w:hint="eastAsia" w:ascii="仿宋_GB2312" w:hAnsi="宋体" w:eastAsia="仿宋_GB2312" w:cs="仿宋_GB2312"/>
          <w:b w:val="0"/>
          <w:i w:val="0"/>
          <w:caps w:val="0"/>
          <w:color w:val="000000"/>
          <w:spacing w:val="0"/>
          <w:sz w:val="32"/>
          <w:szCs w:val="32"/>
        </w:rPr>
        <w:t>件</w:t>
      </w:r>
      <w:r>
        <w:rPr>
          <w:rFonts w:hint="eastAsia" w:ascii="仿宋_GB2312" w:hAnsi="宋体" w:eastAsia="仿宋_GB2312" w:cs="仿宋_GB2312"/>
          <w:b w:val="0"/>
          <w:i w:val="0"/>
          <w:caps w:val="0"/>
          <w:color w:val="000000"/>
          <w:spacing w:val="0"/>
          <w:sz w:val="32"/>
          <w:szCs w:val="32"/>
          <w:lang w:eastAsia="zh-CN"/>
        </w:rPr>
        <w:t>，</w:t>
      </w:r>
      <w:r>
        <w:rPr>
          <w:rFonts w:hint="eastAsia" w:ascii="仿宋_GB2312" w:hAnsi="仿宋_GB2312" w:eastAsia="仿宋_GB2312" w:cs="仿宋_GB2312"/>
          <w:kern w:val="2"/>
          <w:sz w:val="32"/>
          <w:szCs w:val="32"/>
          <w:highlight w:val="none"/>
          <w:lang w:val="en-US" w:eastAsia="zh-CN"/>
        </w:rPr>
        <w:t>同比减少72％，所有案件均按照法定程序进行了办理，较好保障了企业和群众获取政府信息的权力。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）政府信息管理</w:t>
      </w:r>
      <w:r>
        <w:rPr>
          <w:rFonts w:hint="eastAsia" w:ascii="楷体_GB2312" w:hAnsi="楷体_GB2312" w:eastAsia="楷体_GB2312" w:cs="楷体_GB2312"/>
          <w:color w:val="auto"/>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动态更新政府信息主动公开目录，明确了2023年重点工作和任务分工；完善信息公开保密审查审批制度，对拟公开的政府信息依法依规做好保密审查；制发公文进行逐级审批，确保制发公文的及时规范；，对于需要公开发布的信息进行逐级审批</w:t>
      </w:r>
      <w:r>
        <w:rPr>
          <w:rFonts w:hint="eastAsia" w:ascii="仿宋_GB2312" w:hAnsi="仿宋_GB2312" w:eastAsia="仿宋_GB2312" w:cs="仿宋_GB2312"/>
          <w:color w:val="auto"/>
          <w:sz w:val="32"/>
          <w:szCs w:val="32"/>
        </w:rPr>
        <w:t>，确保发布政府公开信息的规范、及时、准确、完整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同时指定</w:t>
      </w:r>
      <w:r>
        <w:rPr>
          <w:rFonts w:hint="eastAsia" w:ascii="仿宋_GB2312" w:hAnsi="仿宋_GB2312" w:eastAsia="仿宋_GB2312" w:cs="仿宋_GB2312"/>
          <w:color w:val="auto"/>
          <w:sz w:val="32"/>
          <w:szCs w:val="32"/>
          <w:lang w:val="en-US" w:eastAsia="zh-CN"/>
        </w:rPr>
        <w:t>专人</w:t>
      </w:r>
      <w:r>
        <w:rPr>
          <w:rFonts w:hint="eastAsia" w:ascii="仿宋_GB2312" w:hAnsi="仿宋_GB2312" w:eastAsia="仿宋_GB2312" w:cs="仿宋_GB2312"/>
          <w:color w:val="auto"/>
          <w:sz w:val="32"/>
          <w:szCs w:val="32"/>
        </w:rPr>
        <w:t>负责全局信息公开维护和更新，及时报送政府信息公开情况。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宋体" w:hAnsi="宋体" w:eastAsia="宋体" w:cs="宋体"/>
          <w:b w:val="0"/>
          <w:i w:val="0"/>
          <w:caps w:val="0"/>
          <w:color w:val="auto"/>
          <w:spacing w:val="0"/>
          <w:sz w:val="24"/>
          <w:szCs w:val="24"/>
        </w:rPr>
      </w:pPr>
      <w:r>
        <w:rPr>
          <w:rFonts w:ascii="楷体_GB2312" w:hAnsi="宋体" w:eastAsia="楷体_GB2312" w:cs="楷体_GB2312"/>
          <w:b w:val="0"/>
          <w:i w:val="0"/>
          <w:caps w:val="0"/>
          <w:color w:val="auto"/>
          <w:spacing w:val="0"/>
          <w:sz w:val="32"/>
          <w:szCs w:val="32"/>
        </w:rPr>
        <w:t>（</w:t>
      </w:r>
      <w:r>
        <w:rPr>
          <w:rFonts w:hint="eastAsia" w:ascii="楷体_GB2312" w:hAnsi="宋体" w:eastAsia="楷体_GB2312" w:cs="楷体_GB2312"/>
          <w:b w:val="0"/>
          <w:i w:val="0"/>
          <w:caps w:val="0"/>
          <w:color w:val="auto"/>
          <w:spacing w:val="0"/>
          <w:sz w:val="32"/>
          <w:szCs w:val="32"/>
          <w:lang w:val="en-US" w:eastAsia="zh-CN"/>
        </w:rPr>
        <w:t>四</w:t>
      </w:r>
      <w:r>
        <w:rPr>
          <w:rFonts w:ascii="楷体_GB2312" w:hAnsi="宋体" w:eastAsia="楷体_GB2312" w:cs="楷体_GB2312"/>
          <w:b w:val="0"/>
          <w:i w:val="0"/>
          <w:caps w:val="0"/>
          <w:color w:val="auto"/>
          <w:spacing w:val="0"/>
          <w:sz w:val="32"/>
          <w:szCs w:val="32"/>
        </w:rPr>
        <w:t>）平台建设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auto"/>
          <w:spacing w:val="0"/>
          <w:sz w:val="24"/>
          <w:szCs w:val="24"/>
        </w:rPr>
      </w:pPr>
      <w:r>
        <w:rPr>
          <w:rFonts w:ascii="仿宋_GB2312" w:hAnsi="宋体" w:eastAsia="仿宋_GB2312" w:cs="仿宋_GB2312"/>
          <w:b w:val="0"/>
          <w:i w:val="0"/>
          <w:caps w:val="0"/>
          <w:color w:val="auto"/>
          <w:spacing w:val="0"/>
          <w:sz w:val="32"/>
          <w:szCs w:val="32"/>
        </w:rPr>
        <w:t>认真做好平台的信息管理及维护工作，及时更新平台的信息公开栏目并做好日常维护，确保信息发布的规范性及时效性，以准确及时地反映</w:t>
      </w:r>
      <w:r>
        <w:rPr>
          <w:rFonts w:hint="eastAsia" w:ascii="仿宋_GB2312" w:hAnsi="宋体" w:eastAsia="仿宋_GB2312" w:cs="仿宋_GB2312"/>
          <w:b w:val="0"/>
          <w:i w:val="0"/>
          <w:caps w:val="0"/>
          <w:color w:val="auto"/>
          <w:spacing w:val="0"/>
          <w:sz w:val="32"/>
          <w:szCs w:val="32"/>
          <w:lang w:eastAsia="zh-CN"/>
        </w:rPr>
        <w:t>我局的</w:t>
      </w:r>
      <w:r>
        <w:rPr>
          <w:rFonts w:ascii="仿宋_GB2312" w:hAnsi="宋体" w:eastAsia="仿宋_GB2312" w:cs="仿宋_GB2312"/>
          <w:b w:val="0"/>
          <w:i w:val="0"/>
          <w:caps w:val="0"/>
          <w:color w:val="auto"/>
          <w:spacing w:val="0"/>
          <w:sz w:val="32"/>
          <w:szCs w:val="32"/>
        </w:rPr>
        <w:t>各项工作动态</w:t>
      </w:r>
      <w:r>
        <w:rPr>
          <w:rFonts w:hint="eastAsia" w:ascii="仿宋_GB2312" w:hAnsi="宋体" w:eastAsia="仿宋_GB2312" w:cs="仿宋_GB2312"/>
          <w:b w:val="0"/>
          <w:i w:val="0"/>
          <w:caps w:val="0"/>
          <w:color w:val="auto"/>
          <w:spacing w:val="0"/>
          <w:sz w:val="32"/>
          <w:szCs w:val="32"/>
          <w:lang w:eastAsia="zh-CN"/>
        </w:rPr>
        <w:t>，</w:t>
      </w:r>
      <w:r>
        <w:rPr>
          <w:rFonts w:hint="eastAsia" w:ascii="仿宋_GB2312" w:hAnsi="宋体" w:eastAsia="仿宋_GB2312" w:cs="仿宋_GB2312"/>
          <w:b w:val="0"/>
          <w:i w:val="0"/>
          <w:caps w:val="0"/>
          <w:color w:val="auto"/>
          <w:spacing w:val="0"/>
          <w:sz w:val="32"/>
          <w:szCs w:val="32"/>
          <w:lang w:val="en-US" w:eastAsia="zh-CN"/>
        </w:rPr>
        <w:t>充分发挥公众号的推介宣传作用，截至目前，全年发布251条，其中原创66条</w:t>
      </w:r>
      <w:r>
        <w:rPr>
          <w:rFonts w:ascii="仿宋_GB2312" w:hAnsi="宋体" w:eastAsia="仿宋_GB2312" w:cs="仿宋_GB2312"/>
          <w:b w:val="0"/>
          <w:i w:val="0"/>
          <w:caps w:val="0"/>
          <w:color w:val="auto"/>
          <w:spacing w:val="0"/>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楷体_GB2312" w:hAnsi="楷体_GB2312" w:eastAsia="楷体_GB2312" w:cs="楷体_GB2312"/>
          <w:b w:val="0"/>
          <w:i w:val="0"/>
          <w:caps w:val="0"/>
          <w:color w:val="auto"/>
          <w:spacing w:val="0"/>
          <w:sz w:val="24"/>
          <w:szCs w:val="24"/>
        </w:rPr>
      </w:pPr>
      <w:r>
        <w:rPr>
          <w:rFonts w:hint="eastAsia" w:ascii="楷体_GB2312" w:hAnsi="楷体_GB2312" w:eastAsia="楷体_GB2312" w:cs="楷体_GB2312"/>
          <w:b w:val="0"/>
          <w:i w:val="0"/>
          <w:caps w:val="0"/>
          <w:color w:val="auto"/>
          <w:spacing w:val="0"/>
          <w:sz w:val="32"/>
          <w:szCs w:val="32"/>
          <w:lang w:val="en-US" w:eastAsia="zh-CN"/>
        </w:rPr>
        <w:t>(五</w:t>
      </w:r>
      <w:r>
        <w:rPr>
          <w:rFonts w:hint="eastAsia" w:ascii="楷体_GB2312" w:hAnsi="楷体_GB2312" w:eastAsia="楷体_GB2312" w:cs="楷体_GB2312"/>
          <w:b w:val="0"/>
          <w:i w:val="0"/>
          <w:caps w:val="0"/>
          <w:color w:val="auto"/>
          <w:spacing w:val="0"/>
          <w:sz w:val="32"/>
          <w:szCs w:val="32"/>
        </w:rPr>
        <w:t>）监督保障情况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2023年，我局明确主要负责同志对政务公开工作负总责，局分管局长具体负责，局办公室总牵头，各业务科室配备一名政务公开联络员，召集培训5次，保障了我局政务公开工作顺利推进。</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jc w:val="center"/>
              <w:rPr>
                <w:rFonts w:hint="eastAsia" w:ascii="仿宋" w:hAnsi="仿宋" w:eastAsia="仿宋" w:cs="仿宋"/>
                <w:sz w:val="24"/>
                <w:szCs w:val="24"/>
              </w:rPr>
            </w:pPr>
            <w:r>
              <w:rPr>
                <w:rFonts w:hint="eastAsia" w:ascii="黑体" w:hAnsi="黑体" w:eastAsia="黑体" w:cs="黑体"/>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3"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本年制发件数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本年废止件数</w:t>
            </w:r>
          </w:p>
        </w:tc>
        <w:tc>
          <w:tcPr>
            <w:tcW w:w="2435"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规章</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行政规范性文件</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2435"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jc w:val="center"/>
              <w:rPr>
                <w:rFonts w:hint="eastAsia" w:ascii="仿宋" w:hAnsi="仿宋" w:eastAsia="仿宋" w:cs="仿宋"/>
                <w:sz w:val="24"/>
                <w:szCs w:val="24"/>
              </w:rPr>
            </w:pPr>
            <w:r>
              <w:rPr>
                <w:rFonts w:hint="eastAsia" w:ascii="黑体" w:hAnsi="黑体" w:eastAsia="黑体" w:cs="黑体"/>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行政许可</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jc w:val="center"/>
              <w:rPr>
                <w:rFonts w:hint="eastAsia" w:ascii="仿宋" w:hAnsi="仿宋" w:eastAsia="仿宋" w:cs="仿宋"/>
                <w:sz w:val="24"/>
                <w:szCs w:val="24"/>
              </w:rPr>
            </w:pPr>
            <w:r>
              <w:rPr>
                <w:rFonts w:hint="eastAsia" w:ascii="黑体" w:hAnsi="黑体" w:eastAsia="黑体" w:cs="黑体"/>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行政处罚</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highlight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行政强制</w:t>
            </w:r>
          </w:p>
        </w:tc>
        <w:tc>
          <w:tcPr>
            <w:tcW w:w="7305" w:type="dxa"/>
            <w:gridSpan w:val="3"/>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4"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C6D9F1"/>
            <w:noWrap w:val="0"/>
            <w:tcMar>
              <w:left w:w="57" w:type="dxa"/>
              <w:right w:w="57" w:type="dxa"/>
            </w:tcMar>
            <w:vAlign w:val="center"/>
          </w:tcPr>
          <w:p>
            <w:pPr>
              <w:jc w:val="center"/>
              <w:rPr>
                <w:rFonts w:hint="eastAsia" w:ascii="仿宋" w:hAnsi="仿宋" w:eastAsia="仿宋" w:cs="仿宋"/>
                <w:sz w:val="24"/>
                <w:szCs w:val="24"/>
              </w:rPr>
            </w:pPr>
            <w:r>
              <w:rPr>
                <w:rFonts w:hint="eastAsia" w:ascii="黑体" w:hAnsi="黑体" w:eastAsia="黑体" w:cs="黑体"/>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jc w:val="center"/>
        </w:trPr>
        <w:tc>
          <w:tcPr>
            <w:tcW w:w="2435" w:type="dxa"/>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信息内容</w:t>
            </w:r>
          </w:p>
        </w:tc>
        <w:tc>
          <w:tcPr>
            <w:tcW w:w="7305" w:type="dxa"/>
            <w:gridSpan w:val="3"/>
            <w:tcBorders>
              <w:top w:val="nil"/>
              <w:left w:val="nil"/>
              <w:bottom w:val="single" w:color="auto" w:sz="8" w:space="0"/>
              <w:right w:val="single" w:color="000000"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jc w:val="center"/>
        </w:trPr>
        <w:tc>
          <w:tcPr>
            <w:tcW w:w="2435" w:type="dxa"/>
            <w:tcBorders>
              <w:top w:val="nil"/>
              <w:left w:val="single" w:color="auto" w:sz="8" w:space="0"/>
              <w:bottom w:val="nil"/>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rPr>
              <w:t>行政事业性收费</w:t>
            </w:r>
          </w:p>
        </w:tc>
        <w:tc>
          <w:tcPr>
            <w:tcW w:w="7305" w:type="dxa"/>
            <w:gridSpan w:val="3"/>
            <w:tcBorders>
              <w:top w:val="nil"/>
              <w:left w:val="nil"/>
              <w:bottom w:val="nil"/>
              <w:right w:val="single" w:color="000000" w:sz="8" w:space="0"/>
              <w:tl2br w:val="nil"/>
              <w:tr2bl w:val="nil"/>
            </w:tcBorders>
            <w:noWrap w:val="0"/>
            <w:tcMar>
              <w:left w:w="57" w:type="dxa"/>
              <w:right w:w="57"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spacing w:beforeLines="0" w:afterLines="0"/>
        <w:rPr>
          <w:rFonts w:hint="eastAsia" w:ascii="黑体" w:hAnsi="黑体" w:eastAsia="黑体" w:cs="黑体"/>
          <w:sz w:val="32"/>
          <w:szCs w:val="32"/>
        </w:rPr>
      </w:pPr>
    </w:p>
    <w:p>
      <w:pPr>
        <w:numPr>
          <w:ilvl w:val="0"/>
          <w:numId w:val="1"/>
        </w:numPr>
        <w:spacing w:beforeLines="0" w:afterLines="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numPr>
          <w:ilvl w:val="0"/>
          <w:numId w:val="0"/>
        </w:numPr>
        <w:spacing w:beforeLines="0" w:afterLines="0"/>
        <w:rPr>
          <w:rFonts w:hint="eastAsia" w:ascii="黑体" w:hAnsi="黑体" w:eastAsia="黑体" w:cs="黑体"/>
          <w:sz w:val="32"/>
          <w:szCs w:val="32"/>
        </w:rPr>
      </w:pPr>
    </w:p>
    <w:tbl>
      <w:tblPr>
        <w:tblStyle w:val="3"/>
        <w:tblpPr w:leftFromText="180" w:rightFromText="180" w:vertAnchor="text" w:horzAnchor="page" w:tblpX="1363" w:tblpY="621"/>
        <w:tblOverlap w:val="never"/>
        <w:tblW w:w="90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65"/>
        <w:gridCol w:w="1694"/>
        <w:gridCol w:w="1755"/>
        <w:gridCol w:w="840"/>
        <w:gridCol w:w="746"/>
        <w:gridCol w:w="734"/>
        <w:gridCol w:w="946"/>
        <w:gridCol w:w="894"/>
        <w:gridCol w:w="413"/>
        <w:gridCol w:w="6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restart"/>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r>
              <w:rPr>
                <w:rFonts w:hint="eastAsia" w:ascii="楷体" w:hAnsi="楷体" w:eastAsia="楷体" w:cs="楷体"/>
                <w:sz w:val="24"/>
                <w:szCs w:val="24"/>
              </w:rPr>
              <w:t>（本列数据的勾稽关系为：第一项加第二项之和，等于第三项加第四项之和）</w:t>
            </w:r>
          </w:p>
        </w:tc>
        <w:tc>
          <w:tcPr>
            <w:tcW w:w="5173" w:type="dxa"/>
            <w:gridSpan w:val="7"/>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840" w:type="dxa"/>
            <w:vMerge w:val="restart"/>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自然人</w:t>
            </w:r>
          </w:p>
        </w:tc>
        <w:tc>
          <w:tcPr>
            <w:tcW w:w="3733" w:type="dxa"/>
            <w:gridSpan w:val="5"/>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法人或其他组织</w:t>
            </w:r>
          </w:p>
        </w:tc>
        <w:tc>
          <w:tcPr>
            <w:tcW w:w="600" w:type="dxa"/>
            <w:vMerge w:val="restart"/>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vMerge w:val="continue"/>
            <w:tcBorders>
              <w:top w:val="single" w:color="auto" w:sz="8" w:space="0"/>
              <w:left w:val="single" w:color="auto" w:sz="8" w:space="0"/>
              <w:bottom w:val="outset" w:color="auto" w:sz="8" w:space="0"/>
              <w:right w:val="single" w:color="auto" w:sz="8" w:space="0"/>
              <w:tl2br w:val="nil"/>
              <w:tr2bl w:val="nil"/>
            </w:tcBorders>
            <w:noWrap w:val="0"/>
            <w:tcMar>
              <w:left w:w="108" w:type="dxa"/>
              <w:right w:w="108" w:type="dxa"/>
            </w:tcMar>
            <w:vAlign w:val="center"/>
          </w:tcPr>
          <w:p>
            <w:pPr>
              <w:spacing w:beforeLines="0" w:afterLines="0"/>
              <w:rPr>
                <w:rFonts w:hint="eastAsia" w:ascii="仿宋" w:hAnsi="仿宋" w:eastAsia="仿宋" w:cs="仿宋"/>
                <w:sz w:val="24"/>
                <w:szCs w:val="24"/>
              </w:rPr>
            </w:pPr>
          </w:p>
        </w:tc>
        <w:tc>
          <w:tcPr>
            <w:tcW w:w="840" w:type="dxa"/>
            <w:vMerge w:val="continue"/>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商业</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企业</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科研</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机构</w:t>
            </w:r>
          </w:p>
        </w:tc>
        <w:tc>
          <w:tcPr>
            <w:tcW w:w="946"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社会公益组织</w:t>
            </w:r>
          </w:p>
        </w:tc>
        <w:tc>
          <w:tcPr>
            <w:tcW w:w="894"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法律服务机构</w:t>
            </w:r>
          </w:p>
        </w:tc>
        <w:tc>
          <w:tcPr>
            <w:tcW w:w="413"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其他</w:t>
            </w:r>
          </w:p>
        </w:tc>
        <w:tc>
          <w:tcPr>
            <w:tcW w:w="600" w:type="dxa"/>
            <w:vMerge w:val="continue"/>
            <w:tcBorders>
              <w:top w:val="single"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一、本年新收政府信息公开申请数量</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5</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二、上年结转政府信息公开申请数量</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restart"/>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三</w:t>
            </w:r>
          </w:p>
          <w:p>
            <w:pPr>
              <w:spacing w:beforeLines="0" w:afterLines="0"/>
              <w:jc w:val="center"/>
              <w:rPr>
                <w:rFonts w:hint="eastAsia" w:ascii="黑体" w:hAnsi="黑体" w:eastAsia="黑体" w:cs="黑体"/>
                <w:sz w:val="24"/>
                <w:szCs w:val="24"/>
              </w:rPr>
            </w:pPr>
            <w:r>
              <w:rPr>
                <w:rFonts w:hint="eastAsia" w:ascii="黑体" w:hAnsi="黑体" w:eastAsia="黑体" w:cs="黑体"/>
                <w:sz w:val="24"/>
                <w:szCs w:val="24"/>
              </w:rPr>
              <w:t>、</w:t>
            </w:r>
          </w:p>
          <w:p>
            <w:pPr>
              <w:spacing w:beforeLines="0" w:afterLines="0"/>
              <w:jc w:val="center"/>
              <w:rPr>
                <w:rFonts w:hint="eastAsia" w:ascii="仿宋" w:hAnsi="仿宋" w:eastAsia="仿宋" w:cs="仿宋"/>
                <w:sz w:val="24"/>
                <w:szCs w:val="24"/>
              </w:rPr>
            </w:pPr>
            <w:r>
              <w:rPr>
                <w:rFonts w:hint="eastAsia" w:ascii="黑体" w:hAnsi="黑体" w:eastAsia="黑体" w:cs="黑体"/>
                <w:sz w:val="24"/>
                <w:szCs w:val="24"/>
              </w:rPr>
              <w:t>本年度办理结果</w:t>
            </w:r>
          </w:p>
        </w:tc>
        <w:tc>
          <w:tcPr>
            <w:tcW w:w="3449"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（一）予以公开</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3449"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（二）部分公开（区分处理的，只计这一情形，不计其他情形）</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（三）不予公开</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1.属于国家秘密</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single" w:color="auto" w:sz="8" w:space="0"/>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2.其他法律行政法规禁止公开</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3.危及“三安全一稳定”</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4.保护第三方合法权益</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5.属于三类内部事务信息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6.属于四类过程性信息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7.属于行政执法案卷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jc w:val="left"/>
              <w:rPr>
                <w:rFonts w:hint="eastAsia" w:ascii="仿宋" w:hAnsi="仿宋" w:eastAsia="仿宋" w:cs="仿宋"/>
                <w:sz w:val="24"/>
                <w:szCs w:val="24"/>
              </w:rPr>
            </w:pPr>
            <w:r>
              <w:rPr>
                <w:rFonts w:hint="eastAsia" w:ascii="仿宋" w:hAnsi="仿宋" w:eastAsia="仿宋" w:cs="仿宋"/>
                <w:sz w:val="24"/>
                <w:szCs w:val="24"/>
              </w:rPr>
              <w:t>8.属于行政查询事项</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黑体" w:hAnsi="黑体" w:eastAsia="黑体" w:cs="黑体"/>
                <w:sz w:val="24"/>
                <w:szCs w:val="24"/>
              </w:rPr>
              <w:t>（四）无法提供</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1.本机关不掌握相关政府信息</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2.没有现成信息需要另行制作</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3.补正后申请内容仍不明确</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（五）不予处理</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1.信访举报投诉类申请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2.重复申请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3.要求提供公开出版物</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top"/>
          </w:tcPr>
          <w:p>
            <w:pPr>
              <w:spacing w:beforeLines="0" w:afterLines="0"/>
              <w:rPr>
                <w:rFonts w:hint="eastAsia" w:ascii="仿宋" w:hAnsi="仿宋" w:eastAsia="仿宋" w:cs="仿宋"/>
                <w:sz w:val="24"/>
                <w:szCs w:val="24"/>
              </w:rPr>
            </w:pPr>
            <w:r>
              <w:rPr>
                <w:rFonts w:hint="eastAsia" w:ascii="仿宋" w:hAnsi="仿宋" w:eastAsia="仿宋" w:cs="仿宋"/>
                <w:sz w:val="24"/>
                <w:szCs w:val="24"/>
              </w:rPr>
              <w:t>4.无正当理由大量反复申请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1755" w:type="dxa"/>
            <w:tcBorders>
              <w:top w:val="nil"/>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5.要求行政机关确认或重新出具已获取信息</w:t>
            </w:r>
          </w:p>
        </w:tc>
        <w:tc>
          <w:tcPr>
            <w:tcW w:w="840"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outset"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restart"/>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（六）其他处理</w:t>
            </w: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1.申请人无正当理由逾期不补正、行政机关不再处理其政府信息公开申请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2.申请人逾期未按收费通知要求缴纳费用、行政机关不再处理其政府信息公开申请</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694" w:type="dxa"/>
            <w:vMerge w:val="continue"/>
            <w:tcBorders>
              <w:top w:val="outset" w:color="auto" w:sz="8" w:space="0"/>
              <w:left w:val="nil"/>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p>
        </w:tc>
        <w:tc>
          <w:tcPr>
            <w:tcW w:w="1755" w:type="dxa"/>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仿宋" w:hAnsi="仿宋" w:eastAsia="仿宋" w:cs="仿宋"/>
                <w:sz w:val="24"/>
                <w:szCs w:val="24"/>
              </w:rPr>
            </w:pPr>
            <w:r>
              <w:rPr>
                <w:rFonts w:hint="eastAsia" w:ascii="仿宋" w:hAnsi="仿宋" w:eastAsia="仿宋" w:cs="仿宋"/>
                <w:sz w:val="24"/>
                <w:szCs w:val="24"/>
              </w:rPr>
              <w:t>3.其他</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465" w:type="dxa"/>
            <w:vMerge w:val="continue"/>
            <w:tcBorders>
              <w:top w:val="nil"/>
              <w:left w:val="single" w:color="auto" w:sz="8" w:space="0"/>
              <w:bottom w:val="outset"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p>
        </w:tc>
        <w:tc>
          <w:tcPr>
            <w:tcW w:w="3449" w:type="dxa"/>
            <w:gridSpan w:val="2"/>
            <w:tcBorders>
              <w:top w:val="nil"/>
              <w:left w:val="nil"/>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（七）总计</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5</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default" w:ascii="仿宋" w:hAnsi="仿宋" w:eastAsia="仿宋" w:cs="仿宋"/>
                <w:sz w:val="24"/>
                <w:szCs w:val="24"/>
                <w:lang w:val="en-US"/>
              </w:rPr>
            </w:pPr>
            <w:r>
              <w:rPr>
                <w:rFonts w:hint="eastAsia" w:ascii="仿宋" w:hAnsi="仿宋" w:eastAsia="仿宋" w:cs="仿宋"/>
                <w:kern w:val="2"/>
                <w:sz w:val="24"/>
                <w:szCs w:val="24"/>
                <w:lang w:val="en-US" w:eastAsia="zh-CN"/>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trPr>
        <w:tc>
          <w:tcPr>
            <w:tcW w:w="3914" w:type="dxa"/>
            <w:gridSpan w:val="3"/>
            <w:tcBorders>
              <w:top w:val="nil"/>
              <w:left w:val="single" w:color="auto" w:sz="8" w:space="0"/>
              <w:bottom w:val="single" w:color="auto" w:sz="8" w:space="0"/>
              <w:right w:val="single" w:color="auto" w:sz="8" w:space="0"/>
              <w:tl2br w:val="nil"/>
              <w:tr2bl w:val="nil"/>
            </w:tcBorders>
            <w:noWrap w:val="0"/>
            <w:tcMar>
              <w:left w:w="57" w:type="dxa"/>
              <w:right w:w="57" w:type="dxa"/>
            </w:tcMar>
            <w:vAlign w:val="center"/>
          </w:tcPr>
          <w:p>
            <w:pPr>
              <w:spacing w:beforeLines="0" w:afterLines="0"/>
              <w:rPr>
                <w:rFonts w:hint="eastAsia" w:ascii="黑体" w:hAnsi="黑体" w:eastAsia="黑体" w:cs="黑体"/>
                <w:sz w:val="24"/>
                <w:szCs w:val="24"/>
              </w:rPr>
            </w:pPr>
            <w:r>
              <w:rPr>
                <w:rFonts w:hint="eastAsia" w:ascii="黑体" w:hAnsi="黑体" w:eastAsia="黑体" w:cs="黑体"/>
                <w:sz w:val="24"/>
                <w:szCs w:val="24"/>
              </w:rPr>
              <w:t>四、结转下年度继续办理</w:t>
            </w:r>
          </w:p>
        </w:tc>
        <w:tc>
          <w:tcPr>
            <w:tcW w:w="84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73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946"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894"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413"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c>
          <w:tcPr>
            <w:tcW w:w="600" w:type="dxa"/>
            <w:tcBorders>
              <w:top w:val="nil"/>
              <w:left w:val="nil"/>
              <w:bottom w:val="single" w:color="auto" w:sz="8" w:space="0"/>
              <w:right w:val="single" w:color="auto" w:sz="8" w:space="0"/>
              <w:tl2br w:val="nil"/>
              <w:tr2bl w:val="nil"/>
            </w:tcBorders>
            <w:noWrap w:val="0"/>
            <w:tcMar>
              <w:left w:w="57" w:type="dxa"/>
              <w:right w:w="57" w:type="dxa"/>
            </w:tcMar>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0</w:t>
            </w:r>
          </w:p>
        </w:tc>
      </w:tr>
    </w:tbl>
    <w:p>
      <w:pPr>
        <w:rPr>
          <w:rFonts w:hint="eastAsia" w:ascii="黑体" w:hAnsi="黑体" w:eastAsia="黑体" w:cs="黑体"/>
          <w:sz w:val="32"/>
          <w:szCs w:val="32"/>
        </w:rPr>
      </w:pPr>
    </w:p>
    <w:p>
      <w:pPr>
        <w:rPr>
          <w:rFonts w:hint="eastAsia" w:ascii="仿宋" w:hAnsi="仿宋" w:eastAsia="仿宋" w:cs="仿宋"/>
          <w:sz w:val="32"/>
          <w:szCs w:val="32"/>
        </w:rPr>
      </w:pPr>
      <w:r>
        <w:rPr>
          <w:rFonts w:hint="eastAsia" w:ascii="黑体" w:hAnsi="黑体" w:eastAsia="黑体" w:cs="黑体"/>
          <w:sz w:val="32"/>
          <w:szCs w:val="32"/>
        </w:rPr>
        <w:t>四、政府信息公开行政复议、行政诉讼情况</w:t>
      </w: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结果维持</w:t>
            </w:r>
          </w:p>
        </w:tc>
        <w:tc>
          <w:tcPr>
            <w:tcW w:w="649" w:type="dxa"/>
            <w:vMerge w:val="restart"/>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p>
        </w:tc>
        <w:tc>
          <w:tcPr>
            <w:tcW w:w="649" w:type="dxa"/>
            <w:vMerge w:val="continue"/>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50"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总计</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维持</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结果</w:t>
            </w:r>
            <w:r>
              <w:rPr>
                <w:rFonts w:hint="eastAsia" w:ascii="黑体" w:hAnsi="黑体" w:eastAsia="黑体" w:cs="黑体"/>
                <w:sz w:val="24"/>
                <w:szCs w:val="24"/>
              </w:rPr>
              <w:br w:type="textWrapping"/>
            </w:r>
            <w:r>
              <w:rPr>
                <w:rFonts w:hint="eastAsia" w:ascii="黑体" w:hAnsi="黑体" w:eastAsia="黑体" w:cs="黑体"/>
                <w:sz w:val="24"/>
                <w:szCs w:val="24"/>
              </w:rPr>
              <w:t>纠正</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其他</w:t>
            </w:r>
            <w:r>
              <w:rPr>
                <w:rFonts w:hint="eastAsia" w:ascii="黑体" w:hAnsi="黑体" w:eastAsia="黑体" w:cs="黑体"/>
                <w:sz w:val="24"/>
                <w:szCs w:val="24"/>
              </w:rPr>
              <w:br w:type="textWrapping"/>
            </w:r>
            <w:r>
              <w:rPr>
                <w:rFonts w:hint="eastAsia" w:ascii="黑体" w:hAnsi="黑体" w:eastAsia="黑体" w:cs="黑体"/>
                <w:sz w:val="24"/>
                <w:szCs w:val="24"/>
              </w:rPr>
              <w:t>结果</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尚未</w:t>
            </w:r>
            <w:r>
              <w:rPr>
                <w:rFonts w:hint="eastAsia" w:ascii="黑体" w:hAnsi="黑体" w:eastAsia="黑体" w:cs="黑体"/>
                <w:sz w:val="24"/>
                <w:szCs w:val="24"/>
              </w:rPr>
              <w:br w:type="textWrapping"/>
            </w:r>
            <w:r>
              <w:rPr>
                <w:rFonts w:hint="eastAsia" w:ascii="黑体" w:hAnsi="黑体" w:eastAsia="黑体" w:cs="黑体"/>
                <w:sz w:val="24"/>
                <w:szCs w:val="24"/>
              </w:rPr>
              <w:t>审结</w:t>
            </w:r>
          </w:p>
        </w:tc>
        <w:tc>
          <w:tcPr>
            <w:tcW w:w="651" w:type="dxa"/>
            <w:tcBorders>
              <w:top w:val="single" w:color="auto" w:sz="8" w:space="0"/>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49"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0"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651" w:type="dxa"/>
            <w:tcBorders>
              <w:top w:val="nil"/>
              <w:left w:val="single" w:color="auto" w:sz="8" w:space="0"/>
              <w:bottom w:val="single" w:color="auto" w:sz="8" w:space="0"/>
              <w:right w:val="single" w:color="auto" w:sz="8" w:space="0"/>
              <w:tl2br w:val="nil"/>
              <w:tr2bl w:val="nil"/>
            </w:tcBorders>
            <w:noWrap w:val="0"/>
            <w:tcMar>
              <w:left w:w="108" w:type="dxa"/>
              <w:right w:w="108" w:type="dxa"/>
            </w:tcMar>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bl>
    <w:p>
      <w:pPr>
        <w:rPr>
          <w:rFonts w:hint="eastAsia" w:ascii="仿宋" w:hAnsi="仿宋" w:eastAsia="仿宋" w:cs="仿宋"/>
          <w:sz w:val="32"/>
          <w:szCs w:val="32"/>
        </w:rPr>
      </w:pPr>
    </w:p>
    <w:p>
      <w:p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2023年我单位信息公开工作取得了一定成效，但也还存在一些不足，一是工作人员对政府信息公开文件规定不够熟悉，二是政府信息公开形式单一、宣传力度不足、内容不够全面。</w:t>
      </w:r>
    </w:p>
    <w:p>
      <w:pPr>
        <w:ind w:firstLine="640" w:firstLineChars="200"/>
        <w:rPr>
          <w:rFonts w:hint="default" w:ascii="仿宋_GB2312" w:hAnsi="仿宋_GB2312" w:eastAsia="仿宋_GB2312" w:cs="仿宋_GB2312"/>
          <w:i w:val="0"/>
          <w:caps w:val="0"/>
          <w:color w:val="auto"/>
          <w:spacing w:val="0"/>
          <w:kern w:val="0"/>
          <w:sz w:val="32"/>
          <w:szCs w:val="32"/>
          <w:highlight w:val="none"/>
          <w:lang w:val="en-US" w:eastAsia="zh-CN" w:bidi="ar"/>
        </w:rPr>
      </w:pPr>
      <w:r>
        <w:rPr>
          <w:rFonts w:hint="eastAsia" w:ascii="仿宋_GB2312" w:hAnsi="仿宋_GB2312" w:eastAsia="仿宋_GB2312" w:cs="仿宋_GB2312"/>
          <w:i w:val="0"/>
          <w:caps w:val="0"/>
          <w:color w:val="auto"/>
          <w:spacing w:val="0"/>
          <w:kern w:val="0"/>
          <w:sz w:val="32"/>
          <w:szCs w:val="32"/>
          <w:highlight w:val="none"/>
          <w:lang w:val="en-US" w:eastAsia="zh-CN" w:bidi="ar"/>
        </w:rPr>
        <w:t>针对存在的问题，我局每季度召开一次政务公开工作会议，对存在问题的中心、科室进行通报批评，并让完成质量高的中心、科室传授经验，以促进我局的政务公开工作更好开展。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仿宋_GB2312" w:eastAsia="仿宋_GB2312" w:cs="仿宋_GB2312"/>
          <w:i w:val="0"/>
          <w:caps w:val="0"/>
          <w:color w:val="auto"/>
          <w:spacing w:val="0"/>
          <w:kern w:val="0"/>
          <w:sz w:val="32"/>
          <w:szCs w:val="32"/>
          <w:lang w:val="en-US" w:eastAsia="zh-CN" w:bidi="ar"/>
        </w:rPr>
      </w:pPr>
      <w:r>
        <w:rPr>
          <w:rFonts w:hint="eastAsia" w:ascii="楷体_GB2312" w:hAnsi="楷体_GB2312" w:eastAsia="楷体_GB2312" w:cs="楷体_GB2312"/>
          <w:sz w:val="32"/>
          <w:szCs w:val="32"/>
          <w:lang w:val="en-US" w:eastAsia="zh-CN"/>
        </w:rPr>
        <w:t>（一）收费情况。</w:t>
      </w:r>
      <w:r>
        <w:rPr>
          <w:rFonts w:hint="eastAsia" w:ascii="仿宋_GB2312" w:hAnsi="仿宋_GB2312" w:eastAsia="仿宋_GB2312" w:cs="仿宋_GB2312"/>
          <w:i w:val="0"/>
          <w:caps w:val="0"/>
          <w:color w:val="auto"/>
          <w:spacing w:val="0"/>
          <w:kern w:val="0"/>
          <w:sz w:val="32"/>
          <w:szCs w:val="32"/>
          <w:lang w:val="en-US" w:eastAsia="zh-CN" w:bidi="ar"/>
        </w:rPr>
        <w:t>2023年度，我局无收取政府信息公开信息处理费的情况。</w:t>
      </w:r>
    </w:p>
    <w:p>
      <w:pPr>
        <w:numPr>
          <w:ilvl w:val="0"/>
          <w:numId w:val="0"/>
        </w:numPr>
        <w:ind w:firstLine="640" w:firstLineChars="200"/>
        <w:rPr>
          <w:rFonts w:hint="eastAsia" w:ascii="仿宋_GB2312" w:hAnsi="仿宋_GB2312" w:eastAsia="仿宋_GB2312" w:cs="仿宋_GB2312"/>
          <w:i w:val="0"/>
          <w:caps w:val="0"/>
          <w:color w:val="auto"/>
          <w:spacing w:val="0"/>
          <w:kern w:val="0"/>
          <w:sz w:val="32"/>
          <w:szCs w:val="32"/>
          <w:lang w:val="en-US" w:eastAsia="zh-CN" w:bidi="ar"/>
        </w:rPr>
      </w:pPr>
      <w:r>
        <w:rPr>
          <w:rFonts w:hint="eastAsia" w:ascii="楷体_GB2312" w:hAnsi="楷体_GB2312" w:eastAsia="楷体_GB2312" w:cs="楷体_GB2312"/>
          <w:sz w:val="32"/>
          <w:szCs w:val="32"/>
          <w:lang w:val="en-US" w:eastAsia="zh-CN"/>
        </w:rPr>
        <w:t>（二）提案建议办理情况。</w:t>
      </w:r>
      <w:r>
        <w:rPr>
          <w:rFonts w:hint="eastAsia" w:ascii="仿宋_GB2312" w:hAnsi="仿宋_GB2312" w:eastAsia="仿宋_GB2312" w:cs="仿宋_GB2312"/>
          <w:i w:val="0"/>
          <w:caps w:val="0"/>
          <w:color w:val="auto"/>
          <w:spacing w:val="0"/>
          <w:kern w:val="0"/>
          <w:sz w:val="32"/>
          <w:szCs w:val="32"/>
          <w:lang w:val="en-US" w:eastAsia="zh-CN" w:bidi="ar"/>
        </w:rPr>
        <w:t>2023年，我局共办理</w:t>
      </w:r>
      <w:r>
        <w:rPr>
          <w:rFonts w:hint="eastAsia" w:ascii="仿宋_GB2312" w:hAnsi="宋体" w:eastAsia="仿宋_GB2312" w:cs="仿宋_GB2312"/>
          <w:b w:val="0"/>
          <w:i w:val="0"/>
          <w:caps w:val="0"/>
          <w:color w:val="000000"/>
          <w:spacing w:val="0"/>
          <w:sz w:val="32"/>
          <w:szCs w:val="32"/>
        </w:rPr>
        <w:t>人大代表建议</w:t>
      </w:r>
      <w:r>
        <w:rPr>
          <w:rFonts w:hint="eastAsia" w:ascii="仿宋_GB2312" w:hAnsi="宋体" w:eastAsia="仿宋_GB2312" w:cs="仿宋_GB2312"/>
          <w:b w:val="0"/>
          <w:i w:val="0"/>
          <w:caps w:val="0"/>
          <w:color w:val="000000"/>
          <w:spacing w:val="0"/>
          <w:sz w:val="32"/>
          <w:szCs w:val="32"/>
          <w:lang w:val="en-US" w:eastAsia="zh-CN"/>
        </w:rPr>
        <w:t>3</w:t>
      </w:r>
      <w:r>
        <w:rPr>
          <w:rFonts w:hint="eastAsia" w:ascii="仿宋_GB2312" w:hAnsi="宋体" w:eastAsia="仿宋_GB2312" w:cs="仿宋_GB2312"/>
          <w:b w:val="0"/>
          <w:i w:val="0"/>
          <w:caps w:val="0"/>
          <w:color w:val="000000"/>
          <w:spacing w:val="0"/>
          <w:sz w:val="32"/>
          <w:szCs w:val="32"/>
        </w:rPr>
        <w:t>件，政协委员提案</w:t>
      </w:r>
      <w:r>
        <w:rPr>
          <w:rFonts w:hint="eastAsia" w:ascii="仿宋_GB2312" w:hAnsi="宋体" w:eastAsia="仿宋_GB2312" w:cs="仿宋_GB2312"/>
          <w:b w:val="0"/>
          <w:i w:val="0"/>
          <w:caps w:val="0"/>
          <w:color w:val="000000"/>
          <w:spacing w:val="0"/>
          <w:sz w:val="32"/>
          <w:szCs w:val="32"/>
          <w:lang w:val="en-US" w:eastAsia="zh-CN"/>
        </w:rPr>
        <w:t>13</w:t>
      </w:r>
      <w:r>
        <w:rPr>
          <w:rFonts w:hint="eastAsia" w:ascii="仿宋_GB2312" w:hAnsi="宋体" w:eastAsia="仿宋_GB2312" w:cs="仿宋_GB2312"/>
          <w:b w:val="0"/>
          <w:i w:val="0"/>
          <w:caps w:val="0"/>
          <w:color w:val="000000"/>
          <w:spacing w:val="0"/>
          <w:sz w:val="32"/>
          <w:szCs w:val="32"/>
        </w:rPr>
        <w:t>件。</w:t>
      </w:r>
      <w:r>
        <w:rPr>
          <w:rFonts w:hint="eastAsia" w:ascii="仿宋_GB2312" w:hAnsi="仿宋_GB2312" w:eastAsia="仿宋_GB2312" w:cs="仿宋_GB2312"/>
          <w:i w:val="0"/>
          <w:caps w:val="0"/>
          <w:color w:val="auto"/>
          <w:spacing w:val="0"/>
          <w:kern w:val="0"/>
          <w:sz w:val="32"/>
          <w:szCs w:val="32"/>
          <w:lang w:val="en-US" w:eastAsia="zh-CN" w:bidi="ar"/>
        </w:rPr>
        <w:t>在办理工作中，严格执行一把手负责制，各相关科室和下属单位领导为提案办理的具体责任人，研究明确具体办理措施，层层落实工作责任，做到了人大代表建议和政协提案办理事事有回音，件件有落实。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楷体_GB2312" w:hAnsi="楷体_GB2312" w:eastAsia="楷体_GB2312" w:cs="楷体_GB2312"/>
          <w:sz w:val="32"/>
          <w:szCs w:val="32"/>
          <w:lang w:val="en-US" w:eastAsia="zh-CN"/>
        </w:rPr>
        <w:t>（三）政务公开要点落实情况。</w:t>
      </w:r>
      <w:r>
        <w:rPr>
          <w:rFonts w:hint="eastAsia" w:ascii="仿宋_GB2312" w:hAnsi="仿宋_GB2312" w:eastAsia="仿宋_GB2312" w:cs="仿宋_GB2312"/>
          <w:i w:val="0"/>
          <w:caps w:val="0"/>
          <w:color w:val="auto"/>
          <w:spacing w:val="0"/>
          <w:kern w:val="0"/>
          <w:sz w:val="32"/>
          <w:szCs w:val="32"/>
          <w:lang w:val="en-US" w:eastAsia="zh-CN" w:bidi="ar"/>
        </w:rPr>
        <w:t>一是制定《桓台县住房和城乡建设局政务公开事项标准目录》。组织各单位、各科室结合各自业务实际情况，对公开事项逐项梳理，经过商讨、改进、定稿，在政府门户网站公开。二是规范政务公开。围绕与群众关系密切的行政行为和服务事项，按照“应公开、尽公开”要求全面梳理公开事项，细化公开内容，督促指导各科室和下属事业单位及时按照相关法律法规要求做好主动公开工作，进一步提高基层政务公开的针对性、实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楷体_GB2312" w:hAnsi="楷体_GB2312" w:eastAsia="楷体_GB2312" w:cs="楷体_GB2312"/>
          <w:i w:val="0"/>
          <w:caps w:val="0"/>
          <w:color w:val="auto"/>
          <w:spacing w:val="0"/>
          <w:kern w:val="0"/>
          <w:sz w:val="32"/>
          <w:szCs w:val="32"/>
          <w:lang w:val="en-US" w:eastAsia="zh-CN" w:bidi="ar"/>
        </w:rPr>
        <w:t>（四）政务公开工作创新情况。</w:t>
      </w:r>
      <w:r>
        <w:rPr>
          <w:rFonts w:hint="eastAsia" w:ascii="仿宋_GB2312" w:hAnsi="仿宋_GB2312" w:eastAsia="仿宋_GB2312" w:cs="仿宋_GB2312"/>
          <w:i w:val="0"/>
          <w:caps w:val="0"/>
          <w:color w:val="auto"/>
          <w:spacing w:val="0"/>
          <w:kern w:val="0"/>
          <w:sz w:val="32"/>
          <w:szCs w:val="32"/>
          <w:lang w:val="en-US" w:eastAsia="zh-CN" w:bidi="ar"/>
        </w:rPr>
        <w:t>本年度无政务公开工作创新情况。</w:t>
      </w:r>
    </w:p>
    <w:p>
      <w:pPr>
        <w:spacing w:line="640" w:lineRule="exact"/>
        <w:jc w:val="both"/>
        <w:rPr>
          <w:rFonts w:hint="eastAsia" w:ascii="黑体" w:hAnsi="黑体" w:eastAsia="黑体" w:cs="黑体"/>
          <w:sz w:val="32"/>
          <w:szCs w:val="32"/>
          <w:lang w:val="en-US" w:eastAsia="zh-CN"/>
        </w:rPr>
      </w:pPr>
    </w:p>
    <w:p>
      <w:pPr>
        <w:spacing w:line="640" w:lineRule="exact"/>
        <w:jc w:val="both"/>
        <w:rPr>
          <w:rFonts w:hint="eastAsia" w:ascii="黑体" w:hAnsi="黑体" w:eastAsia="黑体" w:cs="黑体"/>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0" w:firstLineChars="1500"/>
        <w:jc w:val="left"/>
        <w:textAlignment w:val="auto"/>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桓台县住房和城乡建设局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440" w:firstLineChars="1700"/>
        <w:jc w:val="left"/>
        <w:textAlignment w:val="auto"/>
        <w:rPr>
          <w:rFonts w:hint="default"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2024年1月17日</w:t>
      </w:r>
    </w:p>
    <w:p/>
    <w:sectPr>
      <w:footerReference r:id="rId3" w:type="default"/>
      <w:pgSz w:w="11906" w:h="16838"/>
      <w:pgMar w:top="2098" w:right="1474" w:bottom="1984" w:left="1587" w:header="851" w:footer="992" w:gutter="0"/>
      <w:pgNumType w:fmt="decimal" w:start="2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A0280"/>
    <w:multiLevelType w:val="singleLevel"/>
    <w:tmpl w:val="009A02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N2M2MjhmN2FjOGJlZTlhZWE2MDJiNDdlYjkyYzYifQ=="/>
  </w:docVars>
  <w:rsids>
    <w:rsidRoot w:val="4A4E46E2"/>
    <w:rsid w:val="3A5A04CC"/>
    <w:rsid w:val="48AC6673"/>
    <w:rsid w:val="499236D4"/>
    <w:rsid w:val="4A4E46E2"/>
    <w:rsid w:val="63140C79"/>
    <w:rsid w:val="718C15FA"/>
    <w:rsid w:val="7434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2450</Words>
  <Characters>2565</Characters>
  <Lines>0</Lines>
  <Paragraphs>0</Paragraphs>
  <TotalTime>32</TotalTime>
  <ScaleCrop>false</ScaleCrop>
  <LinksUpToDate>false</LinksUpToDate>
  <CharactersWithSpaces>2565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2024-01-05T01:58:00Z</dcterms:created>
  <dc:creator>亮剑</dc:creator>
  <cp:lastModifiedBy>亮剑</cp:lastModifiedBy>
  <dcterms:modified xsi:type="dcterms:W3CDTF">2024-07-02T01:42:46Z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BD9EA982B21E4D15B25A10B73F2EC51C_13</vt:lpwstr>
  </property>
</Properties>
</file>