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5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序</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lang w:eastAsia="zh-CN"/>
        </w:rPr>
        <w:t>言</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桓台县自然资源局作为机构改革新组建政府部门，依据《中共桓台县委办公室</w:t>
      </w:r>
      <w:r>
        <w:rPr>
          <w:rFonts w:hint="eastAsia" w:ascii="仿宋_GB2312" w:hAnsi="仿宋_GB2312" w:eastAsia="仿宋_GB2312" w:cs="仿宋_GB2312"/>
          <w:sz w:val="32"/>
          <w:szCs w:val="40"/>
          <w:lang w:val="en-US" w:eastAsia="zh-CN"/>
        </w:rPr>
        <w:t xml:space="preserve"> 桓台县人民政府办公室关于印发〈桓台县自然资源局职能配置、内设机构和人员编制规定〉的通知</w:t>
      </w:r>
      <w:r>
        <w:rPr>
          <w:rFonts w:hint="eastAsia" w:ascii="仿宋_GB2312" w:hAnsi="仿宋_GB2312" w:eastAsia="仿宋_GB2312" w:cs="仿宋_GB2312"/>
          <w:sz w:val="32"/>
          <w:szCs w:val="40"/>
          <w:lang w:eastAsia="zh-CN"/>
        </w:rPr>
        <w:t>》，按照《桓</w:t>
      </w:r>
      <w:bookmarkStart w:id="0" w:name="_GoBack"/>
      <w:bookmarkEnd w:id="0"/>
      <w:r>
        <w:rPr>
          <w:rFonts w:hint="eastAsia" w:ascii="仿宋_GB2312" w:hAnsi="仿宋_GB2312" w:eastAsia="仿宋_GB2312" w:cs="仿宋_GB2312"/>
          <w:sz w:val="32"/>
          <w:szCs w:val="40"/>
          <w:lang w:eastAsia="zh-CN"/>
        </w:rPr>
        <w:t>台县人民政府办公室关于实施流程再造推进“一窗受理</w:t>
      </w:r>
      <w:r>
        <w:rPr>
          <w:rFonts w:hint="eastAsia" w:ascii="仿宋_GB2312" w:hAnsi="仿宋_GB2312" w:eastAsia="仿宋_GB2312" w:cs="仿宋_GB2312"/>
          <w:sz w:val="32"/>
          <w:szCs w:val="40"/>
          <w:lang w:val="en-US" w:eastAsia="zh-CN"/>
        </w:rPr>
        <w:t>·一次办好</w:t>
      </w:r>
      <w:r>
        <w:rPr>
          <w:rFonts w:hint="eastAsia" w:ascii="仿宋_GB2312" w:hAnsi="仿宋_GB2312" w:eastAsia="仿宋_GB2312" w:cs="仿宋_GB2312"/>
          <w:sz w:val="32"/>
          <w:szCs w:val="40"/>
          <w:lang w:eastAsia="zh-CN"/>
        </w:rPr>
        <w:t>”改革的实施意见》（桓政办字〔</w:t>
      </w:r>
      <w:r>
        <w:rPr>
          <w:rFonts w:hint="eastAsia" w:ascii="仿宋_GB2312" w:hAnsi="仿宋_GB2312" w:eastAsia="仿宋_GB2312" w:cs="仿宋_GB2312"/>
          <w:sz w:val="32"/>
          <w:szCs w:val="40"/>
          <w:lang w:val="en-US" w:eastAsia="zh-CN"/>
        </w:rPr>
        <w:t>2019〕37号</w:t>
      </w:r>
      <w:r>
        <w:rPr>
          <w:rFonts w:hint="eastAsia" w:ascii="仿宋_GB2312" w:hAnsi="仿宋_GB2312" w:eastAsia="仿宋_GB2312" w:cs="仿宋_GB2312"/>
          <w:sz w:val="32"/>
          <w:szCs w:val="40"/>
          <w:lang w:eastAsia="zh-CN"/>
        </w:rPr>
        <w:t>）有关要求，对本部门涉及的行政许可、行政确认、行政裁决、行政检查、行政处罚、行政奖励、公共服务、其他行政权力等依申请行政权力事项和依申请办理的公共服务事项进行政务服务标准化梳理，组织讨论、修改、完善后，制定了流程图，旨在实现职责履行过程“程序化、标准化、信息化、制度化”，实现“一窗受理</w:t>
      </w:r>
      <w:r>
        <w:rPr>
          <w:rFonts w:hint="eastAsia" w:ascii="仿宋_GB2312" w:hAnsi="仿宋_GB2312" w:eastAsia="仿宋_GB2312" w:cs="仿宋_GB2312"/>
          <w:sz w:val="32"/>
          <w:szCs w:val="40"/>
          <w:lang w:val="en-US" w:eastAsia="zh-CN"/>
        </w:rPr>
        <w:t>·一次办好</w:t>
      </w:r>
      <w:r>
        <w:rPr>
          <w:rFonts w:hint="eastAsia" w:ascii="仿宋_GB2312" w:hAnsi="仿宋_GB2312" w:eastAsia="仿宋_GB2312" w:cs="仿宋_GB2312"/>
          <w:sz w:val="32"/>
          <w:szCs w:val="40"/>
          <w:lang w:eastAsia="zh-CN"/>
        </w:rPr>
        <w:t>”的工作服务目标。现予以印发试行，试行期间如有问题，请及时反馈以便调整完善。同时，根据本级权责清单梳理发布情况和法律、法规、政策变动情况，桓台县自然资源局将及时对政务服务事项基本目录、实施流程进行调整、发布。</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jc w:val="center"/>
        <w:textAlignment w:val="auto"/>
        <w:rPr>
          <w:rFonts w:hint="eastAsia" w:asciiTheme="majorEastAsia" w:hAnsiTheme="majorEastAsia" w:eastAsiaTheme="majorEastAsia" w:cstheme="majorEastAsia"/>
          <w:b/>
          <w:bCs/>
          <w:sz w:val="30"/>
          <w:szCs w:val="30"/>
          <w:lang w:val="en-US" w:eastAsia="zh-CN"/>
        </w:rPr>
        <w:sectPr>
          <w:pgSz w:w="11906" w:h="16838"/>
          <w:pgMar w:top="1440" w:right="1800" w:bottom="1440" w:left="1800" w:header="851" w:footer="992" w:gutter="0"/>
          <w:cols w:space="425" w:num="1"/>
          <w:docGrid w:type="lines" w:linePitch="312" w:charSpace="0"/>
        </w:sectPr>
      </w:pP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jc w:val="center"/>
        <w:textAlignment w:val="auto"/>
        <w:rPr>
          <w:rFonts w:hint="eastAsia"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目  录</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jc w:val="center"/>
        <w:textAlignment w:val="auto"/>
        <w:rPr>
          <w:rFonts w:hint="eastAsia" w:asciiTheme="majorEastAsia" w:hAnsiTheme="majorEastAsia" w:eastAsiaTheme="majorEastAsia" w:cstheme="majorEastAsia"/>
          <w:b/>
          <w:bCs/>
          <w:sz w:val="30"/>
          <w:szCs w:val="30"/>
          <w:lang w:val="en-US" w:eastAsia="zh-CN"/>
        </w:rPr>
      </w:pP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_Toc17563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依申请政府信息公开</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_Toc7541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对在城乡规划编制和管理工作中作出突出贡献的单位和个人的奖励事项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_Toc21319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挂牌出让工业用地（存量）</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_Toc24862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24"/>
        </w:rPr>
        <w:t>挂牌出让工业用地（新增）</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_Toc6245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对在耕地保护目标责任制考核和基本农田保护工作中取得显著成绩的单位和个人给予奖励的业务</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_Toc17434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对耕地保护责任目标落实情况的检查事项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_Toc12426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对永久基本农田保护情况的检查事项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_Toc12289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建设项目用地以有偿方式使用国有建设用地审查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_Toc26873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土地闲置费征收事项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_Toc18150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土地开垦区内开发未确定使用权的国有土地从事生产审查事项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_Toc17876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国有土地使用权收回审批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_Toc9558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土地租赁费征收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_Toc16030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国有土地租赁审查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_Toc9548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建设用地改变用途审核</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_Toc3039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以划拨方式取得的土地使用权转让审查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_Toc12738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土地整治项目</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_Toc30451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在土地调查工作中做出突出贡献的单位和个人的奖励行政奖励事项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_Toc30662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土地所有权和使用权争议处理行政裁决事项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_Toc26943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对在森林病虫害防治工作中有显著成绩的单位和个人的奖励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_Toc25240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对在野生动物保护管理工作中有特殊贡献的单位或者个人的奖励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_Toc26303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对在自然保护区管理、资源保护和科学研究工作中做出突出成绩的单位和个人奖励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_Toc18914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对采集国家重点保护野生植物的活动及经营利用国家二级保护野生植物活动的监督检查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_Toc20767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对自然保护区的管理进行监督检查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_Toc27435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对风景名胜区的规划实施情况、资源保护状况进行监督检查和评估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_Toc2225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对陆生野生动物疫源疫病监测</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_Toc15440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对科学研究、人工繁育、公众展示展演等利用野生动物及其制品的活动进行监督管理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_Toc20302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 w:val="0"/>
          <w:bCs/>
          <w:color w:val="auto"/>
          <w:sz w:val="24"/>
          <w:szCs w:val="24"/>
          <w:lang w:eastAsia="zh-CN"/>
        </w:rPr>
        <w:t>出售、购买、利用重点保护野生动物及其制品</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_Toc21878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对采伐作业质量的检查验收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_Toc27531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对草种生产、加工、检疫、检验的监督管理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_Toc15827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对侵犯植物新品种权行为的调解</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_Toc7895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对湿地资源的保护利用进行监督检查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_Toc29670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对在种质资源保护工作和良种选育、推广等工作中成绩显著的单位和个人给予奖励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_Toc19797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对种子质量的检查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_Toc13408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对古树名木保护方案的备案</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_Toc28073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森林更新检查验收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_Toc23871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在湿地保护范围内从事捕捞、放牧、采集、收割、养殖、旅游等活动的监督检查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_Toc25928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人工繁育重点保护野生动物许可</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_Toc18454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外国人对重点保护野生动物进行野外考察或者在野外拍摄电影、录像审批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_Toc30454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种子生产经营者在种子生产经营许可证载明的有效区域设立分支机构的，专门经营不再分装的包装种子的，或者受具有种子生产经营许可证的种子生产经营者以书面委托生产、代销其种子的备案</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_Toc1948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古生物化石收藏单位重点保护古生物化石档案备案</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_Toc31631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采矿权抵押备案（县局审核）</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_Toc29942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采矿权抵押备案（县局审</w:t>
      </w:r>
      <w:r>
        <w:rPr>
          <w:rFonts w:hint="eastAsia" w:asciiTheme="majorEastAsia" w:hAnsiTheme="majorEastAsia" w:eastAsiaTheme="majorEastAsia" w:cstheme="majorEastAsia"/>
          <w:bCs w:val="0"/>
          <w:sz w:val="24"/>
          <w:szCs w:val="24"/>
          <w:lang w:val="en-US" w:eastAsia="zh-CN"/>
        </w:rPr>
        <w:t>批</w:t>
      </w:r>
      <w:r>
        <w:rPr>
          <w:rFonts w:hint="eastAsia" w:asciiTheme="majorEastAsia" w:hAnsiTheme="majorEastAsia" w:eastAsiaTheme="majorEastAsia" w:cstheme="majorEastAsia"/>
          <w:bCs w:val="0"/>
          <w:sz w:val="24"/>
          <w:szCs w:val="24"/>
        </w:rPr>
        <w:t>）</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_Toc29742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矿山闭坑地质报告审批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_Toc12975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采矿权转让变更业务审批（省市审批）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_Toc1889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采矿权转让变更业务审批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_Toc19104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矿业权新设、延续、变更、转让、注销审批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_Toc10004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划定矿区范围审批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_Toc8339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对不按期缴纳应当缴纳费用的加收滞纳金</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_Toc17202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矿产资源储量评审备案</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_Toc15082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矿产资源储量登记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_Toc20021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地质灾害气象风险预警预报事项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_Toc6510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地质灾害治理责任认定行政确认事项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_Toc2857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地质环境监测监督检查事项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_Toc21432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森林火灾隐患监督检查事项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_Toc6393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古生物化石收藏单位监督</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_Toc17369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古生物化石保护的管理和监督检查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56</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_Toc3330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古生物化石发掘活动的监督检查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_Toc26397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地质灾害资质单位监督检查事项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_Toc16179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矿山地质环境监测监督检查事项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_Toc11818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地质灾害防治工作监督检查事项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_Toc15436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矿山地质环境监测监督检查事项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_Toc32452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矿山地质环境保护与治理恢复义务情况监督检查事项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_Toc14071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矿产资源勘查开采的监督管理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_Toc31993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rPr>
        <w:t>矿业权出让收益征收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_Toc22228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矿业权占用费征收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_Toc7823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地质遗迹保护监督检查事项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_Toc31916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在保护古生物化石工作方面的奖励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67</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_Toc25309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对森林防火工作先进单位或者个人的奖励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_Toc3425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对在勘查、开发、保护矿产资源和进行科学技术研究的奖励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_Toc6781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对在保护永久性测量标志工作中做出显著成绩的单位和个人的奖励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_Toc8545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国家基础测绘成果资料提供使用审批</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_Toc17783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测绘成果质量的监督检查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_Toc9377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测绘项目登记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_Toc977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测绘资质巡查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_Toc4965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对测绘成果管理做出重大贡献或者显著成绩的单位和个人的奖励</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_Toc13234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对地图编制</w:t>
      </w:r>
      <w:r>
        <w:rPr>
          <w:rFonts w:hint="eastAsia" w:asciiTheme="majorEastAsia" w:hAnsiTheme="majorEastAsia" w:eastAsiaTheme="majorEastAsia" w:cstheme="majorEastAsia"/>
          <w:bCs w:val="0"/>
          <w:spacing w:val="-17"/>
          <w:sz w:val="24"/>
          <w:szCs w:val="24"/>
          <w:lang w:val="en-US" w:eastAsia="zh-CN"/>
        </w:rPr>
        <w:t>、</w:t>
      </w:r>
      <w:r>
        <w:rPr>
          <w:rFonts w:hint="eastAsia" w:asciiTheme="majorEastAsia" w:hAnsiTheme="majorEastAsia" w:eastAsiaTheme="majorEastAsia" w:cstheme="majorEastAsia"/>
          <w:bCs w:val="0"/>
          <w:sz w:val="24"/>
          <w:szCs w:val="24"/>
          <w:lang w:val="en-US" w:eastAsia="zh-CN"/>
        </w:rPr>
        <w:t>出版</w:t>
      </w:r>
      <w:r>
        <w:rPr>
          <w:rFonts w:hint="eastAsia" w:asciiTheme="majorEastAsia" w:hAnsiTheme="majorEastAsia" w:eastAsiaTheme="majorEastAsia" w:cstheme="majorEastAsia"/>
          <w:bCs w:val="0"/>
          <w:spacing w:val="-17"/>
          <w:sz w:val="24"/>
          <w:szCs w:val="24"/>
          <w:lang w:val="en-US" w:eastAsia="zh-CN"/>
        </w:rPr>
        <w:t>、</w:t>
      </w:r>
      <w:r>
        <w:rPr>
          <w:rFonts w:hint="eastAsia" w:asciiTheme="majorEastAsia" w:hAnsiTheme="majorEastAsia" w:eastAsiaTheme="majorEastAsia" w:cstheme="majorEastAsia"/>
          <w:bCs w:val="0"/>
          <w:sz w:val="24"/>
          <w:szCs w:val="24"/>
          <w:lang w:val="en-US" w:eastAsia="zh-CN"/>
        </w:rPr>
        <w:t>展示</w:t>
      </w:r>
      <w:r>
        <w:rPr>
          <w:rFonts w:hint="eastAsia" w:asciiTheme="majorEastAsia" w:hAnsiTheme="majorEastAsia" w:eastAsiaTheme="majorEastAsia" w:cstheme="majorEastAsia"/>
          <w:bCs w:val="0"/>
          <w:spacing w:val="-17"/>
          <w:sz w:val="24"/>
          <w:szCs w:val="24"/>
          <w:lang w:val="en-US" w:eastAsia="zh-CN"/>
        </w:rPr>
        <w:t>、</w:t>
      </w:r>
      <w:r>
        <w:rPr>
          <w:rFonts w:hint="eastAsia" w:asciiTheme="majorEastAsia" w:hAnsiTheme="majorEastAsia" w:eastAsiaTheme="majorEastAsia" w:cstheme="majorEastAsia"/>
          <w:bCs w:val="0"/>
          <w:sz w:val="24"/>
          <w:szCs w:val="24"/>
          <w:lang w:val="en-US" w:eastAsia="zh-CN"/>
        </w:rPr>
        <w:t>登载</w:t>
      </w:r>
      <w:r>
        <w:rPr>
          <w:rFonts w:hint="eastAsia" w:asciiTheme="majorEastAsia" w:hAnsiTheme="majorEastAsia" w:eastAsiaTheme="majorEastAsia" w:cstheme="majorEastAsia"/>
          <w:bCs w:val="0"/>
          <w:spacing w:val="-17"/>
          <w:sz w:val="24"/>
          <w:szCs w:val="24"/>
          <w:lang w:val="en-US" w:eastAsia="zh-CN"/>
        </w:rPr>
        <w:t>、</w:t>
      </w:r>
      <w:r>
        <w:rPr>
          <w:rFonts w:hint="eastAsia" w:asciiTheme="majorEastAsia" w:hAnsiTheme="majorEastAsia" w:eastAsiaTheme="majorEastAsia" w:cstheme="majorEastAsia"/>
          <w:bCs w:val="0"/>
          <w:sz w:val="24"/>
          <w:szCs w:val="24"/>
          <w:lang w:val="en-US" w:eastAsia="zh-CN"/>
        </w:rPr>
        <w:t>生产</w:t>
      </w:r>
      <w:r>
        <w:rPr>
          <w:rFonts w:hint="eastAsia" w:asciiTheme="majorEastAsia" w:hAnsiTheme="majorEastAsia" w:eastAsiaTheme="majorEastAsia" w:cstheme="majorEastAsia"/>
          <w:bCs w:val="0"/>
          <w:spacing w:val="-17"/>
          <w:sz w:val="24"/>
          <w:szCs w:val="24"/>
          <w:lang w:val="en-US" w:eastAsia="zh-CN"/>
        </w:rPr>
        <w:t>、</w:t>
      </w:r>
      <w:r>
        <w:rPr>
          <w:rFonts w:hint="eastAsia" w:asciiTheme="majorEastAsia" w:hAnsiTheme="majorEastAsia" w:eastAsiaTheme="majorEastAsia" w:cstheme="majorEastAsia"/>
          <w:bCs w:val="0"/>
          <w:sz w:val="24"/>
          <w:szCs w:val="24"/>
          <w:lang w:val="en-US" w:eastAsia="zh-CN"/>
        </w:rPr>
        <w:t>销售</w:t>
      </w:r>
      <w:r>
        <w:rPr>
          <w:rFonts w:hint="eastAsia" w:asciiTheme="majorEastAsia" w:hAnsiTheme="majorEastAsia" w:eastAsiaTheme="majorEastAsia" w:cstheme="majorEastAsia"/>
          <w:bCs w:val="0"/>
          <w:spacing w:val="-17"/>
          <w:sz w:val="24"/>
          <w:szCs w:val="24"/>
          <w:lang w:val="en-US" w:eastAsia="zh-CN"/>
        </w:rPr>
        <w:t>、</w:t>
      </w:r>
      <w:r>
        <w:rPr>
          <w:rFonts w:hint="eastAsia" w:asciiTheme="majorEastAsia" w:hAnsiTheme="majorEastAsia" w:eastAsiaTheme="majorEastAsia" w:cstheme="majorEastAsia"/>
          <w:bCs w:val="0"/>
          <w:sz w:val="24"/>
          <w:szCs w:val="24"/>
          <w:lang w:val="en-US" w:eastAsia="zh-CN"/>
        </w:rPr>
        <w:t>进口</w:t>
      </w:r>
      <w:r>
        <w:rPr>
          <w:rFonts w:hint="eastAsia" w:asciiTheme="majorEastAsia" w:hAnsiTheme="majorEastAsia" w:eastAsiaTheme="majorEastAsia" w:cstheme="majorEastAsia"/>
          <w:bCs w:val="0"/>
          <w:spacing w:val="-17"/>
          <w:sz w:val="24"/>
          <w:szCs w:val="24"/>
          <w:lang w:val="en-US" w:eastAsia="zh-CN"/>
        </w:rPr>
        <w:t>、</w:t>
      </w:r>
      <w:r>
        <w:rPr>
          <w:rFonts w:hint="eastAsia" w:asciiTheme="majorEastAsia" w:hAnsiTheme="majorEastAsia" w:eastAsiaTheme="majorEastAsia" w:cstheme="majorEastAsia"/>
          <w:bCs w:val="0"/>
          <w:sz w:val="24"/>
          <w:szCs w:val="24"/>
          <w:lang w:val="en-US" w:eastAsia="zh-CN"/>
        </w:rPr>
        <w:t>出口等活动的监督检查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_Toc8804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来华测绘的外国组织和个人的监督管理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_Toc29041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建设项目用地以划拨方式使用存量国有土地审查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_Toc21777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建设项目用地以划拨方式使用新增国有土地审查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_Toc4424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临时用地审核</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_Toc23304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农村集体经济组织兴办企业使用集体建设用地审核</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_Toc10124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乡（镇）村公共设施、公益事业使用集体建设用地审核</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_Toc5609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规划查询</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_Toc7049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建设工程规划验线</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_Toc29492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建设工程规划许可证</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_Toc25215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建设工程竣工规划核实认可书</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_Toc25060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建设项目用地预审与选址意见书</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_Toc11096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建设用地规划许可</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_Toc10698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临时建设工程规划许可证</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_Toc18682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临时建设用地规划许可</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_Toc23303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建设工程规划许可证</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_Toc22646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自然资源违法案件查处</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_Toc32278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自然资源行政强制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_Toc18782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土地矿产卫片执法检查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_Toc12600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国有建设用地使用权出让后土地使用权分割转让批准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_Toc25091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依法查询、复制不动产登记资料</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_Toc1612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集体土地所有权首次登记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_Toc26218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集体土地所有权变更登记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98</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_Toc19538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集体土地所有权转移登记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9</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_Toc65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集体土地所有权注销登记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_Toc2609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国有建设用地使用权首次登记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_Toc14103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国有建设用地使用权变更登记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_Toc23669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国有建设用地使用权转移登记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_Toc924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国有建设用地使用权注销登记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_Toc13848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集体建设用地使用权及建筑物、构筑物所有权首次登记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_Toc7616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集体建设用地使用权及建筑物、构筑物所有权变更/转移/注销登记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_Toc17568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宅基地使用权及房屋所有权首次登记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_Toc25831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宅基地使用权及房屋所有权变更/转移/注销登记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08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_Toc31248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国有建设用地使用权及房屋所有权首次登记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109</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_Toc31366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国有建设用地使用权及房屋所有权变更登记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_Toc4993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国有建设用地使用权及房屋所有权转移登记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_Toc10985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国有建设用地使用权及房屋所有权注销登记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_Toc26972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海域使用权及建筑物、构筑物所有权首次/变更/转移/注销登记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13</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_Toc23795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国有农用地的使用权登记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14</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_Toc32395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国有林地使用权登记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15</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_Toc18712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地役权登记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16</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_Toc11811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抵押权登记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17</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_Toc30942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更正登记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18</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_Toc4938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异议登记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119</w:t>
      </w:r>
      <w:r>
        <w:rPr>
          <w:rFonts w:hint="eastAsia" w:asciiTheme="majorEastAsia" w:hAnsiTheme="majorEastAsia" w:eastAsiaTheme="majorEastAsia" w:cstheme="majorEastAsia"/>
          <w:sz w:val="24"/>
          <w:szCs w:val="24"/>
        </w:rPr>
        <w:fldChar w:fldCharType="end"/>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_Toc23460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预告登记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20</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_Toc25961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val="0"/>
          <w:sz w:val="24"/>
          <w:szCs w:val="24"/>
          <w:lang w:val="en-US" w:eastAsia="zh-CN"/>
        </w:rPr>
        <w:t>查封登记</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21</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default"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rPr>
        <w:t>变更规划条件备案业务流程</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122</w:t>
      </w:r>
    </w:p>
    <w:p>
      <w:pPr>
        <w:pStyle w:val="4"/>
        <w:keepNext w:val="0"/>
        <w:keepLines w:val="0"/>
        <w:pageBreakBefore w:val="0"/>
        <w:widowControl/>
        <w:tabs>
          <w:tab w:val="right" w:leader="dot" w:pos="8306"/>
        </w:tabs>
        <w:kinsoku/>
        <w:wordWrap/>
        <w:overflowPunct/>
        <w:topLinePunct w:val="0"/>
        <w:autoSpaceDE/>
        <w:autoSpaceDN/>
        <w:bidi w:val="0"/>
        <w:adjustRightInd/>
        <w:snapToGrid/>
        <w:spacing w:line="410" w:lineRule="exact"/>
        <w:textAlignment w:val="auto"/>
        <w:rPr>
          <w:rFonts w:hint="default"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rPr>
        <w:t>城乡规划编制单位超越资质等级许可的范围承揽城乡规划编制工作的,违法国家有关标准编制城乡规划的,未依法取得资质证书承揽城乡规划编制工作的和以欺骗手段取得资质证书承揽城乡规划编制工作的处罚</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lang w:val="en-US" w:eastAsia="zh-CN"/>
        </w:rPr>
        <w:t>123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E63C6"/>
    <w:rsid w:val="2C6E63C6"/>
    <w:rsid w:val="46ED3A32"/>
    <w:rsid w:val="6B41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2020-02-28T01:48:00Z</dcterms:created>
  <dc:creator>admin</dc:creator>
  <cp:lastModifiedBy>Administrator</cp:lastModifiedBy>
  <cp:lastPrinted>2020-02-29T00:40:00Z</cp:lastPrinted>
  <dcterms:modified xsi:type="dcterms:W3CDTF">2020-03-02T06:09:15Z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