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桓台县自然资源局</w:t>
      </w:r>
    </w:p>
    <w:p>
      <w:pPr>
        <w:jc w:val="center"/>
        <w:rPr>
          <w:rFonts w:hint="eastAsia" w:asciiTheme="minorEastAsia" w:hAnsiTheme="minorEastAsia"/>
          <w:b/>
          <w:sz w:val="36"/>
          <w:szCs w:val="36"/>
        </w:rPr>
      </w:pPr>
      <w:r>
        <w:rPr>
          <w:rFonts w:hint="eastAsia" w:asciiTheme="minorEastAsia" w:hAnsiTheme="minorEastAsia"/>
          <w:b/>
          <w:sz w:val="36"/>
          <w:szCs w:val="36"/>
        </w:rPr>
        <w:t>2022年政府信息公开工作年度报告</w:t>
      </w:r>
    </w:p>
    <w:p>
      <w:pPr>
        <w:jc w:val="center"/>
        <w:rPr>
          <w:rFonts w:hint="eastAsia"/>
        </w:rPr>
      </w:pPr>
    </w:p>
    <w:p>
      <w:pPr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  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本年度报告根据《中华人民共和国政府信息公开条例》和《国务院办公厅政府信息与政务公开办公室关于印发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&lt;中华人民共和国信息公开工作年度报告格式&gt;的通知》（国办公开办函[2021]30号）相关要求编制。报告</w:t>
      </w:r>
      <w:r>
        <w:rPr>
          <w:rFonts w:hint="eastAsia" w:ascii="仿宋_GB2312" w:hAnsi="黑体" w:eastAsia="仿宋_GB2312"/>
          <w:sz w:val="32"/>
          <w:szCs w:val="32"/>
          <w:lang w:eastAsia="zh-CN"/>
        </w:rPr>
        <w:t>中所列数据的统计期限自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2022年1月1日起，至2022年12月31日止。如对报告内容有疑问，请与桓台县自然资源局联系（地址：桓台县索镇中心大街729号;邮编：256400;邮箱：htxgtjxxzx@zb.shandong.cn）。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一、总体情况</w:t>
      </w:r>
    </w:p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shd w:val="clear" w:color="auto" w:fill="FFFFFF"/>
        </w:rPr>
        <w:t xml:space="preserve">    </w:t>
      </w:r>
      <w:r>
        <w:rPr>
          <w:rFonts w:hint="eastAsia" w:ascii="仿宋" w:hAnsi="仿宋" w:eastAsia="仿宋" w:cs="Times New Roman"/>
          <w:sz w:val="32"/>
          <w:szCs w:val="32"/>
        </w:rPr>
        <w:t>2022年，我局高度重视政府信息公开工作，认真贯彻《</w:t>
      </w:r>
      <w:r>
        <w:rPr>
          <w:rFonts w:hint="eastAsia" w:ascii="仿宋_GB2312" w:hAnsi="黑体" w:eastAsia="仿宋_GB2312"/>
          <w:sz w:val="32"/>
          <w:szCs w:val="32"/>
        </w:rPr>
        <w:t>中华人民共和国政府信息公开条例</w:t>
      </w:r>
      <w:r>
        <w:rPr>
          <w:rFonts w:hint="eastAsia" w:ascii="仿宋" w:hAnsi="仿宋" w:eastAsia="仿宋" w:cs="Times New Roman"/>
          <w:sz w:val="32"/>
          <w:szCs w:val="32"/>
        </w:rPr>
        <w:t>》规定要求，</w:t>
      </w:r>
      <w:r>
        <w:rPr>
          <w:rFonts w:hint="eastAsia" w:ascii="仿宋" w:hAnsi="仿宋" w:eastAsia="仿宋"/>
          <w:spacing w:val="-2"/>
          <w:kern w:val="0"/>
          <w:sz w:val="32"/>
          <w:szCs w:val="32"/>
        </w:rPr>
        <w:t>严格落实上级部门对政府信息“公开为常态，不公开为例外”的要求，尤其是涉及自然资源领域群众比较关心的事项，坚持真实全面、及时便民的原则，及时全面的公开政府信息，做到临时性政府信息及时公开，阶段性政府信息定期公开，努力打造公开、透明、高效的</w:t>
      </w:r>
      <w:r>
        <w:rPr>
          <w:rFonts w:hint="eastAsia" w:ascii="仿宋" w:hAnsi="仿宋" w:eastAsia="仿宋"/>
          <w:spacing w:val="-2"/>
          <w:kern w:val="0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spacing w:val="-2"/>
          <w:kern w:val="0"/>
          <w:sz w:val="32"/>
          <w:szCs w:val="32"/>
        </w:rPr>
        <w:t>形象</w:t>
      </w:r>
      <w:r>
        <w:rPr>
          <w:rFonts w:hint="eastAsia" w:ascii="仿宋" w:hAnsi="仿宋" w:eastAsia="仿宋" w:cs="Times New Roman"/>
          <w:sz w:val="32"/>
          <w:szCs w:val="32"/>
        </w:rPr>
        <w:t>。</w:t>
      </w:r>
    </w:p>
    <w:p>
      <w:pPr>
        <w:spacing w:line="640" w:lineRule="exact"/>
        <w:ind w:firstLine="643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仿宋" w:hAnsi="仿宋" w:eastAsia="仿宋" w:cs="Times New Roman"/>
          <w:b/>
          <w:bCs/>
          <w:sz w:val="32"/>
          <w:szCs w:val="32"/>
        </w:rPr>
        <w:t>1</w:t>
      </w:r>
      <w:r>
        <w:rPr>
          <w:rFonts w:hint="eastAsia" w:ascii="仿宋" w:hAnsi="仿宋" w:eastAsia="仿宋" w:cs="Times New Roman"/>
          <w:b/>
          <w:bCs/>
          <w:sz w:val="32"/>
          <w:szCs w:val="32"/>
          <w:lang w:eastAsia="zh-CN"/>
        </w:rPr>
        <w:t>、</w:t>
      </w:r>
      <w:r>
        <w:rPr>
          <w:rFonts w:ascii="仿宋" w:hAnsi="仿宋" w:eastAsia="仿宋" w:cs="Times New Roman"/>
          <w:b/>
          <w:bCs/>
          <w:sz w:val="32"/>
          <w:szCs w:val="32"/>
        </w:rPr>
        <w:t>主动公开。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根据</w:t>
      </w:r>
      <w:r>
        <w:rPr>
          <w:rFonts w:ascii="仿宋" w:hAnsi="仿宋" w:eastAsia="仿宋" w:cs="Times New Roman"/>
          <w:sz w:val="32"/>
          <w:szCs w:val="32"/>
        </w:rPr>
        <w:t>《</w:t>
      </w:r>
      <w:r>
        <w:rPr>
          <w:rFonts w:hint="eastAsia" w:ascii="仿宋_GB2312" w:hAnsi="黑体" w:eastAsia="仿宋_GB2312"/>
          <w:sz w:val="32"/>
          <w:szCs w:val="32"/>
        </w:rPr>
        <w:t>中华人民共和国政府信息公开条例</w:t>
      </w:r>
      <w:r>
        <w:rPr>
          <w:rFonts w:ascii="仿宋" w:hAnsi="仿宋" w:eastAsia="仿宋" w:cs="Times New Roman"/>
          <w:sz w:val="32"/>
          <w:szCs w:val="32"/>
        </w:rPr>
        <w:t>》</w:t>
      </w:r>
      <w:r>
        <w:rPr>
          <w:rFonts w:ascii="Times New Roman" w:hAnsi="Times New Roman" w:eastAsia="仿宋" w:cs="Times New Roman"/>
          <w:sz w:val="32"/>
          <w:szCs w:val="32"/>
        </w:rPr>
        <w:t xml:space="preserve"> </w:t>
      </w:r>
      <w:r>
        <w:rPr>
          <w:rFonts w:ascii="仿宋" w:hAnsi="仿宋" w:eastAsia="仿宋" w:cs="Times New Roman"/>
          <w:sz w:val="32"/>
          <w:szCs w:val="32"/>
        </w:rPr>
        <w:t>第二十条和第二十一条规定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要求，我局制定了</w:t>
      </w:r>
      <w:r>
        <w:rPr>
          <w:rFonts w:ascii="仿宋" w:hAnsi="仿宋" w:eastAsia="仿宋" w:cs="Times New Roman"/>
          <w:sz w:val="32"/>
          <w:szCs w:val="32"/>
        </w:rPr>
        <w:t>政府信息公开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工作</w:t>
      </w:r>
      <w:r>
        <w:rPr>
          <w:rFonts w:ascii="仿宋" w:hAnsi="仿宋" w:eastAsia="仿宋" w:cs="Times New Roman"/>
          <w:sz w:val="32"/>
          <w:szCs w:val="32"/>
        </w:rPr>
        <w:t>制度</w:t>
      </w:r>
      <w:r>
        <w:rPr>
          <w:rFonts w:hint="eastAsia" w:ascii="仿宋" w:hAnsi="仿宋" w:eastAsia="仿宋" w:cs="Times New Roman"/>
          <w:sz w:val="32"/>
          <w:szCs w:val="32"/>
          <w:lang w:eastAsia="zh-CN"/>
        </w:rPr>
        <w:t>、实施方案和相关的培训计划，以</w:t>
      </w:r>
      <w:r>
        <w:rPr>
          <w:rFonts w:hint="eastAsia" w:ascii="Times New Roman" w:hAnsi="Times New Roman" w:eastAsia="仿宋" w:cs="Times New Roman"/>
          <w:sz w:val="32"/>
          <w:szCs w:val="32"/>
          <w:lang w:eastAsia="zh-CN"/>
        </w:rPr>
        <w:t>保障政府信息公开工作落实到位，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2022年政府网站共发布</w:t>
      </w:r>
      <w:r>
        <w:rPr>
          <w:rFonts w:ascii="仿宋" w:hAnsi="仿宋" w:eastAsia="仿宋" w:cs="Times New Roman"/>
          <w:sz w:val="32"/>
          <w:szCs w:val="32"/>
        </w:rPr>
        <w:t>信息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381条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spacing w:line="640" w:lineRule="exact"/>
        <w:ind w:firstLine="643" w:firstLineChars="200"/>
        <w:rPr>
          <w:rFonts w:hint="eastAsia" w:ascii="仿宋" w:hAnsi="仿宋" w:eastAsia="仿宋"/>
          <w:spacing w:val="-2"/>
          <w:kern w:val="0"/>
          <w:sz w:val="32"/>
          <w:szCs w:val="32"/>
          <w:lang w:eastAsia="zh-CN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、</w:t>
      </w:r>
      <w:r>
        <w:rPr>
          <w:rFonts w:ascii="仿宋" w:hAnsi="仿宋" w:eastAsia="仿宋" w:cs="Times New Roman"/>
          <w:b/>
          <w:bCs/>
          <w:sz w:val="32"/>
          <w:szCs w:val="32"/>
        </w:rPr>
        <w:t>依申请公开。</w:t>
      </w:r>
      <w:r>
        <w:rPr>
          <w:rFonts w:hint="eastAsia" w:ascii="仿宋" w:hAnsi="仿宋" w:eastAsia="仿宋"/>
          <w:spacing w:val="-2"/>
          <w:kern w:val="0"/>
          <w:sz w:val="32"/>
          <w:szCs w:val="32"/>
        </w:rPr>
        <w:t>从申请的信息内容来看，</w:t>
      </w:r>
      <w:r>
        <w:rPr>
          <w:rFonts w:hint="eastAsia" w:ascii="仿宋" w:hAnsi="仿宋" w:eastAsia="仿宋"/>
          <w:spacing w:val="-2"/>
          <w:kern w:val="0"/>
          <w:sz w:val="32"/>
          <w:szCs w:val="32"/>
          <w:lang w:eastAsia="zh-CN"/>
        </w:rPr>
        <w:t>要求公开的内容逐年增多。</w:t>
      </w:r>
      <w:r>
        <w:rPr>
          <w:rFonts w:hint="eastAsia" w:ascii="仿宋" w:hAnsi="仿宋" w:eastAsia="仿宋"/>
          <w:spacing w:val="-2"/>
          <w:kern w:val="0"/>
          <w:sz w:val="32"/>
          <w:szCs w:val="32"/>
        </w:rPr>
        <w:t>主要涉及</w:t>
      </w:r>
      <w:r>
        <w:rPr>
          <w:rFonts w:hint="eastAsia" w:ascii="仿宋" w:hAnsi="仿宋" w:eastAsia="仿宋"/>
          <w:spacing w:val="-2"/>
          <w:kern w:val="0"/>
          <w:sz w:val="32"/>
          <w:szCs w:val="32"/>
          <w:lang w:eastAsia="zh-CN"/>
        </w:rPr>
        <w:t>集体土地征收、土地补偿</w:t>
      </w:r>
      <w:r>
        <w:rPr>
          <w:rFonts w:hint="eastAsia" w:ascii="仿宋" w:hAnsi="仿宋" w:eastAsia="仿宋"/>
          <w:spacing w:val="-2"/>
          <w:kern w:val="0"/>
          <w:sz w:val="32"/>
          <w:szCs w:val="32"/>
        </w:rPr>
        <w:t>安置、</w:t>
      </w:r>
      <w:r>
        <w:rPr>
          <w:rFonts w:hint="eastAsia" w:ascii="仿宋" w:hAnsi="仿宋" w:eastAsia="仿宋"/>
          <w:spacing w:val="-2"/>
          <w:kern w:val="0"/>
          <w:sz w:val="32"/>
          <w:szCs w:val="32"/>
          <w:lang w:eastAsia="zh-CN"/>
        </w:rPr>
        <w:t>宅基地审批、建设工程规划许可、规划设计、变更和验收等</w:t>
      </w:r>
      <w:r>
        <w:rPr>
          <w:rFonts w:hint="eastAsia" w:ascii="仿宋" w:hAnsi="仿宋" w:eastAsia="仿宋"/>
          <w:spacing w:val="-2"/>
          <w:kern w:val="0"/>
          <w:sz w:val="32"/>
          <w:szCs w:val="32"/>
          <w:lang w:val="en-US" w:eastAsia="zh-CN"/>
        </w:rPr>
        <w:t>;</w:t>
      </w:r>
      <w:r>
        <w:rPr>
          <w:rFonts w:hint="eastAsia" w:ascii="仿宋" w:hAnsi="仿宋" w:eastAsia="仿宋"/>
          <w:spacing w:val="-2"/>
          <w:kern w:val="0"/>
          <w:sz w:val="32"/>
          <w:szCs w:val="32"/>
        </w:rPr>
        <w:t>从申请的数量来看，数量明显增多</w:t>
      </w:r>
      <w:r>
        <w:rPr>
          <w:rFonts w:hint="eastAsia" w:ascii="仿宋" w:hAnsi="仿宋" w:eastAsia="仿宋"/>
          <w:spacing w:val="-2"/>
          <w:kern w:val="0"/>
          <w:sz w:val="32"/>
          <w:szCs w:val="32"/>
          <w:lang w:val="en-US" w:eastAsia="zh-CN"/>
        </w:rPr>
        <w:t>。2022共受理申请公开31件，是2021年受理数量的3倍;</w:t>
      </w:r>
      <w:r>
        <w:rPr>
          <w:rFonts w:hint="eastAsia" w:ascii="仿宋" w:hAnsi="仿宋" w:eastAsia="仿宋"/>
          <w:spacing w:val="-2"/>
          <w:kern w:val="0"/>
          <w:sz w:val="32"/>
          <w:szCs w:val="32"/>
          <w:lang w:eastAsia="zh-CN"/>
        </w:rPr>
        <w:t>从申请的途径和形式来看，呈现多样化，有当面、来信、来电、来函、网络平台申请、政府及上级部门转办件等。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-2"/>
          <w:sz w:val="32"/>
          <w:szCs w:val="32"/>
          <w:shd w:val="clear" w:fill="FFFFFF"/>
        </w:rPr>
        <w:t>在受理的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2"/>
          <w:sz w:val="32"/>
          <w:szCs w:val="32"/>
          <w:shd w:val="clear" w:fill="FFFFFF"/>
          <w:lang w:val="en-US" w:eastAsia="zh-CN"/>
        </w:rPr>
        <w:t>31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-2"/>
          <w:sz w:val="32"/>
          <w:szCs w:val="32"/>
          <w:shd w:val="clear" w:fill="FFFFFF"/>
        </w:rPr>
        <w:t>件依申请公开政府信息中，均已答复，其中答复“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2"/>
          <w:sz w:val="32"/>
          <w:szCs w:val="32"/>
          <w:shd w:val="clear" w:fill="FFFFFF"/>
          <w:lang w:eastAsia="zh-CN"/>
        </w:rPr>
        <w:t>予以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-2"/>
          <w:sz w:val="32"/>
          <w:szCs w:val="32"/>
          <w:shd w:val="clear" w:fill="FFFFFF"/>
        </w:rPr>
        <w:t>公开”的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-2"/>
          <w:sz w:val="32"/>
          <w:szCs w:val="32"/>
          <w:shd w:val="clear" w:fill="FFFFFF"/>
          <w:lang w:val="en-US" w:eastAsia="zh-CN"/>
        </w:rPr>
        <w:t>20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-2"/>
          <w:sz w:val="32"/>
          <w:szCs w:val="32"/>
          <w:shd w:val="clear" w:fill="FFFFFF"/>
        </w:rPr>
        <w:t>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；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答复“部分公开”的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2件;答复“不予公开”的3件;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答复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无法提供信息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的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，答复“不予处理”的1件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spacing w:line="640" w:lineRule="exact"/>
        <w:ind w:firstLine="643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3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、</w:t>
      </w:r>
      <w:r>
        <w:rPr>
          <w:rFonts w:ascii="仿宋" w:hAnsi="仿宋" w:eastAsia="仿宋" w:cs="Times New Roman"/>
          <w:b/>
          <w:bCs/>
          <w:sz w:val="32"/>
          <w:szCs w:val="32"/>
        </w:rPr>
        <w:t>政府信息管理。</w:t>
      </w:r>
      <w:r>
        <w:rPr>
          <w:rFonts w:hint="eastAsia" w:ascii="仿宋_GB2312" w:eastAsia="仿宋_GB2312"/>
          <w:sz w:val="31"/>
          <w:szCs w:val="31"/>
        </w:rPr>
        <w:t>进一步完善政府信息管理制度。明确政府信息公开的职责、内容、程序、方式和时限要求；按照栏目要求分工到科室，建立政府信息定期发布制度，落实到人，形成信息动态发布机制、精准推送。规范性文件的管理由政策法规科统一负责审核，切实做</w:t>
      </w:r>
      <w:r>
        <w:rPr>
          <w:rFonts w:hint="eastAsia" w:ascii="仿宋" w:hAnsi="仿宋" w:eastAsia="仿宋"/>
          <w:spacing w:val="-2"/>
          <w:kern w:val="0"/>
          <w:sz w:val="32"/>
          <w:szCs w:val="32"/>
        </w:rPr>
        <w:t>到内容严谨、程序规范、及时发布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spacing w:line="640" w:lineRule="exact"/>
        <w:ind w:firstLine="643" w:firstLineChars="200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ascii="Times New Roman" w:hAnsi="Times New Roman" w:eastAsia="仿宋" w:cs="Times New Roman"/>
          <w:b/>
          <w:bCs/>
          <w:sz w:val="32"/>
          <w:szCs w:val="32"/>
        </w:rPr>
        <w:t>4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、</w:t>
      </w:r>
      <w:r>
        <w:rPr>
          <w:rFonts w:ascii="仿宋" w:hAnsi="仿宋" w:eastAsia="仿宋" w:cs="Times New Roman"/>
          <w:b/>
          <w:bCs/>
          <w:sz w:val="32"/>
          <w:szCs w:val="32"/>
        </w:rPr>
        <w:t>政府信息公开平台建设。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通过政府门户网站、微信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公众号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等网络平台，及时全面的公开政府信息，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积极打造公开、透明的单位形象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其中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局门户网站发布信息381条，微信公众号发布信息280条。  </w:t>
      </w:r>
    </w:p>
    <w:p>
      <w:pPr>
        <w:spacing w:line="640" w:lineRule="exact"/>
        <w:ind w:firstLine="320" w:firstLineChars="1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ascii="Times New Roman" w:hAnsi="Times New Roman" w:eastAsia="仿宋" w:cs="Times New Roman"/>
          <w:b/>
          <w:bCs/>
          <w:sz w:val="32"/>
          <w:szCs w:val="32"/>
        </w:rPr>
        <w:t>5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eastAsia="zh-CN"/>
        </w:rPr>
        <w:t>、</w:t>
      </w:r>
      <w:r>
        <w:rPr>
          <w:rFonts w:ascii="仿宋" w:hAnsi="仿宋" w:eastAsia="仿宋" w:cs="Times New Roman"/>
          <w:b/>
          <w:bCs/>
          <w:sz w:val="32"/>
          <w:szCs w:val="32"/>
        </w:rPr>
        <w:t>监督保障。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成立由信息科牵头，局长任组长，分管局长任副组长，各中层单位负责人任成员的政务公开工作领导小组，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确保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政务公开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工作有人抓、问题有人管。明确政府信息公开工作原则、年度任务和工作要求。积极参加上级组织开展的政府信息公开工作会议和业务培训，及时对各科室单位政府信息公开工作负责人进行培训，提高认识水平和工作能力。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二、主动公开政府信息情况</w:t>
      </w:r>
    </w:p>
    <w:p>
      <w:pPr>
        <w:rPr>
          <w:rFonts w:hint="eastAsia" w:ascii="仿宋" w:hAnsi="仿宋" w:eastAsia="仿宋"/>
          <w:sz w:val="32"/>
          <w:szCs w:val="32"/>
        </w:rPr>
      </w:pPr>
    </w:p>
    <w:tbl>
      <w:tblPr>
        <w:tblStyle w:val="3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188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32182</w:t>
            </w:r>
          </w:p>
        </w:tc>
      </w:tr>
    </w:tbl>
    <w:p>
      <w:pPr>
        <w:rPr>
          <w:rFonts w:hint="eastAsia" w:ascii="黑体" w:hAnsi="黑体" w:eastAsia="黑体" w:cs="Arial"/>
          <w:color w:val="000000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 </w:t>
      </w:r>
      <w:r>
        <w:rPr>
          <w:rFonts w:hint="eastAsia" w:ascii="黑体" w:hAnsi="黑体" w:eastAsia="黑体"/>
          <w:sz w:val="32"/>
          <w:szCs w:val="32"/>
          <w:lang w:eastAsia="zh-CN"/>
        </w:rPr>
        <w:t>三、</w:t>
      </w:r>
      <w:r>
        <w:rPr>
          <w:rFonts w:hint="eastAsia" w:ascii="黑体" w:hAnsi="黑体" w:eastAsia="黑体"/>
          <w:sz w:val="32"/>
          <w:szCs w:val="32"/>
        </w:rPr>
        <w:t>收到和处理政府信息公开申请情况</w:t>
      </w:r>
    </w:p>
    <w:tbl>
      <w:tblPr>
        <w:tblStyle w:val="3"/>
        <w:tblW w:w="9557" w:type="dxa"/>
        <w:tblInd w:w="-5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489"/>
        <w:gridCol w:w="2649"/>
        <w:gridCol w:w="669"/>
        <w:gridCol w:w="538"/>
        <w:gridCol w:w="527"/>
        <w:gridCol w:w="653"/>
        <w:gridCol w:w="637"/>
        <w:gridCol w:w="426"/>
        <w:gridCol w:w="9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188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（本列数据的勾稽关系为：第一项加第二项之和，等于第三项加第四项之和）</w:t>
            </w:r>
          </w:p>
        </w:tc>
        <w:tc>
          <w:tcPr>
            <w:tcW w:w="4369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18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自然人</w:t>
            </w:r>
          </w:p>
        </w:tc>
        <w:tc>
          <w:tcPr>
            <w:tcW w:w="278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法人或其他组织</w:t>
            </w:r>
          </w:p>
        </w:tc>
        <w:tc>
          <w:tcPr>
            <w:tcW w:w="91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5" w:hRule="atLeast"/>
        </w:trPr>
        <w:tc>
          <w:tcPr>
            <w:tcW w:w="5188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商业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企业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科研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机构</w:t>
            </w:r>
          </w:p>
        </w:tc>
        <w:tc>
          <w:tcPr>
            <w:tcW w:w="6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社会公益组织</w:t>
            </w:r>
          </w:p>
        </w:tc>
        <w:tc>
          <w:tcPr>
            <w:tcW w:w="6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法律服务机构</w:t>
            </w:r>
          </w:p>
        </w:tc>
        <w:tc>
          <w:tcPr>
            <w:tcW w:w="4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</w:t>
            </w:r>
          </w:p>
        </w:tc>
        <w:tc>
          <w:tcPr>
            <w:tcW w:w="919" w:type="dxa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1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51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50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三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、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本年度办理结果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（一）予以公开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05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ind w:left="240" w:hanging="240" w:hangingChars="100"/>
              <w:jc w:val="center"/>
              <w:textAlignment w:val="baseline"/>
              <w:rPr>
                <w:rFonts w:hint="default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（三）不予公开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1.属于国家秘密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05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2.其他法律行政法规禁止公开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3.危及“三安全一稳定”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4.保护第三方合法权益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5.属于三类内部事务信息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6.属于四类过程性信息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7.属于行政执法案卷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8.属于行政查询事项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05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（四）无法提供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1.本机关不掌握相关政府信息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05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2.没有现成信息需要另行制作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5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3.补正后申请内容仍不明确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（五）不予处理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1.信访举报投诉类申请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2.重复申请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3.要求提供公开出版物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5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4.无正当理由大量反复申请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05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66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7" w:hRule="atLeast"/>
        </w:trPr>
        <w:tc>
          <w:tcPr>
            <w:tcW w:w="105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（六）其他处理</w:t>
            </w: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1.申请人无正当理由逾期不补正、行政机关不再处理其政府信息公开申请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ind w:firstLine="240" w:firstLineChars="100"/>
              <w:jc w:val="both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7" w:hRule="atLeast"/>
        </w:trPr>
        <w:tc>
          <w:tcPr>
            <w:tcW w:w="105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2.申请人逾期未按收费通知要求缴纳费用、行政机关不再处理其政府信息公开申请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</w:p>
        </w:tc>
        <w:tc>
          <w:tcPr>
            <w:tcW w:w="1489" w:type="dxa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3.其他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1050" w:type="dxa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（七）总计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default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518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四、结转下年度继续办理</w:t>
            </w:r>
          </w:p>
        </w:tc>
        <w:tc>
          <w:tcPr>
            <w:tcW w:w="6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5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jc w:val="center"/>
        <w:rPr>
          <w:rFonts w:hint="eastAsia" w:ascii="黑体" w:hAnsi="黑体" w:eastAsia="黑体" w:cs="Arial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四、政府信息公开行政复议、行政诉讼情况</w:t>
      </w:r>
    </w:p>
    <w:tbl>
      <w:tblPr>
        <w:tblStyle w:val="3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结果</w:t>
            </w:r>
            <w:r>
              <w:rPr>
                <w:rFonts w:hint="eastAsia" w:ascii="黑体" w:hAnsi="黑体" w:eastAsia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/>
                <w:sz w:val="24"/>
                <w:szCs w:val="24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</w:t>
            </w:r>
            <w:r>
              <w:rPr>
                <w:rFonts w:hint="eastAsia" w:ascii="黑体" w:hAnsi="黑体" w:eastAsia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/>
                <w:sz w:val="24"/>
                <w:szCs w:val="24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尚未</w:t>
            </w:r>
            <w:r>
              <w:rPr>
                <w:rFonts w:hint="eastAsia" w:ascii="黑体" w:hAnsi="黑体" w:eastAsia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/>
                <w:sz w:val="24"/>
                <w:szCs w:val="24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结果</w:t>
            </w:r>
            <w:r>
              <w:rPr>
                <w:rFonts w:hint="eastAsia" w:ascii="黑体" w:hAnsi="黑体" w:eastAsia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/>
                <w:sz w:val="24"/>
                <w:szCs w:val="24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结果</w:t>
            </w:r>
            <w:r>
              <w:rPr>
                <w:rFonts w:hint="eastAsia" w:ascii="黑体" w:hAnsi="黑体" w:eastAsia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/>
                <w:sz w:val="24"/>
                <w:szCs w:val="24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</w:t>
            </w:r>
            <w:r>
              <w:rPr>
                <w:rFonts w:hint="eastAsia" w:ascii="黑体" w:hAnsi="黑体" w:eastAsia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/>
                <w:sz w:val="24"/>
                <w:szCs w:val="24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尚未</w:t>
            </w:r>
            <w:r>
              <w:rPr>
                <w:rFonts w:hint="eastAsia" w:ascii="黑体" w:hAnsi="黑体" w:eastAsia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/>
                <w:sz w:val="24"/>
                <w:szCs w:val="24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结果</w:t>
            </w:r>
            <w:r>
              <w:rPr>
                <w:rFonts w:hint="eastAsia" w:ascii="黑体" w:hAnsi="黑体" w:eastAsia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/>
                <w:sz w:val="24"/>
                <w:szCs w:val="24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结果</w:t>
            </w:r>
            <w:r>
              <w:rPr>
                <w:rFonts w:hint="eastAsia" w:ascii="黑体" w:hAnsi="黑体" w:eastAsia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/>
                <w:sz w:val="24"/>
                <w:szCs w:val="24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其他</w:t>
            </w:r>
            <w:r>
              <w:rPr>
                <w:rFonts w:hint="eastAsia" w:ascii="黑体" w:hAnsi="黑体" w:eastAsia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/>
                <w:sz w:val="24"/>
                <w:szCs w:val="24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尚未</w:t>
            </w:r>
            <w:r>
              <w:rPr>
                <w:rFonts w:hint="eastAsia" w:ascii="黑体" w:hAnsi="黑体" w:eastAsia="黑体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/>
                <w:sz w:val="24"/>
                <w:szCs w:val="24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rFonts w:ascii="黑体" w:hAnsi="黑体" w:eastAsia="黑体" w:cs="Arial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" w:hAnsi="仿宋" w:eastAsia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" w:hAnsi="仿宋" w:eastAsia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" w:hAnsi="仿宋" w:eastAsia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hint="eastAsia" w:ascii="仿宋" w:hAnsi="仿宋" w:eastAsia="宋体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0</w:t>
            </w:r>
            <w:bookmarkStart w:id="0" w:name="_GoBack"/>
            <w:bookmarkEnd w:id="0"/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仿宋" w:hAnsi="仿宋" w:eastAsia="仿宋" w:cs="Arial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五、存在的主要问题及改进情况</w:t>
      </w:r>
    </w:p>
    <w:p>
      <w:pPr>
        <w:ind w:firstLine="643" w:firstLineChars="200"/>
        <w:rPr>
          <w:rFonts w:hint="eastAsia" w:ascii="仿宋" w:hAnsi="仿宋" w:eastAsia="仿宋"/>
          <w:spacing w:val="-2"/>
          <w:kern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1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/>
          <w:spacing w:val="-2"/>
          <w:sz w:val="32"/>
          <w:szCs w:val="32"/>
        </w:rPr>
        <w:t>信息公开的内容还需要进一步充实完善</w:t>
      </w:r>
      <w:r>
        <w:rPr>
          <w:rFonts w:hint="eastAsia" w:ascii="仿宋" w:hAnsi="仿宋" w:eastAsia="仿宋"/>
          <w:spacing w:val="-2"/>
          <w:sz w:val="32"/>
          <w:szCs w:val="32"/>
          <w:lang w:eastAsia="zh-CN"/>
        </w:rPr>
        <w:t>。</w:t>
      </w:r>
      <w:r>
        <w:rPr>
          <w:rFonts w:hint="eastAsia" w:ascii="仿宋" w:hAnsi="仿宋" w:eastAsia="仿宋"/>
          <w:spacing w:val="-2"/>
          <w:sz w:val="32"/>
          <w:szCs w:val="32"/>
        </w:rPr>
        <w:t>需要进一步加大信息公开力度，加强科室间联系沟通，确保各项自然资源工作信息以及工作动态能及时公</w:t>
      </w:r>
      <w:r>
        <w:rPr>
          <w:rFonts w:hint="eastAsia" w:ascii="仿宋" w:hAnsi="仿宋" w:eastAsia="仿宋"/>
          <w:spacing w:val="-2"/>
          <w:kern w:val="0"/>
          <w:sz w:val="32"/>
          <w:szCs w:val="32"/>
        </w:rPr>
        <w:t>开。政策解读、回应关切和意见征集等栏目需要进一步完善补充。</w:t>
      </w:r>
    </w:p>
    <w:p>
      <w:pPr>
        <w:ind w:firstLine="643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/>
          <w:spacing w:val="-2"/>
          <w:kern w:val="0"/>
          <w:sz w:val="32"/>
          <w:szCs w:val="32"/>
        </w:rPr>
        <w:t>对政府信息公开</w:t>
      </w:r>
      <w:r>
        <w:rPr>
          <w:rFonts w:hint="eastAsia" w:ascii="仿宋" w:hAnsi="仿宋" w:eastAsia="仿宋"/>
          <w:spacing w:val="-2"/>
          <w:sz w:val="32"/>
          <w:szCs w:val="32"/>
        </w:rPr>
        <w:t>工作的宣传力度还不够。群众对信息公开工作关注度不高，公开渠道较</w:t>
      </w:r>
      <w:r>
        <w:rPr>
          <w:rFonts w:hint="eastAsia" w:ascii="仿宋" w:hAnsi="仿宋" w:eastAsia="仿宋"/>
          <w:spacing w:val="-2"/>
          <w:sz w:val="32"/>
          <w:szCs w:val="32"/>
          <w:lang w:eastAsia="zh-CN"/>
        </w:rPr>
        <w:t>为</w:t>
      </w:r>
      <w:r>
        <w:rPr>
          <w:rFonts w:hint="eastAsia" w:ascii="仿宋" w:hAnsi="仿宋" w:eastAsia="仿宋"/>
          <w:spacing w:val="-2"/>
          <w:sz w:val="32"/>
          <w:szCs w:val="32"/>
        </w:rPr>
        <w:t>单一。要进一步加大对信息公开工作的宣传力度，扩大政务公开工作的普及面，实现电子政务服务于社会、服务于群众的目的。</w:t>
      </w:r>
      <w:r>
        <w:rPr>
          <w:rFonts w:hint="eastAsia" w:ascii="黑体" w:hAnsi="黑体" w:eastAsia="黑体"/>
          <w:sz w:val="32"/>
          <w:szCs w:val="32"/>
        </w:rPr>
        <w:t xml:space="preserve"> </w:t>
      </w:r>
    </w:p>
    <w:p>
      <w:pPr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六、其他需要报告的事项</w:t>
      </w:r>
    </w:p>
    <w:p>
      <w:pPr>
        <w:ind w:firstLine="643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1、收取信息处理费情况。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依据《政府信息公开信息处理费管理办法》，我局未收取政府信息处理费。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643" w:firstLineChars="200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2、政务公开工作要点落实情况。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2022年，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我局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认真落实上级部门政务公开工作任务要求，及时更新相关政务信息，积极参加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业务培训，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不断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提升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政务公开工作能力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，较好地完成了全年的政府信息公开工作。</w:t>
      </w:r>
    </w:p>
    <w:p>
      <w:pPr>
        <w:ind w:firstLine="643" w:firstLineChars="200"/>
        <w:rPr>
          <w:rFonts w:hint="eastAsia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3、人大代表建议和政协提案办理结果公开情况。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</w:rPr>
        <w:t>202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</w:rPr>
        <w:t>年我局共收到人大建议、政协提案共7件，其中人大建议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</w:rPr>
        <w:t>件，政协提案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</w:rPr>
        <w:t>件。按照县政府关于办理人大代表建议、政协委员提案工作的统一部署和要求，已全部完成建议提案办理答复工作，代表委员满意率为100%。</w:t>
      </w:r>
    </w:p>
    <w:p>
      <w:pPr>
        <w:ind w:firstLine="643" w:firstLineChars="200"/>
        <w:rPr>
          <w:rFonts w:hint="eastAsia" w:ascii="Times New Roman" w:hAnsi="Times New Roman" w:eastAsia="仿宋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" w:cs="Times New Roman"/>
          <w:b/>
          <w:bCs/>
          <w:sz w:val="32"/>
          <w:szCs w:val="32"/>
          <w:lang w:val="en-US" w:eastAsia="zh-CN"/>
        </w:rPr>
        <w:t>4、政务公开工作创新情况。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为方便群众了解和查询比较关心的土地业务，在网站首页设立“地籍图公开查询”“住宅用地信息公开”和“我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为不动产登记提建议</w:t>
      </w: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”等特色栏目。</w:t>
      </w:r>
    </w:p>
    <w:p>
      <w:pPr>
        <w:ind w:firstLine="320" w:firstLineChars="100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ind w:firstLine="320" w:firstLineChars="1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jc w:val="left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zYzBhNWU3NGI4N2ZhODJlOTU3OGE1NDhlN2Q1MWQifQ=="/>
  </w:docVars>
  <w:rsids>
    <w:rsidRoot w:val="00B23753"/>
    <w:rsid w:val="00407954"/>
    <w:rsid w:val="00456D9F"/>
    <w:rsid w:val="008B66DC"/>
    <w:rsid w:val="00B23753"/>
    <w:rsid w:val="00B86741"/>
    <w:rsid w:val="00EB534F"/>
    <w:rsid w:val="095721BF"/>
    <w:rsid w:val="0A5C5BBF"/>
    <w:rsid w:val="21FF7F13"/>
    <w:rsid w:val="3AEF5A7D"/>
    <w:rsid w:val="42AA6131"/>
    <w:rsid w:val="484A499B"/>
    <w:rsid w:val="4A0B5C1A"/>
    <w:rsid w:val="5E17296E"/>
    <w:rsid w:val="6AA523F3"/>
    <w:rsid w:val="79245A48"/>
    <w:rsid w:val="7FDA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6</Pages>
  <Words>2527</Words>
  <Characters>2639</Characters>
  <Lines>15</Lines>
  <Paragraphs>4</Paragraphs>
  <TotalTime>26</TotalTime>
  <ScaleCrop>false</ScaleCrop>
  <LinksUpToDate>false</LinksUpToDate>
  <CharactersWithSpaces>2671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2023-01-10T06:14:00Z</dcterms:created>
  <dc:creator>Windows 用户</dc:creator>
  <cp:lastModifiedBy>Administrator</cp:lastModifiedBy>
  <dcterms:modified xsi:type="dcterms:W3CDTF">2023-06-09T02:02:26Z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9F9C3759FF364DF9B980DF4DCDB0EC58_13</vt:lpwstr>
  </property>
</Properties>
</file>