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Autospacing="1" w:afterAutospacing="1" w:line="435" w:lineRule="atLeast"/>
        <w:jc w:val="center"/>
        <w:rPr>
          <w:rFonts w:ascii="方正小标宋简体" w:hAnsi="微软雅黑" w:eastAsia="方正小标宋简体" w:cs="宋体"/>
          <w:color w:val="3D3D3D"/>
          <w:kern w:val="0"/>
          <w:sz w:val="40"/>
          <w:szCs w:val="36"/>
        </w:rPr>
      </w:pPr>
      <w:r>
        <w:rPr>
          <w:rFonts w:hint="eastAsia" w:ascii="方正小标宋简体" w:hAnsi="微软雅黑" w:eastAsia="方正小标宋简体" w:cs="宋体"/>
          <w:color w:val="3D3D3D"/>
          <w:kern w:val="0"/>
          <w:sz w:val="40"/>
          <w:szCs w:val="36"/>
        </w:rPr>
        <w:t>桓台县自然资源局</w:t>
      </w:r>
    </w:p>
    <w:p>
      <w:pPr>
        <w:widowControl/>
        <w:shd w:val="clear" w:color="auto" w:fill="FFFFFF"/>
        <w:spacing w:beforeAutospacing="1" w:afterAutospacing="1" w:line="435" w:lineRule="atLeast"/>
        <w:jc w:val="center"/>
        <w:rPr>
          <w:rFonts w:ascii="微软雅黑" w:hAnsi="微软雅黑" w:eastAsia="微软雅黑" w:cs="宋体"/>
          <w:color w:val="3D3D3D"/>
          <w:kern w:val="0"/>
          <w:sz w:val="24"/>
          <w:szCs w:val="23"/>
        </w:rPr>
      </w:pPr>
      <w:r>
        <w:rPr>
          <w:rFonts w:hint="eastAsia" w:ascii="方正小标宋简体" w:hAnsi="微软雅黑" w:eastAsia="方正小标宋简体" w:cs="宋体"/>
          <w:color w:val="3D3D3D"/>
          <w:kern w:val="0"/>
          <w:sz w:val="40"/>
          <w:szCs w:val="36"/>
        </w:rPr>
        <w:t>2019年政府信息公开工作年度报告</w:t>
      </w:r>
    </w:p>
    <w:p>
      <w:pPr>
        <w:ind w:firstLine="643" w:firstLineChars="200"/>
        <w:rPr>
          <w:rFonts w:ascii="仿宋_GB2312" w:eastAsia="仿宋_GB2312"/>
          <w:b/>
          <w:sz w:val="32"/>
          <w:szCs w:val="32"/>
        </w:rPr>
      </w:pPr>
    </w:p>
    <w:p>
      <w:pPr>
        <w:widowControl/>
        <w:shd w:val="clear" w:color="auto" w:fill="FFFFFF"/>
        <w:ind w:firstLine="640" w:firstLineChars="200"/>
        <w:rPr>
          <w:rFonts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依据2019年施行的新修订《中华人民共和国政府信息公开条例》,以及根据《国务院办公厅政府信息与政务公开办公室关于政府信息公开工作年度报告有关事项的通知》（国办公开办函〔2019〕60号）要求，我局编制完成《2019年度桓台县国土资源局政府信息公开工作年度报告》，报告主要内容包括总体情况、主动公开政府信息情况、收到和处理政府信息公开申请情况、政府信息公开行政复议和行政诉讼情况、存在的主要问题及改进情况、其他需报告的事项。</w:t>
      </w:r>
    </w:p>
    <w:p>
      <w:pPr>
        <w:ind w:firstLine="640" w:firstLineChars="200"/>
        <w:rPr>
          <w:rFonts w:ascii="黑体" w:hAnsi="黑体" w:eastAsia="黑体"/>
          <w:sz w:val="32"/>
          <w:szCs w:val="32"/>
        </w:rPr>
      </w:pPr>
      <w:r>
        <w:rPr>
          <w:rFonts w:hint="eastAsia" w:ascii="黑体" w:hAnsi="黑体" w:eastAsia="黑体"/>
          <w:sz w:val="32"/>
          <w:szCs w:val="32"/>
        </w:rPr>
        <w:t>一、总体情况</w:t>
      </w:r>
    </w:p>
    <w:p>
      <w:pPr>
        <w:widowControl/>
        <w:shd w:val="clear" w:color="auto" w:fill="FFFFFF"/>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2019年是桓台县自然资源局组建后的第一年，根据新的工作职责分工，并结合2019年5月15日起实施《中华人民共和国政府信息公开条例》的新特点，成立桓台县自然资源局政务公开工作领导小组，加强对政务公开和政府信息公开工作的领导、部署和落实。</w:t>
      </w:r>
    </w:p>
    <w:p>
      <w:pPr>
        <w:widowControl/>
        <w:shd w:val="clear" w:color="auto" w:fill="FFFFFF"/>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一年来，结合机构改革调整，我局进一步公开土地征收、规划审批服务事项内容，认真开展政策解读工作，积极回应社会关切问题，及时受理依申请公开，完善平台渠道建设等，使各项工作得以顺利进行。</w:t>
      </w:r>
    </w:p>
    <w:p>
      <w:pPr>
        <w:widowControl/>
        <w:shd w:val="clear" w:color="auto" w:fill="FFFFFF"/>
        <w:ind w:firstLine="643" w:firstLineChars="200"/>
        <w:rPr>
          <w:rFonts w:ascii="楷体_GB2312" w:hAnsi="微软雅黑" w:eastAsia="楷体_GB2312" w:cs="宋体"/>
          <w:b/>
          <w:color w:val="333333"/>
          <w:kern w:val="0"/>
          <w:sz w:val="32"/>
          <w:szCs w:val="32"/>
        </w:rPr>
      </w:pPr>
      <w:r>
        <w:rPr>
          <w:rFonts w:hint="eastAsia" w:ascii="楷体_GB2312" w:hAnsi="微软雅黑" w:eastAsia="楷体_GB2312" w:cs="宋体"/>
          <w:b/>
          <w:color w:val="333333"/>
          <w:kern w:val="0"/>
          <w:sz w:val="32"/>
          <w:szCs w:val="32"/>
        </w:rPr>
        <w:t>（一）主动公开情况</w:t>
      </w:r>
    </w:p>
    <w:p>
      <w:pPr>
        <w:widowControl/>
        <w:shd w:val="clear" w:color="auto" w:fill="FFFFFF"/>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2019年，主动公开政府信息共402条。门户网站政务公开栏目中主动公开政府信息类别主要有：1.机构设置、主要职能、办事程序；2.行政法律规章和规范性文件；3.工作信息；4.人事任免；5.业务工作（建设用地审批、土地使用权出让、农转用和土地征收信息、城乡规划、营林、森保）。</w:t>
      </w:r>
    </w:p>
    <w:p>
      <w:pPr>
        <w:widowControl/>
        <w:shd w:val="clear" w:color="auto" w:fill="FFFFFF"/>
        <w:ind w:firstLine="643" w:firstLineChars="200"/>
        <w:rPr>
          <w:rFonts w:ascii="楷体_GB2312" w:hAnsi="微软雅黑" w:eastAsia="楷体_GB2312" w:cs="宋体"/>
          <w:b/>
          <w:color w:val="333333"/>
          <w:kern w:val="0"/>
          <w:sz w:val="32"/>
          <w:szCs w:val="32"/>
        </w:rPr>
      </w:pPr>
      <w:r>
        <w:rPr>
          <w:rFonts w:hint="eastAsia" w:ascii="楷体_GB2312" w:hAnsi="微软雅黑" w:eastAsia="楷体_GB2312" w:cs="宋体"/>
          <w:b/>
          <w:color w:val="333333"/>
          <w:kern w:val="0"/>
          <w:sz w:val="32"/>
          <w:szCs w:val="32"/>
        </w:rPr>
        <w:t>（二）受理依申请公开情况</w:t>
      </w:r>
    </w:p>
    <w:p>
      <w:pPr>
        <w:widowControl/>
        <w:shd w:val="clear" w:color="auto" w:fill="FFFFFF"/>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2019年，共受理依申请公开政府信息24条，受理渠道有当面、网络及信函申请。从申请的信息内容来看，主要涉及农转用、征收补偿安置、土地征收的批复情况和规划业务审批情况。在受理的24件依申请公开政府信息中，均已答复，其中答复“同意公开”的有24件。</w:t>
      </w:r>
    </w:p>
    <w:p>
      <w:pPr>
        <w:widowControl/>
        <w:shd w:val="clear" w:color="auto" w:fill="FFFFFF"/>
        <w:ind w:firstLine="643" w:firstLineChars="200"/>
        <w:rPr>
          <w:rFonts w:ascii="仿宋_GB2312" w:hAnsi="微软雅黑" w:eastAsia="仿宋_GB2312" w:cs="宋体"/>
          <w:color w:val="3D3D3D"/>
          <w:kern w:val="0"/>
          <w:sz w:val="32"/>
          <w:szCs w:val="32"/>
        </w:rPr>
      </w:pPr>
      <w:r>
        <w:rPr>
          <w:rFonts w:hint="eastAsia" w:ascii="楷体_GB2312" w:hAnsi="微软雅黑" w:eastAsia="楷体_GB2312" w:cs="宋体"/>
          <w:b/>
          <w:color w:val="333333"/>
          <w:kern w:val="0"/>
          <w:sz w:val="32"/>
          <w:szCs w:val="32"/>
        </w:rPr>
        <w:t>（三）政府信息公开制度建设情况</w:t>
      </w:r>
    </w:p>
    <w:p>
      <w:pPr>
        <w:widowControl/>
        <w:shd w:val="clear" w:color="auto" w:fill="FFFFFF"/>
        <w:ind w:firstLine="640" w:firstLineChars="200"/>
        <w:rPr>
          <w:rFonts w:ascii="微软雅黑" w:hAnsi="微软雅黑" w:eastAsia="微软雅黑" w:cs="宋体"/>
          <w:color w:val="3D3D3D"/>
          <w:kern w:val="0"/>
          <w:sz w:val="23"/>
          <w:szCs w:val="23"/>
        </w:rPr>
      </w:pPr>
      <w:r>
        <w:rPr>
          <w:rFonts w:hint="eastAsia" w:ascii="仿宋_GB2312" w:hAnsi="微软雅黑" w:eastAsia="仿宋_GB2312" w:cs="宋体"/>
          <w:color w:val="3D3D3D"/>
          <w:kern w:val="0"/>
          <w:sz w:val="32"/>
          <w:szCs w:val="32"/>
        </w:rPr>
        <w:t>一是完善健全政府信息主动公开制度。明确政府信息公开的职责、内容、程序、方式和时限要求。二是完善健全政府信息依申请公开制度。制定依申请公开的工作规程，明确申请的受理、审查、处理、答复等各个环节的具体要求。三是完善健全政府信息保密审查制度。完善保密审查制度和管理制度，明确有关保密审查的职责分工、审查程序和责任追究办法，严格执行一事一审，确保不发生泄密问题。</w:t>
      </w:r>
    </w:p>
    <w:p>
      <w:pPr>
        <w:widowControl/>
        <w:shd w:val="clear" w:color="auto" w:fill="FFFFFF"/>
        <w:ind w:firstLine="643" w:firstLineChars="200"/>
        <w:rPr>
          <w:rFonts w:ascii="楷体_GB2312" w:hAnsi="微软雅黑" w:eastAsia="楷体_GB2312" w:cs="宋体"/>
          <w:b/>
          <w:color w:val="333333"/>
          <w:kern w:val="0"/>
          <w:sz w:val="32"/>
          <w:szCs w:val="32"/>
        </w:rPr>
      </w:pPr>
      <w:r>
        <w:rPr>
          <w:rFonts w:hint="eastAsia" w:ascii="楷体_GB2312" w:hAnsi="微软雅黑" w:eastAsia="楷体_GB2312" w:cs="宋体"/>
          <w:b/>
          <w:color w:val="333333"/>
          <w:kern w:val="0"/>
          <w:sz w:val="32"/>
          <w:szCs w:val="32"/>
        </w:rPr>
        <w:t>（四）重点领域政府信息公开工作推进情况</w:t>
      </w:r>
    </w:p>
    <w:p>
      <w:pPr>
        <w:widowControl/>
        <w:shd w:val="clear" w:color="auto" w:fill="FFFFFF"/>
        <w:spacing w:line="555" w:lineRule="atLeast"/>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D3D3D"/>
          <w:kern w:val="0"/>
          <w:sz w:val="32"/>
          <w:szCs w:val="32"/>
        </w:rPr>
        <w:t>按照政府信息公开的要求，围绕加强政府部门自身建设开展信息公开。一是制定《关于行政机关重大政策措施实行“三同步”制度》，确保了我局出台的重大政策措施与解读材料，同步起草、同步审批、同步发布，充分利用各类平台及时发布重大决策信息及相关政策解读。二是落实“公开为常态，不公开为例外”的要求，重新制定网上信息公开目录，将行政职权、财务预算和决算、土地供应出让、矿产转让、建设用地审批、采矿权审批、行政收费、营林、森保等核心业务，全部按时主动在门户网站公开。三是强化公众参与，突出政民互动，建立网络信访回复机制，对局长信箱栏目进行改造升级，安排专人对群众反映的问题进行收集汇总，限时办理，确保群众诉求能够及时得到回复。四</w:t>
      </w:r>
      <w:r>
        <w:rPr>
          <w:rFonts w:hint="eastAsia" w:ascii="仿宋_GB2312" w:hAnsi="微软雅黑" w:eastAsia="仿宋_GB2312" w:cs="宋体"/>
          <w:color w:val="333333"/>
          <w:kern w:val="0"/>
          <w:sz w:val="32"/>
          <w:szCs w:val="32"/>
        </w:rPr>
        <w:t>是加大规划公示调整信息公开。对群众关注的民生工程事项的规划调整信息及时在网站公开。</w:t>
      </w:r>
    </w:p>
    <w:p>
      <w:pPr>
        <w:widowControl/>
        <w:shd w:val="clear" w:color="auto" w:fill="FFFFFF"/>
        <w:ind w:firstLine="643" w:firstLineChars="200"/>
        <w:rPr>
          <w:rFonts w:ascii="楷体_GB2312" w:hAnsi="微软雅黑" w:eastAsia="楷体_GB2312" w:cs="宋体"/>
          <w:b/>
          <w:color w:val="333333"/>
          <w:kern w:val="0"/>
          <w:sz w:val="32"/>
          <w:szCs w:val="32"/>
        </w:rPr>
      </w:pPr>
      <w:r>
        <w:rPr>
          <w:rFonts w:hint="eastAsia" w:ascii="楷体_GB2312" w:hAnsi="微软雅黑" w:eastAsia="楷体_GB2312" w:cs="宋体"/>
          <w:b/>
          <w:color w:val="333333"/>
          <w:kern w:val="0"/>
          <w:sz w:val="32"/>
          <w:szCs w:val="32"/>
        </w:rPr>
        <w:t>（五）政府信息公开平台建设情况</w:t>
      </w:r>
    </w:p>
    <w:p>
      <w:pPr>
        <w:widowControl/>
        <w:shd w:val="clear" w:color="auto" w:fill="FFFFFF"/>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加强网站建设管理。明确网站管理人员职责，提出网站栏目内容更新的时限要求。对网站栏目管理职责、网站信息管理、网站信息发布、网站安全维护与管理、网站监督考核做了明确规定，为网站正常运行打下了良好的基础。通过坚持以公开政务、服务群众为宗旨，按照内容集中、重点突出、信息资源共享的原则，大力推进网站平台建设，加大信息公开量,调整扩大公开范围，细化公开内容，不断完善政务公开和公共服务功能，重点丰富了规划计划、城乡建设、营林、森保、民意征集、网上调查、统计信息等方面的内容，较好地解决了人民群众迫切想了解的问题，有效保障网站建设内容。</w:t>
      </w:r>
    </w:p>
    <w:p>
      <w:pPr>
        <w:widowControl/>
        <w:shd w:val="clear" w:color="auto" w:fill="FFFFFF"/>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2.保障政务新媒体的管理。指定专人负责微信公众号、微博的日常管理和维护，倡导积极向上、健康文明的“微文化”，不断传递自然资源管理工作的“正能量”。</w:t>
      </w:r>
    </w:p>
    <w:p>
      <w:pPr>
        <w:widowControl/>
        <w:shd w:val="clear" w:color="auto" w:fill="FFFFFF"/>
        <w:ind w:firstLine="643" w:firstLineChars="200"/>
        <w:rPr>
          <w:rFonts w:ascii="楷体_GB2312" w:hAnsi="微软雅黑" w:eastAsia="楷体_GB2312" w:cs="宋体"/>
          <w:b/>
          <w:color w:val="333333"/>
          <w:kern w:val="0"/>
          <w:sz w:val="32"/>
          <w:szCs w:val="32"/>
        </w:rPr>
      </w:pPr>
      <w:r>
        <w:rPr>
          <w:rFonts w:hint="eastAsia" w:ascii="楷体_GB2312" w:hAnsi="微软雅黑" w:eastAsia="楷体_GB2312" w:cs="宋体"/>
          <w:b/>
          <w:color w:val="333333"/>
          <w:kern w:val="0"/>
          <w:sz w:val="32"/>
          <w:szCs w:val="32"/>
        </w:rPr>
        <w:t>（六）监督保障情况</w:t>
      </w:r>
    </w:p>
    <w:p>
      <w:pPr>
        <w:widowControl/>
        <w:shd w:val="clear" w:color="auto" w:fill="FFFFFF"/>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1.新梳理汇总政府信息公开目录。根据机构改革新要求，重新梳理政府信息公开目录，并根据新修订的《中华人民共和国政府信息公开条例》，重新修订本局政府信息公开指南。</w:t>
      </w:r>
    </w:p>
    <w:p>
      <w:pPr>
        <w:widowControl/>
        <w:shd w:val="clear" w:color="auto" w:fill="FFFFFF"/>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2.完善公开渠道。通过桓台县自然资源局门户网站、政府信息查阅场所、报刊媒体等方式，及时公开群众关注的热点难点问题、事关群众利益的重大事项等信息，增强了信息公布的主动性、权威性和时效性。</w:t>
      </w:r>
    </w:p>
    <w:p>
      <w:pPr>
        <w:widowControl/>
        <w:shd w:val="clear" w:color="auto" w:fill="FFFFFF"/>
        <w:ind w:firstLine="643" w:firstLineChars="200"/>
        <w:rPr>
          <w:rFonts w:ascii="楷体_GB2312" w:hAnsi="微软雅黑" w:eastAsia="楷体_GB2312" w:cs="宋体"/>
          <w:b/>
          <w:color w:val="333333"/>
          <w:kern w:val="0"/>
          <w:sz w:val="32"/>
          <w:szCs w:val="32"/>
        </w:rPr>
      </w:pPr>
      <w:r>
        <w:rPr>
          <w:rFonts w:hint="eastAsia" w:ascii="楷体_GB2312" w:hAnsi="微软雅黑" w:eastAsia="楷体_GB2312" w:cs="宋体"/>
          <w:b/>
          <w:color w:val="333333"/>
          <w:kern w:val="0"/>
          <w:sz w:val="32"/>
          <w:szCs w:val="32"/>
        </w:rPr>
        <w:t>（七）所属事业单位信息公开工作推进措施和落实情况</w:t>
      </w:r>
    </w:p>
    <w:p>
      <w:pPr>
        <w:widowControl/>
        <w:shd w:val="clear" w:color="auto" w:fill="FFFFFF"/>
        <w:spacing w:line="540" w:lineRule="atLeast"/>
        <w:ind w:firstLine="645"/>
        <w:jc w:val="left"/>
        <w:rPr>
          <w:rFonts w:hint="eastAsia"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局属各单位在县局部署下，依托县局统一构建的信息公开平台，全面落实信息公开工作，局属各单位都指定专门信息联络员，对各类应公开信息严格审查，及时公开，确保发布的信息准确、完整。</w:t>
      </w:r>
    </w:p>
    <w:p>
      <w:pPr>
        <w:pStyle w:val="5"/>
        <w:shd w:val="clear" w:color="auto" w:fill="FFFFFF"/>
        <w:spacing w:before="0" w:beforeAutospacing="0" w:after="0" w:afterAutospacing="0" w:line="620" w:lineRule="atLeast"/>
        <w:ind w:firstLine="720"/>
        <w:rPr>
          <w:rFonts w:ascii="楷体_GB2312" w:hAnsi="微软雅黑" w:eastAsia="楷体_GB2312"/>
          <w:b/>
          <w:color w:val="333333"/>
          <w:sz w:val="32"/>
          <w:szCs w:val="32"/>
        </w:rPr>
      </w:pPr>
      <w:r>
        <w:rPr>
          <w:rFonts w:hint="eastAsia" w:ascii="楷体_GB2312" w:hAnsi="微软雅黑" w:eastAsia="楷体_GB2312"/>
          <w:b/>
          <w:color w:val="333333"/>
          <w:sz w:val="32"/>
          <w:szCs w:val="32"/>
        </w:rPr>
        <w:t>（八）人大代表建议和政协委员提案办理结果公开情况</w:t>
      </w:r>
    </w:p>
    <w:p>
      <w:pPr>
        <w:pStyle w:val="5"/>
        <w:shd w:val="clear" w:color="auto" w:fill="FFFFFF"/>
        <w:spacing w:before="0" w:beforeAutospacing="0" w:after="0" w:afterAutospacing="0" w:line="620" w:lineRule="atLeast"/>
        <w:ind w:firstLine="720"/>
        <w:rPr>
          <w:rFonts w:hint="eastAsia" w:ascii="微软雅黑" w:hAnsi="微软雅黑" w:eastAsia="微软雅黑"/>
          <w:color w:val="3D3D3D"/>
          <w:sz w:val="25"/>
          <w:szCs w:val="25"/>
        </w:rPr>
      </w:pPr>
      <w:r>
        <w:rPr>
          <w:rFonts w:hint="eastAsia" w:ascii="仿宋_GB2312" w:hAnsi="微软雅黑" w:eastAsia="仿宋_GB2312"/>
          <w:color w:val="3D3D3D"/>
          <w:sz w:val="35"/>
          <w:szCs w:val="35"/>
        </w:rPr>
        <w:t>2019年度我局未收到人大代表建议和政协委员提案。</w:t>
      </w:r>
    </w:p>
    <w:p>
      <w:pPr>
        <w:ind w:firstLine="640" w:firstLineChars="200"/>
        <w:rPr>
          <w:rFonts w:ascii="黑体" w:hAnsi="黑体" w:eastAsia="黑体"/>
          <w:sz w:val="32"/>
          <w:szCs w:val="32"/>
        </w:rPr>
      </w:pPr>
      <w:r>
        <w:rPr>
          <w:rFonts w:hint="eastAsia" w:ascii="黑体" w:hAnsi="黑体" w:eastAsia="黑体"/>
          <w:sz w:val="32"/>
          <w:szCs w:val="32"/>
        </w:rPr>
        <w:t>二、主动公开政府信息情况</w:t>
      </w:r>
    </w:p>
    <w:p>
      <w:pPr>
        <w:rPr>
          <w:b/>
          <w:sz w:val="24"/>
          <w:szCs w:val="24"/>
        </w:rPr>
      </w:pPr>
    </w:p>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本年新制作数量</w:t>
            </w:r>
          </w:p>
        </w:tc>
        <w:tc>
          <w:tcPr>
            <w:tcW w:w="2030" w:type="dxa"/>
            <w:vAlign w:val="center"/>
          </w:tcPr>
          <w:p>
            <w:pPr>
              <w:jc w:val="center"/>
              <w:rPr>
                <w:sz w:val="24"/>
                <w:szCs w:val="24"/>
              </w:rPr>
            </w:pPr>
            <w:r>
              <w:rPr>
                <w:rFonts w:hint="eastAsia"/>
                <w:sz w:val="24"/>
                <w:szCs w:val="24"/>
              </w:rPr>
              <w:t>本年新</w:t>
            </w:r>
          </w:p>
          <w:p>
            <w:pPr>
              <w:jc w:val="center"/>
              <w:rPr>
                <w:sz w:val="24"/>
                <w:szCs w:val="24"/>
              </w:rPr>
            </w:pPr>
            <w:r>
              <w:rPr>
                <w:rFonts w:hint="eastAsia"/>
                <w:sz w:val="24"/>
                <w:szCs w:val="24"/>
              </w:rPr>
              <w:t>公开数量</w:t>
            </w:r>
          </w:p>
        </w:tc>
        <w:tc>
          <w:tcPr>
            <w:tcW w:w="2222" w:type="dxa"/>
            <w:vAlign w:val="center"/>
          </w:tcPr>
          <w:p>
            <w:pPr>
              <w:jc w:val="center"/>
              <w:rPr>
                <w:sz w:val="24"/>
                <w:szCs w:val="24"/>
              </w:rPr>
            </w:pPr>
            <w:r>
              <w:rPr>
                <w:rFonts w:hint="eastAsia"/>
                <w:sz w:val="24"/>
                <w:szCs w:val="24"/>
              </w:rPr>
              <w:t>对外公开</w:t>
            </w:r>
          </w:p>
          <w:p>
            <w:pPr>
              <w:jc w:val="center"/>
              <w:rPr>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jc w:val="center"/>
              <w:rPr>
                <w:sz w:val="24"/>
                <w:szCs w:val="24"/>
              </w:rPr>
            </w:pPr>
            <w:r>
              <w:rPr>
                <w:rFonts w:hint="eastAsia"/>
                <w:sz w:val="24"/>
                <w:szCs w:val="24"/>
              </w:rPr>
              <w:t>规章</w:t>
            </w:r>
          </w:p>
        </w:tc>
        <w:tc>
          <w:tcPr>
            <w:tcW w:w="1985" w:type="dxa"/>
            <w:vAlign w:val="center"/>
          </w:tcPr>
          <w:p>
            <w:pPr>
              <w:jc w:val="center"/>
              <w:rPr>
                <w:sz w:val="24"/>
                <w:szCs w:val="24"/>
              </w:rPr>
            </w:pPr>
            <w:r>
              <w:rPr>
                <w:rFonts w:hint="eastAsia"/>
                <w:sz w:val="24"/>
                <w:szCs w:val="24"/>
              </w:rPr>
              <w:t>0</w:t>
            </w:r>
          </w:p>
        </w:tc>
        <w:tc>
          <w:tcPr>
            <w:tcW w:w="2030" w:type="dxa"/>
            <w:vAlign w:val="center"/>
          </w:tcPr>
          <w:p>
            <w:pPr>
              <w:jc w:val="center"/>
              <w:rPr>
                <w:sz w:val="24"/>
                <w:szCs w:val="24"/>
              </w:rPr>
            </w:pPr>
            <w:r>
              <w:rPr>
                <w:rFonts w:hint="eastAsia"/>
                <w:sz w:val="24"/>
                <w:szCs w:val="24"/>
              </w:rPr>
              <w:t>0</w:t>
            </w:r>
          </w:p>
        </w:tc>
        <w:tc>
          <w:tcPr>
            <w:tcW w:w="2222" w:type="dxa"/>
            <w:vAlign w:val="center"/>
          </w:tcPr>
          <w:p>
            <w:pPr>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jc w:val="center"/>
              <w:rPr>
                <w:sz w:val="24"/>
                <w:szCs w:val="24"/>
              </w:rPr>
            </w:pPr>
            <w:r>
              <w:rPr>
                <w:rFonts w:hint="eastAsia"/>
                <w:sz w:val="24"/>
                <w:szCs w:val="24"/>
              </w:rPr>
              <w:t>规范性文件</w:t>
            </w:r>
          </w:p>
        </w:tc>
        <w:tc>
          <w:tcPr>
            <w:tcW w:w="1985" w:type="dxa"/>
            <w:vAlign w:val="center"/>
          </w:tcPr>
          <w:p>
            <w:pPr>
              <w:jc w:val="center"/>
              <w:rPr>
                <w:sz w:val="24"/>
                <w:szCs w:val="24"/>
              </w:rPr>
            </w:pPr>
            <w:r>
              <w:rPr>
                <w:rFonts w:hint="eastAsia"/>
                <w:sz w:val="24"/>
                <w:szCs w:val="24"/>
              </w:rPr>
              <w:t>1</w:t>
            </w:r>
          </w:p>
        </w:tc>
        <w:tc>
          <w:tcPr>
            <w:tcW w:w="2030" w:type="dxa"/>
            <w:vAlign w:val="center"/>
          </w:tcPr>
          <w:p>
            <w:pPr>
              <w:jc w:val="center"/>
              <w:rPr>
                <w:sz w:val="24"/>
                <w:szCs w:val="24"/>
              </w:rPr>
            </w:pPr>
            <w:r>
              <w:rPr>
                <w:rFonts w:hint="eastAsia"/>
                <w:sz w:val="24"/>
                <w:szCs w:val="24"/>
              </w:rPr>
              <w:t>1</w:t>
            </w:r>
          </w:p>
        </w:tc>
        <w:tc>
          <w:tcPr>
            <w:tcW w:w="2222" w:type="dxa"/>
            <w:vAlign w:val="center"/>
          </w:tcPr>
          <w:p>
            <w:pPr>
              <w:jc w:val="center"/>
              <w:rPr>
                <w:sz w:val="24"/>
                <w:szCs w:val="24"/>
              </w:rPr>
            </w:pPr>
            <w:r>
              <w:rPr>
                <w:rFonts w:hint="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上一年项目数量</w:t>
            </w:r>
          </w:p>
        </w:tc>
        <w:tc>
          <w:tcPr>
            <w:tcW w:w="2030" w:type="dxa"/>
            <w:vAlign w:val="center"/>
          </w:tcPr>
          <w:p>
            <w:pPr>
              <w:jc w:val="center"/>
              <w:rPr>
                <w:sz w:val="24"/>
                <w:szCs w:val="24"/>
              </w:rPr>
            </w:pPr>
            <w:r>
              <w:rPr>
                <w:rFonts w:hint="eastAsia"/>
                <w:sz w:val="24"/>
                <w:szCs w:val="24"/>
              </w:rPr>
              <w:t>本年增/减</w:t>
            </w:r>
          </w:p>
        </w:tc>
        <w:tc>
          <w:tcPr>
            <w:tcW w:w="2222" w:type="dxa"/>
            <w:vAlign w:val="center"/>
          </w:tcPr>
          <w:p>
            <w:pPr>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jc w:val="center"/>
              <w:rPr>
                <w:sz w:val="24"/>
                <w:szCs w:val="24"/>
              </w:rPr>
            </w:pPr>
            <w:r>
              <w:rPr>
                <w:rFonts w:hint="eastAsia"/>
                <w:sz w:val="24"/>
                <w:szCs w:val="24"/>
              </w:rPr>
              <w:t>行政许可</w:t>
            </w:r>
          </w:p>
        </w:tc>
        <w:tc>
          <w:tcPr>
            <w:tcW w:w="1985" w:type="dxa"/>
            <w:vAlign w:val="center"/>
          </w:tcPr>
          <w:p>
            <w:pPr>
              <w:jc w:val="center"/>
              <w:rPr>
                <w:sz w:val="24"/>
                <w:szCs w:val="24"/>
              </w:rPr>
            </w:pPr>
            <w:r>
              <w:rPr>
                <w:rFonts w:hint="eastAsia"/>
                <w:sz w:val="24"/>
                <w:szCs w:val="24"/>
              </w:rPr>
              <w:t>23</w:t>
            </w:r>
          </w:p>
        </w:tc>
        <w:tc>
          <w:tcPr>
            <w:tcW w:w="2030" w:type="dxa"/>
            <w:vAlign w:val="center"/>
          </w:tcPr>
          <w:p>
            <w:pPr>
              <w:jc w:val="center"/>
              <w:rPr>
                <w:sz w:val="24"/>
                <w:szCs w:val="24"/>
              </w:rPr>
            </w:pPr>
            <w:r>
              <w:rPr>
                <w:rFonts w:hint="eastAsia"/>
                <w:sz w:val="24"/>
                <w:szCs w:val="24"/>
              </w:rPr>
              <w:t>-4</w:t>
            </w:r>
          </w:p>
        </w:tc>
        <w:tc>
          <w:tcPr>
            <w:tcW w:w="2222" w:type="dxa"/>
            <w:vAlign w:val="center"/>
          </w:tcPr>
          <w:p>
            <w:pPr>
              <w:jc w:val="center"/>
              <w:rPr>
                <w:rFonts w:hint="default" w:eastAsiaTheme="minorEastAsia"/>
                <w:sz w:val="24"/>
                <w:szCs w:val="24"/>
                <w:lang w:val="en-US" w:eastAsia="zh-CN"/>
              </w:rPr>
            </w:pPr>
            <w:r>
              <w:rPr>
                <w:rFonts w:hint="eastAsia"/>
                <w:sz w:val="24"/>
                <w:szCs w:val="24"/>
                <w:lang w:val="en-US" w:eastAsia="zh-CN"/>
              </w:rPr>
              <w:t>205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jc w:val="center"/>
              <w:rPr>
                <w:sz w:val="24"/>
                <w:szCs w:val="24"/>
              </w:rPr>
            </w:pPr>
            <w:r>
              <w:rPr>
                <w:rFonts w:hint="eastAsia"/>
                <w:sz w:val="24"/>
                <w:szCs w:val="24"/>
              </w:rPr>
              <w:t>其他对外管理服务事项</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1</w:t>
            </w:r>
            <w:r>
              <w:rPr>
                <w:rFonts w:hint="eastAsia"/>
                <w:sz w:val="24"/>
                <w:szCs w:val="24"/>
              </w:rPr>
              <w:t>0</w:t>
            </w:r>
            <w:r>
              <w:rPr>
                <w:rFonts w:hint="eastAsia"/>
                <w:sz w:val="24"/>
                <w:szCs w:val="24"/>
                <w:lang w:val="en-US" w:eastAsia="zh-CN"/>
              </w:rPr>
              <w:t>2</w:t>
            </w:r>
          </w:p>
        </w:tc>
        <w:tc>
          <w:tcPr>
            <w:tcW w:w="2030" w:type="dxa"/>
            <w:vAlign w:val="center"/>
          </w:tcPr>
          <w:p>
            <w:pPr>
              <w:jc w:val="center"/>
              <w:rPr>
                <w:sz w:val="24"/>
                <w:szCs w:val="24"/>
              </w:rPr>
            </w:pPr>
            <w:r>
              <w:rPr>
                <w:rFonts w:hint="eastAsia"/>
                <w:sz w:val="24"/>
                <w:szCs w:val="24"/>
              </w:rPr>
              <w:t>0</w:t>
            </w:r>
          </w:p>
        </w:tc>
        <w:tc>
          <w:tcPr>
            <w:tcW w:w="2222" w:type="dxa"/>
            <w:vAlign w:val="center"/>
          </w:tcPr>
          <w:p>
            <w:pPr>
              <w:jc w:val="center"/>
              <w:rPr>
                <w:rFonts w:hint="default" w:eastAsiaTheme="minorEastAsia"/>
                <w:sz w:val="24"/>
                <w:szCs w:val="24"/>
                <w:lang w:val="en-US" w:eastAsia="zh-CN"/>
              </w:rPr>
            </w:pPr>
            <w:r>
              <w:rPr>
                <w:rFonts w:hint="eastAsia"/>
                <w:sz w:val="24"/>
                <w:szCs w:val="24"/>
                <w:lang w:val="en-US" w:eastAsia="zh-CN"/>
              </w:rPr>
              <w:t>80012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rPr>
                <w:sz w:val="24"/>
                <w:szCs w:val="24"/>
              </w:rPr>
            </w:pPr>
            <w:r>
              <w:rPr>
                <w:rFonts w:hint="eastAsia"/>
                <w:sz w:val="24"/>
                <w:szCs w:val="24"/>
              </w:rPr>
              <w:t>上一年项目数量</w:t>
            </w:r>
          </w:p>
        </w:tc>
        <w:tc>
          <w:tcPr>
            <w:tcW w:w="2030" w:type="dxa"/>
            <w:vAlign w:val="center"/>
          </w:tcPr>
          <w:p>
            <w:pPr>
              <w:jc w:val="center"/>
              <w:rPr>
                <w:sz w:val="24"/>
                <w:szCs w:val="24"/>
              </w:rPr>
            </w:pPr>
            <w:r>
              <w:rPr>
                <w:rFonts w:hint="eastAsia"/>
                <w:sz w:val="24"/>
                <w:szCs w:val="24"/>
              </w:rPr>
              <w:t>本年增/减</w:t>
            </w:r>
          </w:p>
        </w:tc>
        <w:tc>
          <w:tcPr>
            <w:tcW w:w="2222" w:type="dxa"/>
            <w:vAlign w:val="center"/>
          </w:tcPr>
          <w:p>
            <w:pPr>
              <w:jc w:val="center"/>
              <w:rPr>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sz w:val="24"/>
                <w:szCs w:val="24"/>
              </w:rPr>
            </w:pPr>
            <w:r>
              <w:rPr>
                <w:rFonts w:hint="eastAsia"/>
                <w:sz w:val="24"/>
                <w:szCs w:val="24"/>
              </w:rPr>
              <w:t>行政处罚</w:t>
            </w:r>
          </w:p>
        </w:tc>
        <w:tc>
          <w:tcPr>
            <w:tcW w:w="1985" w:type="dxa"/>
            <w:vAlign w:val="center"/>
          </w:tcPr>
          <w:p>
            <w:pPr>
              <w:jc w:val="center"/>
              <w:rPr>
                <w:sz w:val="24"/>
                <w:szCs w:val="24"/>
              </w:rPr>
            </w:pPr>
            <w:r>
              <w:rPr>
                <w:rFonts w:hint="eastAsia"/>
                <w:sz w:val="24"/>
                <w:szCs w:val="24"/>
              </w:rPr>
              <w:t>75</w:t>
            </w:r>
          </w:p>
        </w:tc>
        <w:tc>
          <w:tcPr>
            <w:tcW w:w="2030" w:type="dxa"/>
            <w:vAlign w:val="center"/>
          </w:tcPr>
          <w:p>
            <w:pPr>
              <w:jc w:val="center"/>
              <w:rPr>
                <w:sz w:val="24"/>
                <w:szCs w:val="24"/>
              </w:rPr>
            </w:pPr>
            <w:r>
              <w:rPr>
                <w:rFonts w:hint="eastAsia"/>
                <w:sz w:val="24"/>
                <w:szCs w:val="24"/>
              </w:rPr>
              <w:t>-45</w:t>
            </w:r>
          </w:p>
        </w:tc>
        <w:tc>
          <w:tcPr>
            <w:tcW w:w="2222" w:type="dxa"/>
            <w:vAlign w:val="center"/>
          </w:tcPr>
          <w:p>
            <w:pPr>
              <w:jc w:val="center"/>
              <w:rPr>
                <w:sz w:val="24"/>
                <w:szCs w:val="24"/>
              </w:rPr>
            </w:pPr>
            <w:r>
              <w:rPr>
                <w:rFonts w:hint="eastAsia"/>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sz w:val="24"/>
                <w:szCs w:val="24"/>
              </w:rPr>
            </w:pPr>
            <w:r>
              <w:rPr>
                <w:rFonts w:hint="eastAsia"/>
                <w:sz w:val="24"/>
                <w:szCs w:val="24"/>
              </w:rPr>
              <w:t>行政强制</w:t>
            </w:r>
          </w:p>
        </w:tc>
        <w:tc>
          <w:tcPr>
            <w:tcW w:w="1985" w:type="dxa"/>
            <w:vAlign w:val="center"/>
          </w:tcPr>
          <w:p>
            <w:pPr>
              <w:jc w:val="center"/>
              <w:rPr>
                <w:rFonts w:hint="eastAsia" w:eastAsiaTheme="minorEastAsia"/>
                <w:sz w:val="24"/>
                <w:szCs w:val="24"/>
                <w:lang w:val="en-US" w:eastAsia="zh-CN"/>
              </w:rPr>
            </w:pPr>
            <w:r>
              <w:rPr>
                <w:rFonts w:hint="eastAsia"/>
                <w:sz w:val="24"/>
                <w:szCs w:val="24"/>
                <w:lang w:val="en-US" w:eastAsia="zh-CN"/>
              </w:rPr>
              <w:t>3</w:t>
            </w:r>
          </w:p>
        </w:tc>
        <w:tc>
          <w:tcPr>
            <w:tcW w:w="2030" w:type="dxa"/>
            <w:vAlign w:val="center"/>
          </w:tcPr>
          <w:p>
            <w:pPr>
              <w:jc w:val="center"/>
              <w:rPr>
                <w:sz w:val="24"/>
                <w:szCs w:val="24"/>
              </w:rPr>
            </w:pPr>
            <w:r>
              <w:rPr>
                <w:rFonts w:hint="eastAsia"/>
                <w:sz w:val="24"/>
                <w:szCs w:val="24"/>
              </w:rPr>
              <w:t>0</w:t>
            </w:r>
          </w:p>
        </w:tc>
        <w:tc>
          <w:tcPr>
            <w:tcW w:w="2222" w:type="dxa"/>
            <w:vAlign w:val="center"/>
          </w:tcPr>
          <w:p>
            <w:pPr>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上一年项目数量</w:t>
            </w:r>
          </w:p>
        </w:tc>
        <w:tc>
          <w:tcPr>
            <w:tcW w:w="4252" w:type="dxa"/>
            <w:gridSpan w:val="2"/>
            <w:vAlign w:val="center"/>
          </w:tcPr>
          <w:p>
            <w:pPr>
              <w:jc w:val="center"/>
              <w:rPr>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sz w:val="24"/>
                <w:szCs w:val="24"/>
              </w:rPr>
            </w:pPr>
            <w:r>
              <w:rPr>
                <w:rFonts w:hint="eastAsia"/>
                <w:sz w:val="24"/>
                <w:szCs w:val="24"/>
              </w:rPr>
              <w:t>行政事业性收费</w:t>
            </w:r>
          </w:p>
        </w:tc>
        <w:tc>
          <w:tcPr>
            <w:tcW w:w="1985" w:type="dxa"/>
            <w:vAlign w:val="center"/>
          </w:tcPr>
          <w:p>
            <w:pPr>
              <w:jc w:val="center"/>
              <w:rPr>
                <w:sz w:val="24"/>
                <w:szCs w:val="24"/>
              </w:rPr>
            </w:pPr>
            <w:r>
              <w:rPr>
                <w:rFonts w:hint="eastAsia"/>
                <w:sz w:val="24"/>
                <w:szCs w:val="24"/>
              </w:rPr>
              <w:t>2</w:t>
            </w:r>
          </w:p>
        </w:tc>
        <w:tc>
          <w:tcPr>
            <w:tcW w:w="4252" w:type="dxa"/>
            <w:gridSpan w:val="2"/>
            <w:vAlign w:val="center"/>
          </w:tcPr>
          <w:p>
            <w:pPr>
              <w:jc w:val="center"/>
              <w:rPr>
                <w:sz w:val="24"/>
                <w:szCs w:val="24"/>
              </w:rPr>
            </w:pPr>
            <w:r>
              <w:rPr>
                <w:rFonts w:hint="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sz w:val="24"/>
                <w:szCs w:val="24"/>
              </w:rPr>
            </w:pPr>
            <w:r>
              <w:rPr>
                <w:rFonts w:hint="eastAsia"/>
                <w:sz w:val="24"/>
                <w:szCs w:val="24"/>
              </w:rPr>
              <w:t>信息内容</w:t>
            </w:r>
          </w:p>
        </w:tc>
        <w:tc>
          <w:tcPr>
            <w:tcW w:w="1985" w:type="dxa"/>
            <w:vAlign w:val="center"/>
          </w:tcPr>
          <w:p>
            <w:pPr>
              <w:jc w:val="center"/>
              <w:rPr>
                <w:sz w:val="24"/>
                <w:szCs w:val="24"/>
              </w:rPr>
            </w:pPr>
            <w:r>
              <w:rPr>
                <w:rFonts w:hint="eastAsia"/>
                <w:sz w:val="24"/>
                <w:szCs w:val="24"/>
              </w:rPr>
              <w:t>采购项目数量</w:t>
            </w:r>
          </w:p>
        </w:tc>
        <w:tc>
          <w:tcPr>
            <w:tcW w:w="4252" w:type="dxa"/>
            <w:gridSpan w:val="2"/>
            <w:vAlign w:val="center"/>
          </w:tcPr>
          <w:p>
            <w:pPr>
              <w:jc w:val="center"/>
              <w:rPr>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jc w:val="center"/>
              <w:rPr>
                <w:sz w:val="24"/>
                <w:szCs w:val="24"/>
              </w:rPr>
            </w:pPr>
            <w:r>
              <w:rPr>
                <w:rFonts w:hint="eastAsia"/>
                <w:sz w:val="24"/>
                <w:szCs w:val="24"/>
              </w:rPr>
              <w:t>政府集中采购</w:t>
            </w:r>
          </w:p>
        </w:tc>
        <w:tc>
          <w:tcPr>
            <w:tcW w:w="1985" w:type="dxa"/>
            <w:vAlign w:val="center"/>
          </w:tcPr>
          <w:p>
            <w:pPr>
              <w:jc w:val="center"/>
              <w:rPr>
                <w:sz w:val="24"/>
                <w:szCs w:val="24"/>
              </w:rPr>
            </w:pPr>
            <w:r>
              <w:rPr>
                <w:rFonts w:hint="eastAsia"/>
                <w:sz w:val="24"/>
                <w:szCs w:val="24"/>
              </w:rPr>
              <w:t>39</w:t>
            </w:r>
          </w:p>
        </w:tc>
        <w:tc>
          <w:tcPr>
            <w:tcW w:w="4252" w:type="dxa"/>
            <w:gridSpan w:val="2"/>
            <w:vAlign w:val="center"/>
          </w:tcPr>
          <w:p>
            <w:pPr>
              <w:jc w:val="center"/>
              <w:rPr>
                <w:sz w:val="24"/>
                <w:szCs w:val="24"/>
              </w:rPr>
            </w:pPr>
            <w:r>
              <w:rPr>
                <w:rFonts w:hint="eastAsia"/>
                <w:sz w:val="24"/>
                <w:szCs w:val="24"/>
              </w:rPr>
              <w:t>9063.3万元</w:t>
            </w:r>
          </w:p>
        </w:tc>
      </w:tr>
    </w:tbl>
    <w:p/>
    <w:p>
      <w:pPr>
        <w:ind w:firstLine="640" w:firstLineChars="200"/>
        <w:rPr>
          <w:rFonts w:ascii="黑体" w:hAnsi="黑体" w:eastAsia="黑体"/>
          <w:sz w:val="32"/>
          <w:szCs w:val="32"/>
        </w:rPr>
      </w:pPr>
      <w:r>
        <w:rPr>
          <w:rFonts w:hint="eastAsia" w:ascii="黑体" w:hAnsi="黑体" w:eastAsia="黑体"/>
          <w:sz w:val="32"/>
          <w:szCs w:val="32"/>
        </w:rPr>
        <w:t>三、收到和处理政府信息公开申请情况</w:t>
      </w:r>
    </w:p>
    <w:tbl>
      <w:tblPr>
        <w:tblStyle w:val="7"/>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r>
              <w:rPr>
                <w:rFonts w:hint="eastAsia"/>
              </w:rPr>
              <w:t>（本列数据的勾稽关系为：第一项加第二项之和，等于第三项加第四项之和）</w:t>
            </w:r>
          </w:p>
        </w:tc>
        <w:tc>
          <w:tcPr>
            <w:tcW w:w="4961" w:type="dxa"/>
            <w:gridSpan w:val="7"/>
            <w:vAlign w:val="center"/>
          </w:tcPr>
          <w:p>
            <w:pPr>
              <w:jc w:val="center"/>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tc>
        <w:tc>
          <w:tcPr>
            <w:tcW w:w="567" w:type="dxa"/>
            <w:vMerge w:val="restart"/>
            <w:vAlign w:val="center"/>
          </w:tcPr>
          <w:p>
            <w:pPr>
              <w:jc w:val="center"/>
              <w:rPr>
                <w:sz w:val="18"/>
                <w:szCs w:val="18"/>
              </w:rPr>
            </w:pPr>
            <w:r>
              <w:rPr>
                <w:rFonts w:hint="eastAsia"/>
                <w:szCs w:val="21"/>
              </w:rPr>
              <w:t>自然人</w:t>
            </w:r>
          </w:p>
        </w:tc>
        <w:tc>
          <w:tcPr>
            <w:tcW w:w="3544" w:type="dxa"/>
            <w:gridSpan w:val="5"/>
            <w:vAlign w:val="center"/>
          </w:tcPr>
          <w:p>
            <w:pPr>
              <w:jc w:val="center"/>
              <w:rPr>
                <w:szCs w:val="21"/>
              </w:rPr>
            </w:pPr>
            <w:r>
              <w:rPr>
                <w:rFonts w:hint="eastAsia"/>
                <w:szCs w:val="21"/>
              </w:rPr>
              <w:t>法人或其他组织</w:t>
            </w:r>
          </w:p>
        </w:tc>
        <w:tc>
          <w:tcPr>
            <w:tcW w:w="850" w:type="dxa"/>
            <w:vMerge w:val="restart"/>
            <w:vAlign w:val="center"/>
          </w:tcPr>
          <w:p>
            <w:pP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tc>
        <w:tc>
          <w:tcPr>
            <w:tcW w:w="567" w:type="dxa"/>
            <w:vMerge w:val="continue"/>
          </w:tcPr>
          <w:p>
            <w:pPr>
              <w:rPr>
                <w:sz w:val="18"/>
                <w:szCs w:val="18"/>
              </w:rPr>
            </w:pPr>
          </w:p>
        </w:tc>
        <w:tc>
          <w:tcPr>
            <w:tcW w:w="709" w:type="dxa"/>
            <w:vAlign w:val="center"/>
          </w:tcPr>
          <w:p>
            <w:pPr>
              <w:rPr>
                <w:szCs w:val="21"/>
              </w:rPr>
            </w:pPr>
            <w:r>
              <w:rPr>
                <w:rFonts w:hint="eastAsia"/>
                <w:szCs w:val="21"/>
              </w:rPr>
              <w:t>商业企业</w:t>
            </w:r>
          </w:p>
        </w:tc>
        <w:tc>
          <w:tcPr>
            <w:tcW w:w="708" w:type="dxa"/>
            <w:vAlign w:val="center"/>
          </w:tcPr>
          <w:p>
            <w:pPr>
              <w:rPr>
                <w:szCs w:val="21"/>
              </w:rPr>
            </w:pPr>
            <w:r>
              <w:rPr>
                <w:rFonts w:hint="eastAsia"/>
                <w:szCs w:val="21"/>
              </w:rPr>
              <w:t>科研机构</w:t>
            </w:r>
          </w:p>
        </w:tc>
        <w:tc>
          <w:tcPr>
            <w:tcW w:w="709" w:type="dxa"/>
            <w:vAlign w:val="center"/>
          </w:tcPr>
          <w:p>
            <w:pPr>
              <w:rPr>
                <w:szCs w:val="21"/>
              </w:rPr>
            </w:pPr>
            <w:r>
              <w:rPr>
                <w:rFonts w:hint="eastAsia"/>
                <w:szCs w:val="21"/>
              </w:rPr>
              <w:t>社会公益组织</w:t>
            </w:r>
          </w:p>
        </w:tc>
        <w:tc>
          <w:tcPr>
            <w:tcW w:w="709" w:type="dxa"/>
            <w:vAlign w:val="center"/>
          </w:tcPr>
          <w:p>
            <w:pPr>
              <w:rPr>
                <w:szCs w:val="21"/>
              </w:rPr>
            </w:pPr>
            <w:r>
              <w:rPr>
                <w:rFonts w:hint="eastAsia"/>
                <w:szCs w:val="21"/>
              </w:rPr>
              <w:t>法律服务机构</w:t>
            </w:r>
          </w:p>
        </w:tc>
        <w:tc>
          <w:tcPr>
            <w:tcW w:w="709" w:type="dxa"/>
            <w:vAlign w:val="center"/>
          </w:tcPr>
          <w:p>
            <w:pPr>
              <w:rPr>
                <w:szCs w:val="21"/>
              </w:rPr>
            </w:pPr>
            <w:r>
              <w:rPr>
                <w:rFonts w:hint="eastAsia"/>
                <w:szCs w:val="21"/>
              </w:rPr>
              <w:t>其他</w:t>
            </w:r>
          </w:p>
        </w:tc>
        <w:tc>
          <w:tcPr>
            <w:tcW w:w="850" w:type="dxa"/>
            <w:vMerge w:val="continue"/>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r>
              <w:rPr>
                <w:rFonts w:hint="eastAsia"/>
              </w:rPr>
              <w:t>一、本年新收政府信息公开申请数量</w:t>
            </w:r>
          </w:p>
        </w:tc>
        <w:tc>
          <w:tcPr>
            <w:tcW w:w="567" w:type="dxa"/>
          </w:tcPr>
          <w:p>
            <w:r>
              <w:rPr>
                <w:rFonts w:hint="eastAsia"/>
              </w:rPr>
              <w:t>24</w:t>
            </w:r>
          </w:p>
        </w:tc>
        <w:tc>
          <w:tcPr>
            <w:tcW w:w="709" w:type="dxa"/>
            <w:vAlign w:val="center"/>
          </w:tcPr>
          <w:p>
            <w:pPr>
              <w:rPr>
                <w:szCs w:val="21"/>
              </w:rPr>
            </w:pPr>
          </w:p>
        </w:tc>
        <w:tc>
          <w:tcPr>
            <w:tcW w:w="708" w:type="dxa"/>
            <w:vAlign w:val="center"/>
          </w:tcPr>
          <w:p>
            <w:pPr>
              <w:rPr>
                <w:szCs w:val="21"/>
              </w:rPr>
            </w:pPr>
          </w:p>
        </w:tc>
        <w:tc>
          <w:tcPr>
            <w:tcW w:w="709" w:type="dxa"/>
            <w:vAlign w:val="center"/>
          </w:tcPr>
          <w:p>
            <w:pPr>
              <w:rPr>
                <w:szCs w:val="21"/>
              </w:rPr>
            </w:pPr>
          </w:p>
        </w:tc>
        <w:tc>
          <w:tcPr>
            <w:tcW w:w="709" w:type="dxa"/>
            <w:vAlign w:val="center"/>
          </w:tcPr>
          <w:p>
            <w:pPr>
              <w:rPr>
                <w:szCs w:val="21"/>
              </w:rPr>
            </w:pPr>
          </w:p>
        </w:tc>
        <w:tc>
          <w:tcPr>
            <w:tcW w:w="709" w:type="dxa"/>
            <w:vAlign w:val="center"/>
          </w:tcPr>
          <w:p>
            <w:pPr>
              <w:rPr>
                <w:szCs w:val="21"/>
              </w:rPr>
            </w:pPr>
          </w:p>
        </w:tc>
        <w:tc>
          <w:tcPr>
            <w:tcW w:w="850" w:type="dxa"/>
            <w:vAlign w:val="center"/>
          </w:tcPr>
          <w:p>
            <w:pPr>
              <w:rPr>
                <w:szCs w:val="21"/>
              </w:rPr>
            </w:pPr>
            <w:r>
              <w:rPr>
                <w:rFonts w:hint="eastAsia"/>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r>
              <w:rPr>
                <w:rFonts w:hint="eastAsia"/>
              </w:rPr>
              <w:t>二、上年结转政府信息公开申请数量</w:t>
            </w:r>
          </w:p>
        </w:tc>
        <w:tc>
          <w:tcPr>
            <w:tcW w:w="567" w:type="dxa"/>
          </w:tcPr>
          <w:p>
            <w:r>
              <w:rPr>
                <w:rFonts w:hint="eastAsia"/>
              </w:rPr>
              <w:t>0</w:t>
            </w:r>
          </w:p>
        </w:tc>
        <w:tc>
          <w:tcPr>
            <w:tcW w:w="709" w:type="dxa"/>
          </w:tcPr>
          <w:p/>
        </w:tc>
        <w:tc>
          <w:tcPr>
            <w:tcW w:w="708" w:type="dxa"/>
          </w:tcPr>
          <w:p/>
        </w:tc>
        <w:tc>
          <w:tcPr>
            <w:tcW w:w="709" w:type="dxa"/>
          </w:tcPr>
          <w:p/>
        </w:tc>
        <w:tc>
          <w:tcPr>
            <w:tcW w:w="709" w:type="dxa"/>
          </w:tcPr>
          <w:p/>
        </w:tc>
        <w:tc>
          <w:tcPr>
            <w:tcW w:w="709" w:type="dxa"/>
          </w:tcP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r>
              <w:rPr>
                <w:rFonts w:hint="eastAsia"/>
              </w:rPr>
              <w:t>三、本年度办理结果</w:t>
            </w:r>
          </w:p>
        </w:tc>
        <w:tc>
          <w:tcPr>
            <w:tcW w:w="4253"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67" w:type="dxa"/>
          </w:tcPr>
          <w:p>
            <w:r>
              <w:rPr>
                <w:rFonts w:hint="eastAsia"/>
              </w:rPr>
              <w:t>12</w:t>
            </w:r>
          </w:p>
        </w:tc>
        <w:tc>
          <w:tcPr>
            <w:tcW w:w="709" w:type="dxa"/>
          </w:tcPr>
          <w:p/>
        </w:tc>
        <w:tc>
          <w:tcPr>
            <w:tcW w:w="708" w:type="dxa"/>
          </w:tcPr>
          <w:p/>
        </w:tc>
        <w:tc>
          <w:tcPr>
            <w:tcW w:w="709" w:type="dxa"/>
          </w:tcPr>
          <w:p/>
        </w:tc>
        <w:tc>
          <w:tcPr>
            <w:tcW w:w="709" w:type="dxa"/>
          </w:tcPr>
          <w:p/>
        </w:tc>
        <w:tc>
          <w:tcPr>
            <w:tcW w:w="709" w:type="dxa"/>
          </w:tcPr>
          <w:p/>
        </w:tc>
        <w:tc>
          <w:tcPr>
            <w:tcW w:w="850" w:type="dxa"/>
          </w:tcPr>
          <w:p>
            <w:r>
              <w:rPr>
                <w:rFonts w:hint="eastAsi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tc>
        <w:tc>
          <w:tcPr>
            <w:tcW w:w="4253"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tc>
        <w:tc>
          <w:tcPr>
            <w:tcW w:w="1560"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93"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tc>
        <w:tc>
          <w:tcPr>
            <w:tcW w:w="1560" w:type="dxa"/>
            <w:vMerge w:val="continue"/>
            <w:vAlign w:val="center"/>
          </w:tcPr>
          <w:p>
            <w:pPr>
              <w:rPr>
                <w:rFonts w:asciiTheme="minorEastAsia" w:hAnsiTheme="minor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tc>
        <w:tc>
          <w:tcPr>
            <w:tcW w:w="1560" w:type="dxa"/>
            <w:vMerge w:val="continue"/>
            <w:vAlign w:val="center"/>
          </w:tcPr>
          <w:p>
            <w:pPr>
              <w:rPr>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tc>
        <w:tc>
          <w:tcPr>
            <w:tcW w:w="1560" w:type="dxa"/>
            <w:vMerge w:val="continue"/>
            <w:vAlign w:val="center"/>
          </w:tcPr>
          <w:p>
            <w:pPr>
              <w:rPr>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tc>
        <w:tc>
          <w:tcPr>
            <w:tcW w:w="1560" w:type="dxa"/>
            <w:vMerge w:val="continue"/>
            <w:vAlign w:val="center"/>
          </w:tcPr>
          <w:p>
            <w:pPr>
              <w:rPr>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tc>
        <w:tc>
          <w:tcPr>
            <w:tcW w:w="1560" w:type="dxa"/>
            <w:vMerge w:val="continue"/>
            <w:vAlign w:val="center"/>
          </w:tcPr>
          <w:p>
            <w:pPr>
              <w:rPr>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tc>
        <w:tc>
          <w:tcPr>
            <w:tcW w:w="1560" w:type="dxa"/>
            <w:vMerge w:val="continue"/>
            <w:vAlign w:val="center"/>
          </w:tcPr>
          <w:p>
            <w:pPr>
              <w:rPr>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tc>
        <w:tc>
          <w:tcPr>
            <w:tcW w:w="1560" w:type="dxa"/>
            <w:vMerge w:val="continue"/>
            <w:vAlign w:val="center"/>
          </w:tcPr>
          <w:p>
            <w:pPr>
              <w:rPr>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tc>
        <w:tc>
          <w:tcPr>
            <w:tcW w:w="1560" w:type="dxa"/>
            <w:vMerge w:val="restart"/>
            <w:vAlign w:val="center"/>
          </w:tcPr>
          <w:p>
            <w:pPr>
              <w:rPr>
                <w:sz w:val="18"/>
                <w:szCs w:val="18"/>
              </w:rPr>
            </w:pPr>
            <w:r>
              <w:rPr>
                <w:rFonts w:hint="eastAsia"/>
                <w:sz w:val="18"/>
                <w:szCs w:val="18"/>
              </w:rPr>
              <w:t>（四）无法提供</w:t>
            </w:r>
          </w:p>
        </w:tc>
        <w:tc>
          <w:tcPr>
            <w:tcW w:w="2693"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tc>
        <w:tc>
          <w:tcPr>
            <w:tcW w:w="1560" w:type="dxa"/>
            <w:vMerge w:val="continue"/>
            <w:vAlign w:val="center"/>
          </w:tcPr>
          <w:p>
            <w:pPr>
              <w:rPr>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tc>
        <w:tc>
          <w:tcPr>
            <w:tcW w:w="1560" w:type="dxa"/>
            <w:vMerge w:val="continue"/>
            <w:vAlign w:val="center"/>
          </w:tcPr>
          <w:p>
            <w:pPr>
              <w:rPr>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tc>
        <w:tc>
          <w:tcPr>
            <w:tcW w:w="1560" w:type="dxa"/>
            <w:vMerge w:val="restart"/>
            <w:vAlign w:val="center"/>
          </w:tcPr>
          <w:p>
            <w:pPr>
              <w:rPr>
                <w:sz w:val="18"/>
                <w:szCs w:val="18"/>
              </w:rPr>
            </w:pPr>
            <w:r>
              <w:rPr>
                <w:rFonts w:hint="eastAsia"/>
                <w:sz w:val="18"/>
                <w:szCs w:val="18"/>
              </w:rPr>
              <w:t>（五）</w:t>
            </w:r>
            <w:r>
              <w:rPr>
                <w:rFonts w:hint="eastAsia" w:asciiTheme="minorEastAsia" w:hAnsiTheme="minorEastAsia"/>
                <w:sz w:val="18"/>
                <w:szCs w:val="18"/>
              </w:rPr>
              <w:t>不予处理</w:t>
            </w:r>
          </w:p>
        </w:tc>
        <w:tc>
          <w:tcPr>
            <w:tcW w:w="2693"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tc>
        <w:tc>
          <w:tcPr>
            <w:tcW w:w="1560" w:type="dxa"/>
            <w:vMerge w:val="continue"/>
          </w:tcPr>
          <w:p/>
        </w:tc>
        <w:tc>
          <w:tcPr>
            <w:tcW w:w="2693" w:type="dxa"/>
          </w:tcPr>
          <w:p>
            <w:pPr>
              <w:rPr>
                <w:rFonts w:asciiTheme="minorEastAsia" w:hAnsiTheme="minorEastAsia"/>
                <w:sz w:val="18"/>
                <w:szCs w:val="18"/>
              </w:rPr>
            </w:pPr>
            <w:r>
              <w:rPr>
                <w:rFonts w:hint="eastAsia" w:asciiTheme="minorEastAsia" w:hAnsiTheme="minorEastAsia"/>
                <w:sz w:val="18"/>
                <w:szCs w:val="18"/>
              </w:rPr>
              <w:t>2．重复申请</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tc>
        <w:tc>
          <w:tcPr>
            <w:tcW w:w="1560" w:type="dxa"/>
            <w:vMerge w:val="continue"/>
          </w:tcPr>
          <w:p/>
        </w:tc>
        <w:tc>
          <w:tcPr>
            <w:tcW w:w="2693"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tc>
        <w:tc>
          <w:tcPr>
            <w:tcW w:w="1560" w:type="dxa"/>
            <w:vMerge w:val="continue"/>
          </w:tcPr>
          <w:p/>
        </w:tc>
        <w:tc>
          <w:tcPr>
            <w:tcW w:w="2693"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tc>
        <w:tc>
          <w:tcPr>
            <w:tcW w:w="1560" w:type="dxa"/>
            <w:vMerge w:val="continue"/>
          </w:tcPr>
          <w:p/>
        </w:tc>
        <w:tc>
          <w:tcPr>
            <w:tcW w:w="2693"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tc>
        <w:tc>
          <w:tcPr>
            <w:tcW w:w="4253" w:type="dxa"/>
            <w:gridSpan w:val="2"/>
            <w:vAlign w:val="center"/>
          </w:tcPr>
          <w:p>
            <w:pPr>
              <w:rPr>
                <w:sz w:val="18"/>
                <w:szCs w:val="18"/>
              </w:rPr>
            </w:pPr>
            <w:r>
              <w:rPr>
                <w:rFonts w:hint="eastAsia"/>
                <w:sz w:val="18"/>
                <w:szCs w:val="18"/>
              </w:rPr>
              <w:t>（六）其他处理</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tc>
        <w:tc>
          <w:tcPr>
            <w:tcW w:w="4253" w:type="dxa"/>
            <w:gridSpan w:val="2"/>
            <w:vAlign w:val="center"/>
          </w:tcPr>
          <w:p>
            <w:pPr>
              <w:rPr>
                <w:sz w:val="18"/>
                <w:szCs w:val="18"/>
              </w:rPr>
            </w:pPr>
            <w:r>
              <w:rPr>
                <w:rFonts w:hint="eastAsia"/>
                <w:sz w:val="18"/>
                <w:szCs w:val="18"/>
              </w:rPr>
              <w:t>（七）总计</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r>
              <w:rPr>
                <w:rFonts w:hint="eastAsia"/>
              </w:rPr>
              <w:t>四、结转下年度继续办理</w:t>
            </w:r>
          </w:p>
        </w:tc>
        <w:tc>
          <w:tcPr>
            <w:tcW w:w="567" w:type="dxa"/>
          </w:tcPr>
          <w:p>
            <w:r>
              <w:rPr>
                <w:rFonts w:hint="eastAsia"/>
              </w:rPr>
              <w:t>0</w:t>
            </w:r>
          </w:p>
        </w:tc>
        <w:tc>
          <w:tcPr>
            <w:tcW w:w="709" w:type="dxa"/>
          </w:tcPr>
          <w:p>
            <w:r>
              <w:rPr>
                <w:rFonts w:hint="eastAsia"/>
              </w:rPr>
              <w:t>0</w:t>
            </w:r>
          </w:p>
        </w:tc>
        <w:tc>
          <w:tcPr>
            <w:tcW w:w="708" w:type="dxa"/>
          </w:tcPr>
          <w:p>
            <w:r>
              <w:rPr>
                <w:rFonts w:hint="eastAsia"/>
              </w:rPr>
              <w:t>0</w:t>
            </w:r>
          </w:p>
        </w:tc>
        <w:tc>
          <w:tcPr>
            <w:tcW w:w="709" w:type="dxa"/>
          </w:tcPr>
          <w:p>
            <w:r>
              <w:rPr>
                <w:rFonts w:hint="eastAsia"/>
              </w:rPr>
              <w:t>0</w:t>
            </w:r>
          </w:p>
        </w:tc>
        <w:tc>
          <w:tcPr>
            <w:tcW w:w="709" w:type="dxa"/>
          </w:tcPr>
          <w:p>
            <w:r>
              <w:rPr>
                <w:rFonts w:hint="eastAsia"/>
              </w:rPr>
              <w:t>0</w:t>
            </w:r>
          </w:p>
        </w:tc>
        <w:tc>
          <w:tcPr>
            <w:tcW w:w="709" w:type="dxa"/>
          </w:tcPr>
          <w:p>
            <w:r>
              <w:rPr>
                <w:rFonts w:hint="eastAsia"/>
              </w:rPr>
              <w:t>0</w:t>
            </w:r>
          </w:p>
        </w:tc>
        <w:tc>
          <w:tcPr>
            <w:tcW w:w="850" w:type="dxa"/>
          </w:tcPr>
          <w:p>
            <w:r>
              <w:rPr>
                <w:rFonts w:hint="eastAsia"/>
              </w:rPr>
              <w:t>0</w:t>
            </w:r>
          </w:p>
        </w:tc>
      </w:tr>
    </w:tbl>
    <w:p/>
    <w:p/>
    <w:p/>
    <w:p>
      <w:pPr>
        <w:ind w:firstLine="640" w:firstLineChars="200"/>
        <w:rPr>
          <w:rFonts w:ascii="黑体" w:hAnsi="黑体" w:eastAsia="黑体"/>
          <w:sz w:val="32"/>
          <w:szCs w:val="32"/>
        </w:rPr>
      </w:pPr>
      <w:r>
        <w:rPr>
          <w:rFonts w:hint="eastAsia" w:ascii="黑体" w:hAnsi="黑体" w:eastAsia="黑体"/>
          <w:sz w:val="32"/>
          <w:szCs w:val="32"/>
        </w:rPr>
        <w:t>四．政府信息公开行政复议、行政诉讼情况</w:t>
      </w:r>
    </w:p>
    <w:tbl>
      <w:tblPr>
        <w:tblStyle w:val="7"/>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center"/>
              <w:rPr>
                <w:szCs w:val="21"/>
              </w:rPr>
            </w:pPr>
            <w:r>
              <w:rPr>
                <w:rFonts w:hint="eastAsia"/>
                <w:szCs w:val="21"/>
              </w:rPr>
              <w:t>行政复议</w:t>
            </w:r>
          </w:p>
        </w:tc>
        <w:tc>
          <w:tcPr>
            <w:tcW w:w="6804" w:type="dxa"/>
            <w:gridSpan w:val="10"/>
            <w:vAlign w:val="center"/>
          </w:tcPr>
          <w:p>
            <w:pPr>
              <w:jc w:val="center"/>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szCs w:val="21"/>
              </w:rPr>
            </w:pPr>
            <w:r>
              <w:rPr>
                <w:rFonts w:hint="eastAsia"/>
                <w:szCs w:val="21"/>
              </w:rPr>
              <w:t>结果维持</w:t>
            </w:r>
          </w:p>
        </w:tc>
        <w:tc>
          <w:tcPr>
            <w:tcW w:w="708" w:type="dxa"/>
            <w:vMerge w:val="restart"/>
            <w:vAlign w:val="center"/>
          </w:tcPr>
          <w:p>
            <w:pPr>
              <w:jc w:val="center"/>
              <w:rPr>
                <w:szCs w:val="21"/>
              </w:rPr>
            </w:pPr>
            <w:r>
              <w:rPr>
                <w:rFonts w:hint="eastAsia"/>
                <w:szCs w:val="21"/>
              </w:rPr>
              <w:t>结果纠正</w:t>
            </w:r>
          </w:p>
        </w:tc>
        <w:tc>
          <w:tcPr>
            <w:tcW w:w="709" w:type="dxa"/>
            <w:vMerge w:val="restart"/>
            <w:vAlign w:val="center"/>
          </w:tcPr>
          <w:p>
            <w:pPr>
              <w:jc w:val="center"/>
              <w:rPr>
                <w:szCs w:val="21"/>
              </w:rPr>
            </w:pPr>
            <w:r>
              <w:rPr>
                <w:rFonts w:hint="eastAsia"/>
                <w:szCs w:val="21"/>
              </w:rPr>
              <w:t>其他结果</w:t>
            </w:r>
          </w:p>
        </w:tc>
        <w:tc>
          <w:tcPr>
            <w:tcW w:w="682" w:type="dxa"/>
            <w:vMerge w:val="restart"/>
            <w:vAlign w:val="center"/>
          </w:tcPr>
          <w:p>
            <w:pPr>
              <w:jc w:val="center"/>
              <w:rPr>
                <w:szCs w:val="21"/>
              </w:rPr>
            </w:pPr>
            <w:r>
              <w:rPr>
                <w:rFonts w:hint="eastAsia"/>
                <w:szCs w:val="21"/>
              </w:rPr>
              <w:t>尚未审结</w:t>
            </w:r>
          </w:p>
        </w:tc>
        <w:tc>
          <w:tcPr>
            <w:tcW w:w="594" w:type="dxa"/>
            <w:vMerge w:val="restart"/>
            <w:vAlign w:val="center"/>
          </w:tcPr>
          <w:p>
            <w:pPr>
              <w:jc w:val="center"/>
              <w:rPr>
                <w:szCs w:val="21"/>
              </w:rPr>
            </w:pPr>
            <w:r>
              <w:rPr>
                <w:rFonts w:hint="eastAsia"/>
                <w:szCs w:val="21"/>
              </w:rPr>
              <w:t>总计</w:t>
            </w:r>
          </w:p>
        </w:tc>
        <w:tc>
          <w:tcPr>
            <w:tcW w:w="3402" w:type="dxa"/>
            <w:gridSpan w:val="5"/>
            <w:vAlign w:val="center"/>
          </w:tcPr>
          <w:p>
            <w:pPr>
              <w:jc w:val="center"/>
              <w:rPr>
                <w:szCs w:val="21"/>
              </w:rPr>
            </w:pPr>
            <w:r>
              <w:rPr>
                <w:rFonts w:hint="eastAsia"/>
                <w:szCs w:val="21"/>
              </w:rPr>
              <w:t>未经复议直接起诉</w:t>
            </w:r>
          </w:p>
        </w:tc>
        <w:tc>
          <w:tcPr>
            <w:tcW w:w="3402" w:type="dxa"/>
            <w:gridSpan w:val="5"/>
            <w:vAlign w:val="center"/>
          </w:tcPr>
          <w:p>
            <w:pPr>
              <w:jc w:val="center"/>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sz w:val="18"/>
                <w:szCs w:val="18"/>
              </w:rPr>
            </w:pPr>
          </w:p>
        </w:tc>
        <w:tc>
          <w:tcPr>
            <w:tcW w:w="708" w:type="dxa"/>
            <w:vMerge w:val="continue"/>
            <w:vAlign w:val="center"/>
          </w:tcPr>
          <w:p>
            <w:pPr>
              <w:jc w:val="center"/>
              <w:rPr>
                <w:sz w:val="18"/>
                <w:szCs w:val="18"/>
              </w:rPr>
            </w:pPr>
          </w:p>
        </w:tc>
        <w:tc>
          <w:tcPr>
            <w:tcW w:w="709" w:type="dxa"/>
            <w:vMerge w:val="continue"/>
            <w:vAlign w:val="center"/>
          </w:tcPr>
          <w:p>
            <w:pPr>
              <w:jc w:val="center"/>
              <w:rPr>
                <w:sz w:val="18"/>
                <w:szCs w:val="18"/>
              </w:rPr>
            </w:pPr>
          </w:p>
        </w:tc>
        <w:tc>
          <w:tcPr>
            <w:tcW w:w="682" w:type="dxa"/>
            <w:vMerge w:val="continue"/>
            <w:vAlign w:val="center"/>
          </w:tcPr>
          <w:p>
            <w:pPr>
              <w:jc w:val="center"/>
              <w:rPr>
                <w:szCs w:val="21"/>
              </w:rPr>
            </w:pPr>
          </w:p>
        </w:tc>
        <w:tc>
          <w:tcPr>
            <w:tcW w:w="594" w:type="dxa"/>
            <w:vMerge w:val="continue"/>
            <w:vAlign w:val="center"/>
          </w:tcPr>
          <w:p>
            <w:pPr>
              <w:jc w:val="center"/>
              <w:rPr>
                <w:szCs w:val="21"/>
              </w:rPr>
            </w:pPr>
          </w:p>
        </w:tc>
        <w:tc>
          <w:tcPr>
            <w:tcW w:w="709" w:type="dxa"/>
            <w:vAlign w:val="center"/>
          </w:tcPr>
          <w:p>
            <w:pPr>
              <w:jc w:val="center"/>
              <w:rPr>
                <w:szCs w:val="21"/>
              </w:rPr>
            </w:pPr>
            <w:r>
              <w:rPr>
                <w:rFonts w:hint="eastAsia"/>
                <w:szCs w:val="21"/>
              </w:rPr>
              <w:t>结果维持</w:t>
            </w:r>
          </w:p>
        </w:tc>
        <w:tc>
          <w:tcPr>
            <w:tcW w:w="709" w:type="dxa"/>
            <w:vAlign w:val="center"/>
          </w:tcPr>
          <w:p>
            <w:pPr>
              <w:jc w:val="center"/>
              <w:rPr>
                <w:szCs w:val="21"/>
              </w:rPr>
            </w:pPr>
            <w:r>
              <w:rPr>
                <w:rFonts w:hint="eastAsia"/>
                <w:szCs w:val="21"/>
              </w:rPr>
              <w:t>结果纠正</w:t>
            </w:r>
          </w:p>
        </w:tc>
        <w:tc>
          <w:tcPr>
            <w:tcW w:w="709" w:type="dxa"/>
            <w:vAlign w:val="center"/>
          </w:tcPr>
          <w:p>
            <w:pPr>
              <w:jc w:val="center"/>
              <w:rPr>
                <w:szCs w:val="21"/>
              </w:rPr>
            </w:pPr>
            <w:r>
              <w:rPr>
                <w:rFonts w:hint="eastAsia"/>
                <w:szCs w:val="21"/>
              </w:rPr>
              <w:t>其他结果</w:t>
            </w:r>
          </w:p>
        </w:tc>
        <w:tc>
          <w:tcPr>
            <w:tcW w:w="708" w:type="dxa"/>
            <w:vAlign w:val="center"/>
          </w:tcPr>
          <w:p>
            <w:pPr>
              <w:jc w:val="center"/>
              <w:rPr>
                <w:szCs w:val="21"/>
              </w:rPr>
            </w:pPr>
            <w:r>
              <w:rPr>
                <w:rFonts w:hint="eastAsia"/>
                <w:szCs w:val="21"/>
              </w:rPr>
              <w:t>尚未审结</w:t>
            </w:r>
          </w:p>
        </w:tc>
        <w:tc>
          <w:tcPr>
            <w:tcW w:w="567" w:type="dxa"/>
            <w:vAlign w:val="center"/>
          </w:tcPr>
          <w:p>
            <w:pPr>
              <w:jc w:val="center"/>
              <w:rPr>
                <w:szCs w:val="21"/>
              </w:rPr>
            </w:pPr>
            <w:r>
              <w:rPr>
                <w:rFonts w:hint="eastAsia"/>
                <w:szCs w:val="21"/>
              </w:rPr>
              <w:t>总计</w:t>
            </w:r>
          </w:p>
        </w:tc>
        <w:tc>
          <w:tcPr>
            <w:tcW w:w="851" w:type="dxa"/>
            <w:vAlign w:val="center"/>
          </w:tcPr>
          <w:p>
            <w:pPr>
              <w:jc w:val="center"/>
              <w:rPr>
                <w:szCs w:val="21"/>
              </w:rPr>
            </w:pPr>
            <w:r>
              <w:rPr>
                <w:rFonts w:hint="eastAsia"/>
                <w:szCs w:val="21"/>
              </w:rPr>
              <w:t>结果维持</w:t>
            </w:r>
          </w:p>
        </w:tc>
        <w:tc>
          <w:tcPr>
            <w:tcW w:w="650" w:type="dxa"/>
            <w:vAlign w:val="center"/>
          </w:tcPr>
          <w:p>
            <w:pPr>
              <w:jc w:val="center"/>
              <w:rPr>
                <w:szCs w:val="21"/>
              </w:rPr>
            </w:pPr>
            <w:r>
              <w:rPr>
                <w:rFonts w:hint="eastAsia"/>
                <w:szCs w:val="21"/>
              </w:rPr>
              <w:t>结果纠正</w:t>
            </w:r>
          </w:p>
        </w:tc>
        <w:tc>
          <w:tcPr>
            <w:tcW w:w="767" w:type="dxa"/>
            <w:vAlign w:val="center"/>
          </w:tcPr>
          <w:p>
            <w:pPr>
              <w:jc w:val="center"/>
              <w:rPr>
                <w:szCs w:val="21"/>
              </w:rPr>
            </w:pPr>
            <w:r>
              <w:rPr>
                <w:rFonts w:hint="eastAsia"/>
                <w:szCs w:val="21"/>
              </w:rPr>
              <w:t>其他结果</w:t>
            </w:r>
          </w:p>
        </w:tc>
        <w:tc>
          <w:tcPr>
            <w:tcW w:w="709" w:type="dxa"/>
            <w:vAlign w:val="center"/>
          </w:tcPr>
          <w:p>
            <w:pPr>
              <w:jc w:val="center"/>
              <w:rPr>
                <w:szCs w:val="21"/>
              </w:rPr>
            </w:pPr>
            <w:r>
              <w:rPr>
                <w:rFonts w:hint="eastAsia"/>
                <w:szCs w:val="21"/>
              </w:rPr>
              <w:t>尚未审结</w:t>
            </w:r>
          </w:p>
        </w:tc>
        <w:tc>
          <w:tcPr>
            <w:tcW w:w="425" w:type="dxa"/>
            <w:vAlign w:val="center"/>
          </w:tcPr>
          <w:p>
            <w:pPr>
              <w:jc w:val="center"/>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rPr>
                <w:sz w:val="18"/>
                <w:szCs w:val="18"/>
              </w:rPr>
            </w:pPr>
            <w:r>
              <w:rPr>
                <w:rFonts w:hint="eastAsia"/>
                <w:sz w:val="18"/>
                <w:szCs w:val="18"/>
              </w:rPr>
              <w:t>0</w:t>
            </w:r>
          </w:p>
        </w:tc>
        <w:tc>
          <w:tcPr>
            <w:tcW w:w="708" w:type="dxa"/>
            <w:vAlign w:val="center"/>
          </w:tcPr>
          <w:p>
            <w:pPr>
              <w:rPr>
                <w:sz w:val="18"/>
                <w:szCs w:val="18"/>
              </w:rPr>
            </w:pPr>
            <w:r>
              <w:rPr>
                <w:rFonts w:hint="eastAsia"/>
                <w:sz w:val="18"/>
                <w:szCs w:val="18"/>
              </w:rPr>
              <w:t>0</w:t>
            </w:r>
          </w:p>
        </w:tc>
        <w:tc>
          <w:tcPr>
            <w:tcW w:w="709" w:type="dxa"/>
            <w:vAlign w:val="center"/>
          </w:tcPr>
          <w:p>
            <w:pPr>
              <w:rPr>
                <w:sz w:val="18"/>
                <w:szCs w:val="18"/>
              </w:rPr>
            </w:pPr>
            <w:r>
              <w:rPr>
                <w:rFonts w:hint="eastAsia"/>
                <w:sz w:val="18"/>
                <w:szCs w:val="18"/>
              </w:rPr>
              <w:t>0</w:t>
            </w:r>
          </w:p>
        </w:tc>
        <w:tc>
          <w:tcPr>
            <w:tcW w:w="682" w:type="dxa"/>
            <w:vAlign w:val="center"/>
          </w:tcPr>
          <w:p>
            <w:pPr>
              <w:rPr>
                <w:szCs w:val="21"/>
              </w:rPr>
            </w:pPr>
            <w:r>
              <w:rPr>
                <w:rFonts w:hint="eastAsia"/>
                <w:szCs w:val="21"/>
              </w:rPr>
              <w:t>0</w:t>
            </w:r>
          </w:p>
        </w:tc>
        <w:tc>
          <w:tcPr>
            <w:tcW w:w="594" w:type="dxa"/>
            <w:vAlign w:val="center"/>
          </w:tcPr>
          <w:p>
            <w:pPr>
              <w:rPr>
                <w:szCs w:val="21"/>
              </w:rPr>
            </w:pPr>
            <w:r>
              <w:rPr>
                <w:rFonts w:hint="eastAsia"/>
                <w:szCs w:val="21"/>
              </w:rPr>
              <w:t>0</w:t>
            </w:r>
          </w:p>
        </w:tc>
        <w:tc>
          <w:tcPr>
            <w:tcW w:w="709" w:type="dxa"/>
            <w:vAlign w:val="center"/>
          </w:tcPr>
          <w:p>
            <w:pPr>
              <w:rPr>
                <w:szCs w:val="21"/>
              </w:rPr>
            </w:pPr>
            <w:r>
              <w:rPr>
                <w:rFonts w:hint="eastAsia"/>
                <w:szCs w:val="21"/>
              </w:rPr>
              <w:t>1</w:t>
            </w:r>
          </w:p>
        </w:tc>
        <w:tc>
          <w:tcPr>
            <w:tcW w:w="709" w:type="dxa"/>
            <w:vAlign w:val="center"/>
          </w:tcPr>
          <w:p>
            <w:pPr>
              <w:rPr>
                <w:szCs w:val="21"/>
              </w:rPr>
            </w:pPr>
            <w:r>
              <w:rPr>
                <w:rFonts w:hint="eastAsia"/>
                <w:szCs w:val="21"/>
              </w:rPr>
              <w:t>0</w:t>
            </w:r>
          </w:p>
        </w:tc>
        <w:tc>
          <w:tcPr>
            <w:tcW w:w="709" w:type="dxa"/>
            <w:vAlign w:val="center"/>
          </w:tcPr>
          <w:p>
            <w:pPr>
              <w:rPr>
                <w:szCs w:val="21"/>
              </w:rPr>
            </w:pPr>
            <w:r>
              <w:rPr>
                <w:rFonts w:hint="eastAsia"/>
                <w:szCs w:val="21"/>
              </w:rPr>
              <w:t>1</w:t>
            </w:r>
          </w:p>
        </w:tc>
        <w:tc>
          <w:tcPr>
            <w:tcW w:w="708" w:type="dxa"/>
            <w:vAlign w:val="center"/>
          </w:tcPr>
          <w:p>
            <w:pPr>
              <w:rPr>
                <w:szCs w:val="21"/>
              </w:rPr>
            </w:pPr>
            <w:r>
              <w:rPr>
                <w:rFonts w:hint="eastAsia"/>
                <w:szCs w:val="21"/>
              </w:rPr>
              <w:t>0</w:t>
            </w:r>
          </w:p>
        </w:tc>
        <w:tc>
          <w:tcPr>
            <w:tcW w:w="567" w:type="dxa"/>
            <w:vAlign w:val="center"/>
          </w:tcPr>
          <w:p>
            <w:pPr>
              <w:rPr>
                <w:szCs w:val="21"/>
              </w:rPr>
            </w:pPr>
            <w:r>
              <w:rPr>
                <w:rFonts w:hint="eastAsia"/>
                <w:szCs w:val="21"/>
              </w:rPr>
              <w:t>2</w:t>
            </w:r>
          </w:p>
        </w:tc>
        <w:tc>
          <w:tcPr>
            <w:tcW w:w="851" w:type="dxa"/>
            <w:vAlign w:val="center"/>
          </w:tcPr>
          <w:p>
            <w:pPr>
              <w:rPr>
                <w:szCs w:val="21"/>
              </w:rPr>
            </w:pPr>
            <w:r>
              <w:rPr>
                <w:rFonts w:hint="eastAsia"/>
                <w:szCs w:val="21"/>
              </w:rPr>
              <w:t>0</w:t>
            </w:r>
          </w:p>
        </w:tc>
        <w:tc>
          <w:tcPr>
            <w:tcW w:w="650" w:type="dxa"/>
            <w:vAlign w:val="center"/>
          </w:tcPr>
          <w:p>
            <w:pPr>
              <w:rPr>
                <w:szCs w:val="21"/>
              </w:rPr>
            </w:pPr>
            <w:r>
              <w:rPr>
                <w:rFonts w:hint="eastAsia"/>
                <w:szCs w:val="21"/>
              </w:rPr>
              <w:t>0</w:t>
            </w:r>
          </w:p>
        </w:tc>
        <w:tc>
          <w:tcPr>
            <w:tcW w:w="767" w:type="dxa"/>
            <w:vAlign w:val="center"/>
          </w:tcPr>
          <w:p>
            <w:pPr>
              <w:rPr>
                <w:szCs w:val="21"/>
              </w:rPr>
            </w:pPr>
            <w:r>
              <w:rPr>
                <w:rFonts w:hint="eastAsia"/>
                <w:szCs w:val="21"/>
              </w:rPr>
              <w:t>0</w:t>
            </w:r>
          </w:p>
        </w:tc>
        <w:tc>
          <w:tcPr>
            <w:tcW w:w="709" w:type="dxa"/>
            <w:vAlign w:val="center"/>
          </w:tcPr>
          <w:p>
            <w:pPr>
              <w:rPr>
                <w:szCs w:val="21"/>
              </w:rPr>
            </w:pPr>
            <w:r>
              <w:rPr>
                <w:rFonts w:hint="eastAsia"/>
                <w:szCs w:val="21"/>
              </w:rPr>
              <w:t>0</w:t>
            </w:r>
          </w:p>
        </w:tc>
        <w:tc>
          <w:tcPr>
            <w:tcW w:w="425" w:type="dxa"/>
            <w:vAlign w:val="center"/>
          </w:tcPr>
          <w:p>
            <w:pPr>
              <w:rPr>
                <w:szCs w:val="21"/>
              </w:rPr>
            </w:pPr>
            <w:r>
              <w:rPr>
                <w:rFonts w:hint="eastAsia"/>
                <w:szCs w:val="21"/>
              </w:rPr>
              <w:t>0</w:t>
            </w:r>
          </w:p>
        </w:tc>
      </w:tr>
    </w:tbl>
    <w:p>
      <w:pPr>
        <w:ind w:firstLine="640" w:firstLineChars="200"/>
        <w:rPr>
          <w:rFonts w:ascii="黑体" w:hAnsi="黑体" w:eastAsia="黑体"/>
          <w:sz w:val="32"/>
          <w:szCs w:val="32"/>
        </w:rPr>
      </w:pPr>
      <w:r>
        <w:rPr>
          <w:rFonts w:hint="eastAsia" w:ascii="黑体" w:hAnsi="黑体" w:eastAsia="黑体"/>
          <w:sz w:val="32"/>
          <w:szCs w:val="32"/>
        </w:rPr>
        <w:t>五、存在的主要问题及改进情况</w:t>
      </w:r>
    </w:p>
    <w:p>
      <w:pPr>
        <w:widowControl/>
        <w:shd w:val="clear" w:color="auto" w:fill="FFFFFF"/>
        <w:ind w:firstLine="640" w:firstLineChars="200"/>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（一）存在的不足。一是公开平台建设还不够完善，内容更新不够全面。二是需进一步扩大政务微博、微信公众号等新媒体的影响力。三是主动公开责任意识有待进一步增强</w:t>
      </w:r>
      <w:r>
        <w:rPr>
          <w:rFonts w:hint="eastAsia" w:ascii="仿宋_GB2312" w:hAnsi="微软雅黑" w:eastAsia="仿宋_GB2312" w:cs="宋体"/>
          <w:color w:val="333333"/>
          <w:kern w:val="0"/>
          <w:sz w:val="32"/>
          <w:szCs w:val="32"/>
        </w:rPr>
        <w:drawing>
          <wp:inline distT="0" distB="0" distL="0" distR="0">
            <wp:extent cx="9525" cy="9525"/>
            <wp:effectExtent l="0" t="0" r="0" b="0"/>
            <wp:docPr id="17" name="图片 17"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18" name="图片 18"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19" name="图片 19"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20" name="图片 20"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21" name="图片 21"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22" name="图片 22"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23" name="图片 23"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24" name="图片 24"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25" name="图片 25"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26" name="图片 26"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27" name="图片 27"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28" name="图片 28"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t>。四是部分政府信息公开的广度有待于进一步拓宽、深度有待于进一步加强。</w:t>
      </w:r>
      <w:r>
        <w:rPr>
          <w:rFonts w:hint="eastAsia" w:ascii="仿宋_GB2312" w:hAnsi="微软雅黑" w:eastAsia="仿宋_GB2312" w:cs="宋体"/>
          <w:color w:val="333333"/>
          <w:kern w:val="0"/>
          <w:sz w:val="32"/>
          <w:szCs w:val="32"/>
        </w:rPr>
        <w:drawing>
          <wp:inline distT="0" distB="0" distL="0" distR="0">
            <wp:extent cx="9525" cy="9525"/>
            <wp:effectExtent l="0" t="0" r="0" b="0"/>
            <wp:docPr id="29" name="图片 29"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30" name="图片 30"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31" name="图片 31"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32" name="图片 32"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33" name="图片 33"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34" name="图片 34"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35" name="图片 35"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36" name="图片 36"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37" name="图片 37"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38" name="图片 38"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39" name="图片 39"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40" name="图片 40"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41" name="图片 41"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42" name="图片 42"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43" name="图片 43"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44" name="图片 44"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45" name="图片 45"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46" name="图片 46"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47" name="图片 47"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48" name="图片 48"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49" name="图片 49"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50" name="图片 50"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33333"/>
          <w:kern w:val="0"/>
          <w:sz w:val="32"/>
          <w:szCs w:val="32"/>
        </w:rPr>
        <w:drawing>
          <wp:inline distT="0" distB="0" distL="0" distR="0">
            <wp:extent cx="9525" cy="9525"/>
            <wp:effectExtent l="0" t="0" r="0" b="0"/>
            <wp:docPr id="51" name="图片 51"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微软雅黑" w:hAnsi="微软雅黑" w:eastAsia="仿宋_GB2312" w:cs="宋体"/>
          <w:color w:val="333333"/>
          <w:kern w:val="0"/>
          <w:sz w:val="32"/>
          <w:szCs w:val="32"/>
        </w:rPr>
        <w:t> </w:t>
      </w:r>
    </w:p>
    <w:p>
      <w:pPr>
        <w:widowControl/>
        <w:shd w:val="clear" w:color="auto" w:fill="FFFFFF"/>
        <w:ind w:firstLine="640" w:firstLineChars="200"/>
        <w:rPr>
          <w:rFonts w:ascii="仿宋_GB2312" w:hAnsi="微软雅黑" w:eastAsia="仿宋_GB2312" w:cs="宋体"/>
          <w:color w:val="3D3D3D"/>
          <w:kern w:val="0"/>
          <w:sz w:val="32"/>
          <w:szCs w:val="32"/>
        </w:rPr>
      </w:pPr>
      <w:r>
        <w:rPr>
          <w:rFonts w:hint="eastAsia" w:ascii="仿宋_GB2312" w:hAnsi="微软雅黑" w:eastAsia="仿宋_GB2312" w:cs="宋体"/>
          <w:color w:val="3D3D3D"/>
          <w:kern w:val="0"/>
          <w:sz w:val="32"/>
          <w:szCs w:val="32"/>
        </w:rPr>
        <w:t>（二）改进措施。</w:t>
      </w:r>
      <w:r>
        <w:rPr>
          <w:rFonts w:hint="eastAsia" w:ascii="仿宋_GB2312" w:hAnsi="微软雅黑" w:eastAsia="仿宋_GB2312" w:cs="宋体"/>
          <w:color w:val="3D3D3D"/>
          <w:kern w:val="0"/>
          <w:sz w:val="32"/>
          <w:szCs w:val="32"/>
        </w:rPr>
        <w:drawing>
          <wp:inline distT="0" distB="0" distL="0" distR="0">
            <wp:extent cx="9525" cy="9525"/>
            <wp:effectExtent l="0" t="0" r="0" b="0"/>
            <wp:docPr id="52" name="图片 52"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D3D3D"/>
          <w:kern w:val="0"/>
          <w:sz w:val="32"/>
          <w:szCs w:val="32"/>
        </w:rPr>
        <w:drawing>
          <wp:inline distT="0" distB="0" distL="0" distR="0">
            <wp:extent cx="9525" cy="9525"/>
            <wp:effectExtent l="0" t="0" r="0" b="0"/>
            <wp:docPr id="53" name="图片 53"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D3D3D"/>
          <w:kern w:val="0"/>
          <w:sz w:val="32"/>
          <w:szCs w:val="32"/>
        </w:rPr>
        <w:drawing>
          <wp:inline distT="0" distB="0" distL="0" distR="0">
            <wp:extent cx="9525" cy="9525"/>
            <wp:effectExtent l="0" t="0" r="0" b="0"/>
            <wp:docPr id="54" name="图片 54" descr="http://zygh.fuzhou.gov.cn/zfxxgkzl/ndbg/202001/W020200113538245748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http://zygh.fuzhou.gov.cn/zfxxgkzl/ndbg/202001/W020200113538245748079.gif"/>
                    <pic:cNvPicPr>
                      <a:picLocks noChangeAspect="1" noChangeArrowheads="1"/>
                    </pic:cNvPicPr>
                  </pic:nvPicPr>
                  <pic:blipFill>
                    <a:blip r:embed="rId5"/>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微软雅黑" w:eastAsia="仿宋_GB2312" w:cs="宋体"/>
          <w:color w:val="3D3D3D"/>
          <w:kern w:val="0"/>
          <w:sz w:val="32"/>
          <w:szCs w:val="32"/>
        </w:rPr>
        <w:t>一是加强公开平台建设。按照机构改革方案和职能调整的有关要求，进一步完善本局门户网站建设，及时对栏目设置进行完善，增强信息发布功能，不断扩大门户网站影响力。二是加大对微信公众号、政务微博的管理。由专人负责更新维护，加大更新速度。三是进一步增强对政务公开工作重要性的认识。做好新修订的《政府信息公开条例》专题学习培训，加强业务培训和研讨交流。围绕自然资源中心工作，采取切实有效措施全面推进决策、执行、管理、服务和结果“五公开”。四是进一步梳理政府信息。按照“公开为原则，不公开为例外”的总体要求，及时梳理政府信息，提供有效保障，确保政府信息公开重点工作能按照既定的工作流程有效运作，方便公众查询。</w:t>
      </w:r>
    </w:p>
    <w:p>
      <w:pPr>
        <w:ind w:firstLine="640" w:firstLineChars="200"/>
        <w:rPr>
          <w:rFonts w:ascii="黑体" w:hAnsi="黑体" w:eastAsia="黑体"/>
          <w:sz w:val="32"/>
          <w:szCs w:val="32"/>
        </w:rPr>
      </w:pPr>
      <w:r>
        <w:rPr>
          <w:rFonts w:hint="eastAsia" w:ascii="黑体" w:hAnsi="黑体" w:eastAsia="黑体"/>
          <w:sz w:val="32"/>
          <w:szCs w:val="32"/>
        </w:rPr>
        <w:t>六、其他需要报告的事项</w:t>
      </w:r>
    </w:p>
    <w:p>
      <w:pPr>
        <w:ind w:firstLine="640" w:firstLineChars="200"/>
        <w:rPr>
          <w:rFonts w:ascii="仿宋_GB2312" w:eastAsia="仿宋_GB2312"/>
          <w:b/>
          <w:sz w:val="32"/>
          <w:szCs w:val="32"/>
        </w:rPr>
      </w:pPr>
      <w:r>
        <w:rPr>
          <w:rFonts w:hint="eastAsia" w:ascii="仿宋_GB2312" w:hAnsi="微软雅黑" w:eastAsia="仿宋_GB2312" w:cs="宋体"/>
          <w:color w:val="3D3D3D"/>
          <w:kern w:val="0"/>
          <w:sz w:val="32"/>
          <w:szCs w:val="32"/>
        </w:rPr>
        <w:t>本年报所列数据的统计期限自2019年1月1日起至2019年12月31日止。报告全文将通过桓台县人民政府门户网站（网址：http://www.huantai.gov.cn/）公开。如有疑问请与桓台县自然资源局信息中心联系（地址：桓台县索镇中心大街729号，联系电话：0533-8213669）。</w:t>
      </w:r>
    </w:p>
    <w:p>
      <w:pPr>
        <w:ind w:firstLine="560" w:firstLineChars="200"/>
        <w:rPr>
          <w:sz w:val="28"/>
          <w:szCs w:val="28"/>
        </w:rPr>
      </w:pPr>
    </w:p>
    <w:sectPr>
      <w:footerReference r:id="rId3" w:type="default"/>
      <w:pgSz w:w="11906" w:h="16838"/>
      <w:pgMar w:top="1588" w:right="1588" w:bottom="1588"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45969"/>
      <w:docPartObj>
        <w:docPartGallery w:val="AutoText"/>
      </w:docPartObj>
    </w:sdtPr>
    <w:sdtContent>
      <w:p>
        <w:pPr>
          <w:pStyle w:val="3"/>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04258"/>
    <w:rsid w:val="00024810"/>
    <w:rsid w:val="000414C6"/>
    <w:rsid w:val="00050AF3"/>
    <w:rsid w:val="00086878"/>
    <w:rsid w:val="00087FF0"/>
    <w:rsid w:val="001510BE"/>
    <w:rsid w:val="00184B51"/>
    <w:rsid w:val="001C0CD2"/>
    <w:rsid w:val="001E4F2E"/>
    <w:rsid w:val="00200950"/>
    <w:rsid w:val="00216261"/>
    <w:rsid w:val="00260565"/>
    <w:rsid w:val="00270C0E"/>
    <w:rsid w:val="002A188B"/>
    <w:rsid w:val="002B6F68"/>
    <w:rsid w:val="003208AE"/>
    <w:rsid w:val="0033167D"/>
    <w:rsid w:val="003D7EB2"/>
    <w:rsid w:val="00405DB6"/>
    <w:rsid w:val="00420F86"/>
    <w:rsid w:val="00481ED7"/>
    <w:rsid w:val="004D2882"/>
    <w:rsid w:val="005977BF"/>
    <w:rsid w:val="00697EE4"/>
    <w:rsid w:val="00714451"/>
    <w:rsid w:val="00717EE3"/>
    <w:rsid w:val="00732D81"/>
    <w:rsid w:val="00733F31"/>
    <w:rsid w:val="00741A40"/>
    <w:rsid w:val="00746739"/>
    <w:rsid w:val="007611C0"/>
    <w:rsid w:val="007F43FC"/>
    <w:rsid w:val="00811C33"/>
    <w:rsid w:val="00892DC4"/>
    <w:rsid w:val="009126C7"/>
    <w:rsid w:val="00920A8C"/>
    <w:rsid w:val="00935E77"/>
    <w:rsid w:val="0096093C"/>
    <w:rsid w:val="00967F39"/>
    <w:rsid w:val="00997D4F"/>
    <w:rsid w:val="009B1C9F"/>
    <w:rsid w:val="009F370F"/>
    <w:rsid w:val="00A43170"/>
    <w:rsid w:val="00A93492"/>
    <w:rsid w:val="00AA541D"/>
    <w:rsid w:val="00AB0BD0"/>
    <w:rsid w:val="00AC222F"/>
    <w:rsid w:val="00AD49B5"/>
    <w:rsid w:val="00B50D39"/>
    <w:rsid w:val="00B95D24"/>
    <w:rsid w:val="00BF42A9"/>
    <w:rsid w:val="00C0526F"/>
    <w:rsid w:val="00C61A42"/>
    <w:rsid w:val="00C762CA"/>
    <w:rsid w:val="00CA24FE"/>
    <w:rsid w:val="00D201BD"/>
    <w:rsid w:val="00D33F3A"/>
    <w:rsid w:val="00D7593B"/>
    <w:rsid w:val="00D7673F"/>
    <w:rsid w:val="00E03F11"/>
    <w:rsid w:val="00E04258"/>
    <w:rsid w:val="00E41925"/>
    <w:rsid w:val="00E41C6D"/>
    <w:rsid w:val="00E82A61"/>
    <w:rsid w:val="00EA3993"/>
    <w:rsid w:val="00EF0A90"/>
    <w:rsid w:val="00FA3378"/>
    <w:rsid w:val="00FE3091"/>
    <w:rsid w:val="33712D90"/>
    <w:rsid w:val="4DE9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semiHidden/>
    <w:qFormat/>
    <w:uiPriority w:val="99"/>
    <w:rPr>
      <w:kern w:val="2"/>
      <w:sz w:val="18"/>
      <w:szCs w:val="18"/>
    </w:rPr>
  </w:style>
  <w:style w:type="character" w:customStyle="1" w:styleId="10">
    <w:name w:val="页脚 Char"/>
    <w:basedOn w:val="8"/>
    <w:link w:val="3"/>
    <w:qFormat/>
    <w:uiPriority w:val="99"/>
    <w:rPr>
      <w:kern w:val="2"/>
      <w:sz w:val="18"/>
      <w:szCs w:val="18"/>
    </w:rPr>
  </w:style>
  <w:style w:type="character" w:customStyle="1" w:styleId="11">
    <w:name w:val="批注框文本 Char"/>
    <w:basedOn w:val="8"/>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8</Pages>
  <Words>583</Words>
  <Characters>3329</Characters>
  <Lines>27</Lines>
  <Paragraphs>7</Paragraphs>
  <TotalTime>9</TotalTime>
  <ScaleCrop>false</ScaleCrop>
  <LinksUpToDate>false</LinksUpToDate>
  <CharactersWithSpaces>3905</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2020-01-21T06:15:00Z</dcterms:created>
  <dc:creator>China</dc:creator>
  <cp:lastModifiedBy>。。。</cp:lastModifiedBy>
  <dcterms:modified xsi:type="dcterms:W3CDTF">2021-01-29T06:46:44Z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