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22" w:rsidRDefault="00CA6F22">
      <w:pPr>
        <w:pStyle w:val="a5"/>
        <w:spacing w:line="560" w:lineRule="exact"/>
        <w:ind w:firstLine="480"/>
        <w:jc w:val="center"/>
        <w:rPr>
          <w:rFonts w:eastAsia="宋体"/>
          <w:szCs w:val="32"/>
        </w:rPr>
      </w:pPr>
    </w:p>
    <w:p w:rsidR="00CA6F22" w:rsidRDefault="00CA6F22">
      <w:pPr>
        <w:pStyle w:val="a5"/>
        <w:spacing w:line="560" w:lineRule="exact"/>
        <w:jc w:val="center"/>
        <w:rPr>
          <w:rFonts w:eastAsia="宋体"/>
          <w:szCs w:val="32"/>
        </w:rPr>
      </w:pPr>
    </w:p>
    <w:p w:rsidR="00CA6F22" w:rsidRDefault="00CA6F22">
      <w:pPr>
        <w:pStyle w:val="a5"/>
        <w:spacing w:line="560" w:lineRule="exact"/>
        <w:jc w:val="center"/>
        <w:rPr>
          <w:rFonts w:eastAsia="宋体"/>
          <w:szCs w:val="32"/>
        </w:rPr>
      </w:pPr>
    </w:p>
    <w:p w:rsidR="00CA6F22" w:rsidRDefault="00CA6F22" w:rsidP="005B3333">
      <w:pPr>
        <w:pStyle w:val="a5"/>
        <w:spacing w:line="560" w:lineRule="exact"/>
        <w:ind w:leftChars="0" w:left="538" w:hangingChars="192" w:hanging="538"/>
        <w:jc w:val="center"/>
        <w:rPr>
          <w:rFonts w:eastAsia="宋体"/>
          <w:b w:val="0"/>
          <w:sz w:val="28"/>
          <w:szCs w:val="28"/>
        </w:rPr>
      </w:pPr>
    </w:p>
    <w:p w:rsidR="00CA6F22" w:rsidRDefault="00CA6F22" w:rsidP="005B3333">
      <w:pPr>
        <w:pStyle w:val="a5"/>
        <w:spacing w:line="560" w:lineRule="exact"/>
        <w:ind w:leftChars="0" w:left="538" w:hangingChars="192" w:hanging="538"/>
        <w:jc w:val="center"/>
        <w:rPr>
          <w:rFonts w:eastAsia="宋体"/>
          <w:b w:val="0"/>
          <w:sz w:val="28"/>
          <w:szCs w:val="28"/>
        </w:rPr>
      </w:pPr>
    </w:p>
    <w:p w:rsidR="00CA6F22" w:rsidRDefault="00CA6F22" w:rsidP="005B3333">
      <w:pPr>
        <w:pStyle w:val="a5"/>
        <w:spacing w:line="560" w:lineRule="exact"/>
        <w:ind w:leftChars="0" w:left="538" w:hangingChars="192" w:hanging="538"/>
        <w:jc w:val="center"/>
        <w:rPr>
          <w:rFonts w:eastAsia="宋体"/>
          <w:b w:val="0"/>
          <w:sz w:val="28"/>
          <w:szCs w:val="28"/>
        </w:rPr>
      </w:pPr>
    </w:p>
    <w:p w:rsidR="00CA6F22" w:rsidRDefault="0041454E">
      <w:pPr>
        <w:pStyle w:val="a5"/>
        <w:spacing w:line="560" w:lineRule="exact"/>
        <w:ind w:leftChars="0" w:left="614" w:rightChars="12" w:right="25" w:hangingChars="192" w:hanging="614"/>
        <w:rPr>
          <w:rFonts w:eastAsia="楷体"/>
          <w:b w:val="0"/>
          <w:szCs w:val="32"/>
        </w:rPr>
      </w:pPr>
      <w:r>
        <w:rPr>
          <w:rFonts w:eastAsia="楷体"/>
          <w:b w:val="0"/>
          <w:szCs w:val="32"/>
        </w:rPr>
        <w:t>桓环许字﹝</w:t>
      </w:r>
      <w:r>
        <w:rPr>
          <w:rFonts w:eastAsia="楷体" w:hint="eastAsia"/>
          <w:b w:val="0"/>
          <w:szCs w:val="32"/>
        </w:rPr>
        <w:t>2021</w:t>
      </w:r>
      <w:r>
        <w:rPr>
          <w:rFonts w:eastAsia="楷体"/>
          <w:b w:val="0"/>
          <w:szCs w:val="32"/>
        </w:rPr>
        <w:t>﹞</w:t>
      </w:r>
      <w:r>
        <w:rPr>
          <w:rFonts w:eastAsia="楷体" w:hint="eastAsia"/>
          <w:b w:val="0"/>
          <w:szCs w:val="32"/>
        </w:rPr>
        <w:t>11</w:t>
      </w:r>
      <w:r>
        <w:rPr>
          <w:rFonts w:eastAsia="楷体"/>
          <w:b w:val="0"/>
          <w:szCs w:val="32"/>
        </w:rPr>
        <w:t>号</w:t>
      </w:r>
      <w:r w:rsidR="005B3333">
        <w:rPr>
          <w:rFonts w:eastAsia="楷体" w:hint="eastAsia"/>
          <w:b w:val="0"/>
          <w:szCs w:val="32"/>
        </w:rPr>
        <w:t xml:space="preserve">                      </w:t>
      </w:r>
      <w:r>
        <w:rPr>
          <w:rFonts w:eastAsia="楷体"/>
          <w:b w:val="0"/>
          <w:szCs w:val="32"/>
        </w:rPr>
        <w:t xml:space="preserve"> </w:t>
      </w:r>
      <w:r>
        <w:rPr>
          <w:rFonts w:eastAsia="楷体"/>
          <w:b w:val="0"/>
          <w:szCs w:val="32"/>
        </w:rPr>
        <w:t>签发：宋</w:t>
      </w:r>
      <w:r>
        <w:rPr>
          <w:rFonts w:eastAsia="楷体"/>
          <w:b w:val="0"/>
          <w:szCs w:val="32"/>
        </w:rPr>
        <w:t xml:space="preserve">  </w:t>
      </w:r>
      <w:r>
        <w:rPr>
          <w:rFonts w:eastAsia="楷体"/>
          <w:b w:val="0"/>
          <w:szCs w:val="32"/>
        </w:rPr>
        <w:t>强</w:t>
      </w:r>
    </w:p>
    <w:p w:rsidR="00CA6F22" w:rsidRDefault="00CA6F22">
      <w:pPr>
        <w:pStyle w:val="a5"/>
        <w:spacing w:line="56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</w:p>
    <w:p w:rsidR="00CA6F22" w:rsidRDefault="0041454E" w:rsidP="005B3333">
      <w:pPr>
        <w:pStyle w:val="a5"/>
        <w:spacing w:line="560" w:lineRule="exact"/>
        <w:ind w:leftChars="-85" w:left="38" w:rightChars="-159" w:right="-334" w:hangingChars="49" w:hanging="216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bCs w:val="0"/>
          <w:sz w:val="44"/>
          <w:szCs w:val="44"/>
        </w:rPr>
        <w:t>关于</w:t>
      </w:r>
      <w:r>
        <w:rPr>
          <w:rFonts w:ascii="方正小标宋简体" w:eastAsia="方正小标宋简体" w:hint="eastAsia"/>
          <w:b w:val="0"/>
          <w:sz w:val="44"/>
          <w:szCs w:val="44"/>
        </w:rPr>
        <w:t>中恒新材料科技（山东）有限责任公司</w:t>
      </w:r>
    </w:p>
    <w:p w:rsidR="00CA6F22" w:rsidRDefault="0041454E" w:rsidP="005B3333">
      <w:pPr>
        <w:pStyle w:val="a5"/>
        <w:spacing w:line="560" w:lineRule="exact"/>
        <w:ind w:leftChars="-85" w:left="38" w:rightChars="-159" w:right="-334" w:hangingChars="49" w:hanging="216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高性能气体分离膜产业化项目</w:t>
      </w:r>
      <w:r>
        <w:rPr>
          <w:rFonts w:ascii="方正小标宋简体" w:eastAsia="方正小标宋简体" w:hint="eastAsia"/>
          <w:b w:val="0"/>
          <w:bCs w:val="0"/>
          <w:sz w:val="44"/>
          <w:szCs w:val="44"/>
        </w:rPr>
        <w:t>环境影响</w:t>
      </w:r>
    </w:p>
    <w:p w:rsidR="00CA6F22" w:rsidRDefault="0041454E" w:rsidP="005B3333">
      <w:pPr>
        <w:pStyle w:val="a5"/>
        <w:spacing w:line="560" w:lineRule="exact"/>
        <w:ind w:leftChars="-85" w:left="38" w:rightChars="-159" w:right="-334" w:hangingChars="49" w:hanging="216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bCs w:val="0"/>
          <w:sz w:val="44"/>
          <w:szCs w:val="44"/>
        </w:rPr>
        <w:t>报告表的审批意见</w:t>
      </w:r>
    </w:p>
    <w:p w:rsidR="00CA6F22" w:rsidRDefault="00CA6F22" w:rsidP="005B3333">
      <w:pPr>
        <w:pStyle w:val="a5"/>
        <w:spacing w:line="560" w:lineRule="exact"/>
        <w:ind w:leftChars="-85" w:left="-21" w:rightChars="-159" w:right="-334" w:hangingChars="49" w:hanging="157"/>
        <w:jc w:val="left"/>
        <w:rPr>
          <w:rFonts w:eastAsia="仿宋"/>
          <w:b w:val="0"/>
          <w:bCs w:val="0"/>
          <w:szCs w:val="32"/>
        </w:rPr>
      </w:pPr>
    </w:p>
    <w:p w:rsidR="00CA6F22" w:rsidRDefault="0041454E">
      <w:pPr>
        <w:pStyle w:val="a5"/>
        <w:spacing w:line="520" w:lineRule="exact"/>
        <w:ind w:leftChars="0" w:left="0" w:rightChars="0" w:right="0"/>
        <w:jc w:val="left"/>
        <w:rPr>
          <w:rFonts w:ascii="仿宋_GB2312" w:eastAsia="仿宋_GB2312" w:hAnsi="仿宋_GB2312" w:cs="仿宋_GB2312"/>
          <w:b w:val="0"/>
          <w:bCs w:val="0"/>
          <w:szCs w:val="32"/>
        </w:rPr>
      </w:pPr>
      <w:r>
        <w:rPr>
          <w:rFonts w:ascii="仿宋_GB2312" w:eastAsia="仿宋_GB2312" w:hAnsi="仿宋_GB2312" w:cs="仿宋_GB2312" w:hint="eastAsia"/>
          <w:b w:val="0"/>
          <w:szCs w:val="32"/>
        </w:rPr>
        <w:t>中恒新材料科技（山东）有限责任公司</w:t>
      </w:r>
      <w:r>
        <w:rPr>
          <w:rFonts w:ascii="仿宋_GB2312" w:eastAsia="仿宋_GB2312" w:hAnsi="仿宋_GB2312" w:cs="仿宋_GB2312" w:hint="eastAsia"/>
          <w:b w:val="0"/>
          <w:bCs w:val="0"/>
          <w:szCs w:val="32"/>
        </w:rPr>
        <w:t>：</w:t>
      </w:r>
    </w:p>
    <w:p w:rsidR="00CA6F22" w:rsidRDefault="0041454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报来《高性能气体分离膜产业化项目环境影响报告表》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（山东美陵中联环境工程有限公司编制）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收悉。经桓台县投资项目联合审批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办公室及我局研究，根据环评文件，提出如下审批意见：</w:t>
      </w:r>
    </w:p>
    <w:p w:rsidR="00CA6F22" w:rsidRDefault="0041454E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一、该项目为新建项目。建设地点位于桓台县膜产业示范园，占地面积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15500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平方米，总投资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12000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万元，其中环保投资</w:t>
      </w:r>
      <w:r w:rsidR="005B3333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购置自动裁切机等主要生产及配套设备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台（套）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项目建成后年产</w:t>
      </w:r>
      <w:r>
        <w:rPr>
          <w:rFonts w:ascii="仿宋_GB2312" w:eastAsia="仿宋_GB2312" w:hAnsi="仿宋_GB2312" w:cs="仿宋_GB2312" w:hint="eastAsia"/>
          <w:sz w:val="32"/>
          <w:szCs w:val="32"/>
        </w:rPr>
        <w:t>9.6</w:t>
      </w:r>
      <w:r>
        <w:rPr>
          <w:rFonts w:ascii="仿宋_GB2312" w:eastAsia="仿宋_GB2312" w:hAnsi="仿宋_GB2312" w:cs="仿宋_GB2312" w:hint="eastAsia"/>
          <w:sz w:val="32"/>
          <w:szCs w:val="32"/>
        </w:rPr>
        <w:t>英寸膜元件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万支、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英寸膜元件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万支、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英寸膜元件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万支、商用及家用膜元件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万支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（设备及工艺流程详见环评报告表）</w:t>
      </w:r>
    </w:p>
    <w:p w:rsidR="00CA6F22" w:rsidRDefault="0041454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该项目环境影响报告表及相关材料已在淄博市生态</w:t>
      </w:r>
      <w:r w:rsidR="003B05C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局桓台分局官方网站进行了公示，公示期间未收到公众反对意见。根据环评结论，在落实报告表提出的各项污染防治、环境风险防范措施和满足污染物总量控制要求的前提下，从环保角度分析，项目建设可行。同意该项目按申报工艺、规模、地点和污染防治措施等进行建设。</w:t>
      </w:r>
    </w:p>
    <w:p w:rsidR="00CA6F22" w:rsidRDefault="0041454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二、项目在营运期必须严格落实环境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影响报告表中提出的各项污染防治措施和以下要求：</w:t>
      </w:r>
    </w:p>
    <w:p w:rsidR="00CA6F22" w:rsidRDefault="0041454E">
      <w:pPr>
        <w:spacing w:line="52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该项目废气主要为胶黏剂使用过程中挥发产生的废气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经集气罩收集，二级活性炭吸附装置处理后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15m</w:t>
      </w:r>
      <w:r>
        <w:rPr>
          <w:rFonts w:ascii="仿宋_GB2312" w:eastAsia="仿宋_GB2312" w:hAnsi="仿宋_GB2312" w:cs="仿宋_GB2312" w:hint="eastAsia"/>
          <w:sz w:val="32"/>
          <w:szCs w:val="32"/>
        </w:rPr>
        <w:t>高排气筒有组织排放；有组织废气排放须满足《挥发性有机物排放标准第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部分：其他行业》（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DB37/2801.7-2019</w:t>
      </w:r>
      <w:r>
        <w:rPr>
          <w:rFonts w:ascii="仿宋_GB2312" w:eastAsia="仿宋_GB2312" w:hAnsi="仿宋_GB2312" w:cs="仿宋_GB2312" w:hint="eastAsia"/>
          <w:sz w:val="32"/>
          <w:szCs w:val="32"/>
        </w:rPr>
        <w:t>）表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中Ⅱ时段排放限值。未收集到的废气，也必须采取有效的处理措施，确保废气排放满足《大气污染物综合排放标准》（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GB16297-1996</w:t>
      </w:r>
      <w:r>
        <w:rPr>
          <w:rFonts w:ascii="仿宋_GB2312" w:eastAsia="仿宋_GB2312" w:hAnsi="仿宋_GB2312" w:cs="仿宋_GB2312" w:hint="eastAsia"/>
          <w:sz w:val="32"/>
          <w:szCs w:val="32"/>
        </w:rPr>
        <w:t>）表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中无组织排放监控浓度限值。</w:t>
      </w:r>
    </w:p>
    <w:p w:rsidR="00CA6F22" w:rsidRDefault="0041454E">
      <w:pPr>
        <w:adjustRightIn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该项目废水主要检测废水和生活污水。生活污水经厂区内化粪池处理后与检测废水统一</w:t>
      </w:r>
      <w:r>
        <w:rPr>
          <w:rFonts w:ascii="仿宋_GB2312" w:eastAsia="仿宋_GB2312" w:hAnsi="仿宋_GB2312" w:cs="仿宋_GB2312" w:hint="eastAsia"/>
          <w:sz w:val="32"/>
          <w:szCs w:val="32"/>
        </w:rPr>
        <w:t>排入污水管网进入淄博河润水务有限责任公司处理；废水排放须满足《污水排入城镇下水道水质标准》（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GB/T 31962-2015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级标准及淄博河润水务有限责任公司纳管水质要求。</w:t>
      </w:r>
    </w:p>
    <w:p w:rsidR="00CA6F22" w:rsidRDefault="0041454E">
      <w:pPr>
        <w:adjustRightIn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项目营运期产生的固体废物主要为生活垃圾、边角料、废活性炭。</w:t>
      </w:r>
    </w:p>
    <w:p w:rsidR="00CA6F22" w:rsidRDefault="0041454E" w:rsidP="005B3333">
      <w:pPr>
        <w:tabs>
          <w:tab w:val="left" w:pos="812"/>
        </w:tabs>
        <w:spacing w:line="520" w:lineRule="exact"/>
        <w:ind w:leftChars="-85" w:left="-178" w:rightChars="-159" w:right="-334" w:firstLineChars="194" w:firstLine="6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按照固体废物“资源化、减量化、无害化”原则，项目生产过程中产生的边角料，集中收集后外售；</w:t>
      </w:r>
      <w:r w:rsidR="005B3333">
        <w:rPr>
          <w:rFonts w:ascii="仿宋_GB2312" w:eastAsia="仿宋_GB2312" w:hAnsi="仿宋_GB2312" w:cs="仿宋_GB2312" w:hint="eastAsia"/>
          <w:sz w:val="32"/>
          <w:szCs w:val="32"/>
        </w:rPr>
        <w:t>胶黏剂包装桶集中收集后由</w:t>
      </w:r>
      <w:r w:rsidR="005B333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生产厂家回收；</w:t>
      </w:r>
      <w:r>
        <w:rPr>
          <w:rFonts w:ascii="仿宋_GB2312" w:eastAsia="仿宋_GB2312" w:hAnsi="仿宋_GB2312" w:cs="仿宋_GB2312" w:hint="eastAsia"/>
          <w:sz w:val="32"/>
          <w:szCs w:val="32"/>
        </w:rPr>
        <w:t>废活性炭等危险废物必须按协议全部交由有资质的单位回收处理，并做好记录，严禁擅自排放、倾倒；生活垃圾由环卫部门定期清理外运。一般固废须满足《一般工业固体废物贮存和填埋污染控制标准》（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  <w:szCs w:val="32"/>
        </w:rPr>
        <w:t>18599-2020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）；危险废物须满足《危险废物贮存污染控制标准》（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GB18597-2001</w:t>
      </w:r>
      <w:r>
        <w:rPr>
          <w:rFonts w:ascii="仿宋_GB2312" w:eastAsia="仿宋_GB2312" w:hAnsi="仿宋_GB2312" w:cs="仿宋_GB2312" w:hint="eastAsia"/>
          <w:sz w:val="32"/>
          <w:szCs w:val="32"/>
        </w:rPr>
        <w:t>）及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年修改单要求。</w:t>
      </w:r>
    </w:p>
    <w:p w:rsidR="00CA6F22" w:rsidRDefault="0041454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项目要对高噪音设备采取减震、消音、隔音等措施，确保厂界噪声满足《工业企业厂界环境噪声排放标准》（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GB12348-2008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类功能区标准（昼间≤</w:t>
      </w:r>
      <w:r>
        <w:rPr>
          <w:rFonts w:ascii="仿宋_GB2312" w:eastAsia="仿宋_GB2312" w:hAnsi="仿宋_GB2312" w:cs="仿宋_GB2312" w:hint="eastAsia"/>
          <w:sz w:val="32"/>
          <w:szCs w:val="32"/>
        </w:rPr>
        <w:t>60dB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夜间≤</w:t>
      </w:r>
      <w:r>
        <w:rPr>
          <w:rFonts w:ascii="仿宋_GB2312" w:eastAsia="仿宋_GB2312" w:hAnsi="仿宋_GB2312" w:cs="仿宋_GB2312" w:hint="eastAsia"/>
          <w:sz w:val="32"/>
          <w:szCs w:val="32"/>
        </w:rPr>
        <w:t>50dB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））要求，严防噪声扰民。</w:t>
      </w:r>
    </w:p>
    <w:p w:rsidR="00CA6F22" w:rsidRDefault="0041454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加强环保宣传教育，制定环保管理制度，严格落实《关于进一步规范和加强企业环境管理的意见》（淄环发</w:t>
      </w:r>
      <w:r>
        <w:rPr>
          <w:rFonts w:ascii="仿宋_GB2312" w:eastAsia="仿宋_GB2312" w:hAnsi="仿宋_GB2312" w:cs="仿宋_GB2312" w:hint="eastAsia"/>
          <w:sz w:val="32"/>
          <w:szCs w:val="32"/>
        </w:rPr>
        <w:t>[2010]60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号），并作为环保验收的必要条件。</w:t>
      </w:r>
    </w:p>
    <w:p w:rsidR="00CA6F22" w:rsidRDefault="0041454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该项目建成后，主要污染物排放量应</w:t>
      </w:r>
      <w:r>
        <w:rPr>
          <w:rFonts w:ascii="仿宋_GB2312" w:eastAsia="仿宋_GB2312" w:hAnsi="仿宋_GB2312" w:cs="仿宋_GB2312" w:hint="eastAsia"/>
          <w:sz w:val="32"/>
          <w:szCs w:val="32"/>
        </w:rPr>
        <w:t>控制在该项目确认的总量控制指标之内，并严格按照《排污许可管理办法（试行）》及《排污许可分类管理名录》等相关要求，做好排污许可证</w:t>
      </w:r>
      <w:r>
        <w:rPr>
          <w:rFonts w:ascii="仿宋_GB2312" w:eastAsia="仿宋_GB2312" w:hAnsi="仿宋_GB2312" w:cs="仿宋_GB2312" w:hint="eastAsia"/>
          <w:sz w:val="32"/>
          <w:szCs w:val="32"/>
        </w:rPr>
        <w:t>申领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</w:p>
    <w:p w:rsidR="00CA6F22" w:rsidRDefault="0041454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有组织排气筒须按规范要求设置永久性监测采样孔和采样平台。凡符合在线监测安装要求的必须安装在线监控设施。</w:t>
      </w:r>
    </w:p>
    <w:p w:rsidR="00CA6F22" w:rsidRDefault="0041454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该项目如发生环境信访事件，影响周边环境质量，必须立即停产整改。</w:t>
      </w:r>
    </w:p>
    <w:p w:rsidR="00CA6F22" w:rsidRDefault="0041454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若该项目的性质、规模、地点、采用的生产工艺或者防治污染、防止生态破坏的措施发生重大变化，应当重新向我局申报环境影响评价文件。若项目在验收时所执行的排放标准发生变化，必须按新排放标准进行验收。</w:t>
      </w:r>
    </w:p>
    <w:p w:rsidR="00CA6F22" w:rsidRDefault="0041454E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四、项目建设须执行配套的环境保护设施与主体工程同时设计、同时施工、同时投产使用的“三同时”制度。项目建成后，要按照《建设项目环境保护管理条例》要求，及时组织建设项目环保竣工验收，经验收合格后方可正式投入使用。否则，我局将依法处理。</w:t>
      </w:r>
    </w:p>
    <w:p w:rsidR="00CA6F22" w:rsidRDefault="0041454E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五、唐山镇人民政府、桓台县生态环境保护综合执法大队负责该项目日常环境监察工作。</w:t>
      </w:r>
    </w:p>
    <w:p w:rsidR="00CA6F22" w:rsidRDefault="00CA6F22">
      <w:pPr>
        <w:spacing w:line="560" w:lineRule="exact"/>
        <w:ind w:leftChars="-85" w:left="-178" w:rightChars="-149" w:right="-313" w:firstLineChars="200" w:firstLine="640"/>
        <w:rPr>
          <w:rFonts w:ascii="仿宋_GB2312" w:eastAsia="仿宋_GB2312"/>
          <w:sz w:val="32"/>
          <w:szCs w:val="32"/>
        </w:rPr>
      </w:pPr>
    </w:p>
    <w:p w:rsidR="00CA6F22" w:rsidRDefault="00CA6F22">
      <w:pPr>
        <w:spacing w:line="560" w:lineRule="exact"/>
        <w:ind w:leftChars="-85" w:left="-178" w:rightChars="-149" w:right="-313" w:firstLineChars="200" w:firstLine="640"/>
        <w:rPr>
          <w:rFonts w:ascii="仿宋_GB2312" w:eastAsia="仿宋_GB2312"/>
          <w:sz w:val="32"/>
          <w:szCs w:val="32"/>
        </w:rPr>
      </w:pPr>
    </w:p>
    <w:p w:rsidR="00CA6F22" w:rsidRDefault="0041454E">
      <w:pPr>
        <w:spacing w:line="560" w:lineRule="exact"/>
        <w:ind w:leftChars="-85" w:left="-178" w:rightChars="-149" w:right="-313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淄博市生态环境局桓台分局</w:t>
      </w:r>
    </w:p>
    <w:p w:rsidR="00CA6F22" w:rsidRDefault="0041454E">
      <w:pPr>
        <w:spacing w:line="560" w:lineRule="exact"/>
        <w:ind w:leftChars="-85" w:left="-178" w:rightChars="-149" w:right="-313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CA6F22" w:rsidSect="00CA6F22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4E" w:rsidRDefault="0041454E" w:rsidP="005B3333">
      <w:r>
        <w:separator/>
      </w:r>
    </w:p>
  </w:endnote>
  <w:endnote w:type="continuationSeparator" w:id="1">
    <w:p w:rsidR="0041454E" w:rsidRDefault="0041454E" w:rsidP="005B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4E" w:rsidRDefault="0041454E" w:rsidP="005B3333">
      <w:r>
        <w:separator/>
      </w:r>
    </w:p>
  </w:footnote>
  <w:footnote w:type="continuationSeparator" w:id="1">
    <w:p w:rsidR="0041454E" w:rsidRDefault="0041454E" w:rsidP="005B3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431"/>
    <w:rsid w:val="000236DC"/>
    <w:rsid w:val="000273C8"/>
    <w:rsid w:val="000301E2"/>
    <w:rsid w:val="000760C6"/>
    <w:rsid w:val="00085FB8"/>
    <w:rsid w:val="000C5245"/>
    <w:rsid w:val="000D1122"/>
    <w:rsid w:val="000E118A"/>
    <w:rsid w:val="000F3B38"/>
    <w:rsid w:val="000F54E6"/>
    <w:rsid w:val="0010643D"/>
    <w:rsid w:val="001135B4"/>
    <w:rsid w:val="00115683"/>
    <w:rsid w:val="001227E2"/>
    <w:rsid w:val="001462D6"/>
    <w:rsid w:val="001817F0"/>
    <w:rsid w:val="001978A5"/>
    <w:rsid w:val="001D01AE"/>
    <w:rsid w:val="001D4529"/>
    <w:rsid w:val="00212155"/>
    <w:rsid w:val="00227813"/>
    <w:rsid w:val="0023290D"/>
    <w:rsid w:val="00245963"/>
    <w:rsid w:val="00263534"/>
    <w:rsid w:val="00273FBF"/>
    <w:rsid w:val="002805BE"/>
    <w:rsid w:val="002B240E"/>
    <w:rsid w:val="002C1FA2"/>
    <w:rsid w:val="002D73D7"/>
    <w:rsid w:val="00327F0B"/>
    <w:rsid w:val="00330150"/>
    <w:rsid w:val="003627F1"/>
    <w:rsid w:val="00363404"/>
    <w:rsid w:val="00370A2B"/>
    <w:rsid w:val="0038489F"/>
    <w:rsid w:val="003A7A7B"/>
    <w:rsid w:val="003B05C0"/>
    <w:rsid w:val="003C3F55"/>
    <w:rsid w:val="003E37D0"/>
    <w:rsid w:val="003F3C1B"/>
    <w:rsid w:val="00403357"/>
    <w:rsid w:val="0041454E"/>
    <w:rsid w:val="004445D8"/>
    <w:rsid w:val="00471DD1"/>
    <w:rsid w:val="004868D0"/>
    <w:rsid w:val="00487B29"/>
    <w:rsid w:val="00493C4B"/>
    <w:rsid w:val="00497069"/>
    <w:rsid w:val="004A5550"/>
    <w:rsid w:val="004A7A5A"/>
    <w:rsid w:val="004C0372"/>
    <w:rsid w:val="004D3447"/>
    <w:rsid w:val="004D4101"/>
    <w:rsid w:val="00527088"/>
    <w:rsid w:val="0054396D"/>
    <w:rsid w:val="0054623D"/>
    <w:rsid w:val="00595184"/>
    <w:rsid w:val="00595203"/>
    <w:rsid w:val="005A71E5"/>
    <w:rsid w:val="005B3333"/>
    <w:rsid w:val="005C198B"/>
    <w:rsid w:val="006154E2"/>
    <w:rsid w:val="0062646C"/>
    <w:rsid w:val="0064045D"/>
    <w:rsid w:val="0064082D"/>
    <w:rsid w:val="00643CB3"/>
    <w:rsid w:val="00644C12"/>
    <w:rsid w:val="006805AC"/>
    <w:rsid w:val="006B5605"/>
    <w:rsid w:val="006E3404"/>
    <w:rsid w:val="006F3B02"/>
    <w:rsid w:val="007048B1"/>
    <w:rsid w:val="007076F5"/>
    <w:rsid w:val="00722893"/>
    <w:rsid w:val="0073289B"/>
    <w:rsid w:val="007361E9"/>
    <w:rsid w:val="00737030"/>
    <w:rsid w:val="007409F1"/>
    <w:rsid w:val="00743A9A"/>
    <w:rsid w:val="007457F6"/>
    <w:rsid w:val="00766A2A"/>
    <w:rsid w:val="007724F0"/>
    <w:rsid w:val="007D1667"/>
    <w:rsid w:val="007D2F63"/>
    <w:rsid w:val="007E5B84"/>
    <w:rsid w:val="007F3709"/>
    <w:rsid w:val="007F74D3"/>
    <w:rsid w:val="0080398B"/>
    <w:rsid w:val="0083073B"/>
    <w:rsid w:val="0083695C"/>
    <w:rsid w:val="0084480A"/>
    <w:rsid w:val="00846482"/>
    <w:rsid w:val="00846ED7"/>
    <w:rsid w:val="0085254F"/>
    <w:rsid w:val="008623CD"/>
    <w:rsid w:val="00895A9F"/>
    <w:rsid w:val="008C3761"/>
    <w:rsid w:val="008D2431"/>
    <w:rsid w:val="008D52AE"/>
    <w:rsid w:val="008E5FF9"/>
    <w:rsid w:val="00917C16"/>
    <w:rsid w:val="009471AB"/>
    <w:rsid w:val="00962BA1"/>
    <w:rsid w:val="00986201"/>
    <w:rsid w:val="00994B5F"/>
    <w:rsid w:val="009E06E8"/>
    <w:rsid w:val="009E083E"/>
    <w:rsid w:val="009E5C52"/>
    <w:rsid w:val="009E70F6"/>
    <w:rsid w:val="00A002B0"/>
    <w:rsid w:val="00A01E72"/>
    <w:rsid w:val="00A06119"/>
    <w:rsid w:val="00A076FC"/>
    <w:rsid w:val="00A324D7"/>
    <w:rsid w:val="00A46DD6"/>
    <w:rsid w:val="00A565AF"/>
    <w:rsid w:val="00A71255"/>
    <w:rsid w:val="00A871AF"/>
    <w:rsid w:val="00AA6AA8"/>
    <w:rsid w:val="00AB69B3"/>
    <w:rsid w:val="00AD4BA3"/>
    <w:rsid w:val="00AF6106"/>
    <w:rsid w:val="00B00BD4"/>
    <w:rsid w:val="00B06371"/>
    <w:rsid w:val="00B16F8E"/>
    <w:rsid w:val="00B17E24"/>
    <w:rsid w:val="00B46C87"/>
    <w:rsid w:val="00B562D1"/>
    <w:rsid w:val="00B658C1"/>
    <w:rsid w:val="00BC5E04"/>
    <w:rsid w:val="00BE5B74"/>
    <w:rsid w:val="00C32E4D"/>
    <w:rsid w:val="00C37D00"/>
    <w:rsid w:val="00C64087"/>
    <w:rsid w:val="00C654FA"/>
    <w:rsid w:val="00C87EA7"/>
    <w:rsid w:val="00CA0EA4"/>
    <w:rsid w:val="00CA6F22"/>
    <w:rsid w:val="00CE28F8"/>
    <w:rsid w:val="00CE296D"/>
    <w:rsid w:val="00D157AA"/>
    <w:rsid w:val="00D57CFB"/>
    <w:rsid w:val="00D66194"/>
    <w:rsid w:val="00D669A0"/>
    <w:rsid w:val="00D712D1"/>
    <w:rsid w:val="00D80308"/>
    <w:rsid w:val="00D81781"/>
    <w:rsid w:val="00D835AB"/>
    <w:rsid w:val="00D91B37"/>
    <w:rsid w:val="00DC3A80"/>
    <w:rsid w:val="00DE3C8E"/>
    <w:rsid w:val="00DE751A"/>
    <w:rsid w:val="00E05A38"/>
    <w:rsid w:val="00E06F66"/>
    <w:rsid w:val="00E13C62"/>
    <w:rsid w:val="00E43089"/>
    <w:rsid w:val="00E578AF"/>
    <w:rsid w:val="00EB2731"/>
    <w:rsid w:val="00EB62C8"/>
    <w:rsid w:val="00EC5BD5"/>
    <w:rsid w:val="00ED7379"/>
    <w:rsid w:val="00EE515F"/>
    <w:rsid w:val="00F027E2"/>
    <w:rsid w:val="00F34B87"/>
    <w:rsid w:val="00F37C67"/>
    <w:rsid w:val="00F4077F"/>
    <w:rsid w:val="00F7446C"/>
    <w:rsid w:val="00F76624"/>
    <w:rsid w:val="00F825FB"/>
    <w:rsid w:val="00F90CA8"/>
    <w:rsid w:val="00F9190B"/>
    <w:rsid w:val="00F970E5"/>
    <w:rsid w:val="00FA1CDF"/>
    <w:rsid w:val="00FA66BB"/>
    <w:rsid w:val="00FE7083"/>
    <w:rsid w:val="061D55F8"/>
    <w:rsid w:val="06476550"/>
    <w:rsid w:val="065A1ED3"/>
    <w:rsid w:val="068E413D"/>
    <w:rsid w:val="0BD46BE3"/>
    <w:rsid w:val="0BEE638C"/>
    <w:rsid w:val="0D655736"/>
    <w:rsid w:val="0D6B5937"/>
    <w:rsid w:val="123F2B25"/>
    <w:rsid w:val="130F2CFC"/>
    <w:rsid w:val="134C67F5"/>
    <w:rsid w:val="13B26CB3"/>
    <w:rsid w:val="15627927"/>
    <w:rsid w:val="15FC3F31"/>
    <w:rsid w:val="16E16103"/>
    <w:rsid w:val="174D0702"/>
    <w:rsid w:val="18AB61E5"/>
    <w:rsid w:val="198E65F0"/>
    <w:rsid w:val="1AF12AF7"/>
    <w:rsid w:val="1C6400A1"/>
    <w:rsid w:val="1DBF354B"/>
    <w:rsid w:val="207A218A"/>
    <w:rsid w:val="215D41A2"/>
    <w:rsid w:val="232044E0"/>
    <w:rsid w:val="256416EB"/>
    <w:rsid w:val="28C1779B"/>
    <w:rsid w:val="28FF09B7"/>
    <w:rsid w:val="29F32A13"/>
    <w:rsid w:val="29F84FF9"/>
    <w:rsid w:val="2CE63FDF"/>
    <w:rsid w:val="30651646"/>
    <w:rsid w:val="328C323F"/>
    <w:rsid w:val="328F26D1"/>
    <w:rsid w:val="34A70A87"/>
    <w:rsid w:val="3599258B"/>
    <w:rsid w:val="35B72AE8"/>
    <w:rsid w:val="37FF02B0"/>
    <w:rsid w:val="382C57AC"/>
    <w:rsid w:val="3A663510"/>
    <w:rsid w:val="3A860F7B"/>
    <w:rsid w:val="3BF75EB0"/>
    <w:rsid w:val="3C1C3BC3"/>
    <w:rsid w:val="3C877EB4"/>
    <w:rsid w:val="3E39054D"/>
    <w:rsid w:val="403B5C2E"/>
    <w:rsid w:val="42561088"/>
    <w:rsid w:val="46E32B84"/>
    <w:rsid w:val="471D4F0C"/>
    <w:rsid w:val="49C05098"/>
    <w:rsid w:val="49F03333"/>
    <w:rsid w:val="49F9439E"/>
    <w:rsid w:val="4A8077A7"/>
    <w:rsid w:val="4AEC7A07"/>
    <w:rsid w:val="4B2C52E6"/>
    <w:rsid w:val="4CB72B07"/>
    <w:rsid w:val="4D593A6C"/>
    <w:rsid w:val="504E041D"/>
    <w:rsid w:val="535E33FB"/>
    <w:rsid w:val="567A338B"/>
    <w:rsid w:val="59AB04D9"/>
    <w:rsid w:val="5A305E27"/>
    <w:rsid w:val="5B0F4EE8"/>
    <w:rsid w:val="5E4C0F41"/>
    <w:rsid w:val="5E6D6F8F"/>
    <w:rsid w:val="5EE620A5"/>
    <w:rsid w:val="5EE97B7B"/>
    <w:rsid w:val="5F100EC5"/>
    <w:rsid w:val="620719DE"/>
    <w:rsid w:val="62ED6B2B"/>
    <w:rsid w:val="62F14C44"/>
    <w:rsid w:val="644868BD"/>
    <w:rsid w:val="646C542A"/>
    <w:rsid w:val="65FF637B"/>
    <w:rsid w:val="687675A7"/>
    <w:rsid w:val="69566BC9"/>
    <w:rsid w:val="6D2C1760"/>
    <w:rsid w:val="6DC804B4"/>
    <w:rsid w:val="701F10C1"/>
    <w:rsid w:val="74274589"/>
    <w:rsid w:val="74951B4F"/>
    <w:rsid w:val="769C6DD2"/>
    <w:rsid w:val="7BBD2DE6"/>
    <w:rsid w:val="7C0557C3"/>
    <w:rsid w:val="7E49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2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CA6F22"/>
    <w:pPr>
      <w:spacing w:line="360" w:lineRule="auto"/>
      <w:ind w:firstLineChars="200" w:firstLine="420"/>
    </w:pPr>
    <w:rPr>
      <w:rFonts w:ascii="Calibri" w:hAnsi="Calibri"/>
      <w:sz w:val="24"/>
      <w:szCs w:val="20"/>
    </w:rPr>
  </w:style>
  <w:style w:type="paragraph" w:styleId="a4">
    <w:name w:val="Body Text Indent"/>
    <w:basedOn w:val="a"/>
    <w:link w:val="Char0"/>
    <w:uiPriority w:val="99"/>
    <w:semiHidden/>
    <w:unhideWhenUsed/>
    <w:qFormat/>
    <w:rsid w:val="00CA6F22"/>
    <w:pPr>
      <w:spacing w:after="120"/>
      <w:ind w:leftChars="200" w:left="420"/>
    </w:pPr>
  </w:style>
  <w:style w:type="paragraph" w:styleId="a5">
    <w:name w:val="Block Text"/>
    <w:basedOn w:val="a"/>
    <w:qFormat/>
    <w:rsid w:val="00CA6F22"/>
    <w:pPr>
      <w:ind w:leftChars="257" w:left="540" w:rightChars="183" w:right="384"/>
    </w:pPr>
    <w:rPr>
      <w:rFonts w:eastAsia="黑体"/>
      <w:b/>
      <w:bCs/>
      <w:sz w:val="32"/>
    </w:rPr>
  </w:style>
  <w:style w:type="paragraph" w:styleId="a6">
    <w:name w:val="footer"/>
    <w:basedOn w:val="a"/>
    <w:link w:val="Char1"/>
    <w:uiPriority w:val="99"/>
    <w:semiHidden/>
    <w:unhideWhenUsed/>
    <w:qFormat/>
    <w:rsid w:val="00CA6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CA6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Char"/>
    <w:qFormat/>
    <w:rsid w:val="00CA6F22"/>
    <w:pPr>
      <w:ind w:firstLineChars="200" w:firstLine="420"/>
    </w:pPr>
    <w:rPr>
      <w:rFonts w:eastAsiaTheme="minorEastAsia" w:cstheme="minorBidi"/>
      <w:szCs w:val="20"/>
    </w:rPr>
  </w:style>
  <w:style w:type="character" w:customStyle="1" w:styleId="Char0">
    <w:name w:val="正文文本缩进 Char"/>
    <w:basedOn w:val="a0"/>
    <w:link w:val="a4"/>
    <w:rsid w:val="00CA6F22"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0"/>
    <w:link w:val="2"/>
    <w:rsid w:val="00CA6F22"/>
    <w:rPr>
      <w:szCs w:val="20"/>
    </w:rPr>
  </w:style>
  <w:style w:type="character" w:customStyle="1" w:styleId="Char2">
    <w:name w:val="页眉 Char"/>
    <w:basedOn w:val="a0"/>
    <w:link w:val="a7"/>
    <w:uiPriority w:val="99"/>
    <w:semiHidden/>
    <w:qFormat/>
    <w:rsid w:val="00CA6F2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CA6F22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CA6F22"/>
    <w:pPr>
      <w:ind w:firstLineChars="200" w:firstLine="420"/>
    </w:pPr>
  </w:style>
  <w:style w:type="character" w:customStyle="1" w:styleId="Char">
    <w:name w:val="正文缩进 Char"/>
    <w:link w:val="a3"/>
    <w:qFormat/>
    <w:rsid w:val="00CA6F22"/>
    <w:rPr>
      <w:rFonts w:ascii="Calibri" w:eastAsia="宋体" w:hAnsi="Calibri" w:cs="Times New Roman"/>
      <w:kern w:val="2"/>
      <w:sz w:val="24"/>
    </w:rPr>
  </w:style>
  <w:style w:type="character" w:customStyle="1" w:styleId="1Char">
    <w:name w:val="样式1 Char"/>
    <w:link w:val="1"/>
    <w:rsid w:val="00CA6F22"/>
    <w:rPr>
      <w:rFonts w:ascii="宋体" w:hAnsi="宋体"/>
      <w:bCs/>
      <w:kern w:val="2"/>
      <w:sz w:val="24"/>
      <w:szCs w:val="24"/>
    </w:rPr>
  </w:style>
  <w:style w:type="paragraph" w:customStyle="1" w:styleId="1">
    <w:name w:val="样式1"/>
    <w:basedOn w:val="a"/>
    <w:link w:val="1Char"/>
    <w:qFormat/>
    <w:rsid w:val="00CA6F22"/>
    <w:pPr>
      <w:adjustRightInd w:val="0"/>
      <w:snapToGrid w:val="0"/>
    </w:pPr>
    <w:rPr>
      <w:rFonts w:ascii="宋体" w:eastAsiaTheme="minorEastAsia" w:hAnsi="宋体" w:cstheme="minorBidi"/>
      <w:bCs/>
      <w:sz w:val="24"/>
    </w:rPr>
  </w:style>
  <w:style w:type="character" w:customStyle="1" w:styleId="1Char0">
    <w:name w:val="报告书正文样式1 Char"/>
    <w:link w:val="10"/>
    <w:rsid w:val="00CA6F22"/>
    <w:rPr>
      <w:rFonts w:ascii="Arial" w:hAnsi="Arial" w:cs="Arial"/>
      <w:sz w:val="24"/>
      <w:szCs w:val="24"/>
    </w:rPr>
  </w:style>
  <w:style w:type="paragraph" w:customStyle="1" w:styleId="10">
    <w:name w:val="报告书正文样式1"/>
    <w:basedOn w:val="a"/>
    <w:link w:val="1Char0"/>
    <w:qFormat/>
    <w:rsid w:val="00CA6F22"/>
    <w:pPr>
      <w:adjustRightInd w:val="0"/>
      <w:snapToGrid w:val="0"/>
      <w:spacing w:line="360" w:lineRule="auto"/>
      <w:ind w:firstLine="425"/>
      <w:textAlignment w:val="baseline"/>
    </w:pPr>
    <w:rPr>
      <w:rFonts w:ascii="Arial" w:eastAsiaTheme="minorEastAsia" w:hAnsi="Arial" w:cs="Arial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qFormat/>
    <w:rsid w:val="00CA6F2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CAF746-28F0-4B9B-B8BA-8324E5BFC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268</Words>
  <Characters>1532</Characters>
  <Application>Microsoft Office Word</Application>
  <DocSecurity>0</DocSecurity>
  <Lines>12</Lines>
  <Paragraphs>3</Paragraphs>
  <ScaleCrop>false</ScaleCrop>
  <Company>HTXZFWZX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bangong010</dc:creator>
  <cp:lastModifiedBy>huanbj003</cp:lastModifiedBy>
  <cp:revision>66</cp:revision>
  <cp:lastPrinted>2021-04-09T07:37:00Z</cp:lastPrinted>
  <dcterms:created xsi:type="dcterms:W3CDTF">2017-08-30T01:28:00Z</dcterms:created>
  <dcterms:modified xsi:type="dcterms:W3CDTF">2021-04-09T09:00:00Z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