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adjustRightInd w:val="0"/>
        <w:snapToGrid w:val="0"/>
        <w:jc w:val="center"/>
        <w:outlineLvl w:val="0"/>
        <w:rPr>
          <w:rFonts w:hint="default" w:ascii="Times New Roman" w:hAnsi="Times New Roman" w:eastAsia="方正小标宋_GBK" w:cs="Times New Roman"/>
          <w:bCs/>
          <w:color w:val="auto"/>
          <w:sz w:val="72"/>
          <w:szCs w:val="72"/>
        </w:rPr>
      </w:pPr>
      <w:r>
        <w:rPr>
          <w:rFonts w:hint="default" w:ascii="Times New Roman" w:hAnsi="Times New Roman" w:eastAsia="方正小标宋_GBK" w:cs="Times New Roman"/>
          <w:b w:val="0"/>
          <w:bCs/>
          <w:color w:val="auto"/>
          <w:sz w:val="72"/>
          <w:szCs w:val="72"/>
        </w:rPr>
        <w:t>建设项目环境影响报告表</w:t>
      </w:r>
    </w:p>
    <w:p>
      <w:pPr>
        <w:adjustRightInd w:val="0"/>
        <w:snapToGrid w:val="0"/>
        <w:spacing w:before="192" w:beforeLines="80"/>
        <w:jc w:val="center"/>
        <w:rPr>
          <w:rFonts w:hint="default"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（污染影响类）</w:t>
      </w:r>
    </w:p>
    <w:p>
      <w:pPr>
        <w:adjustRightInd w:val="0"/>
        <w:snapToGrid w:val="0"/>
        <w:spacing w:line="288" w:lineRule="auto"/>
        <w:jc w:val="center"/>
        <w:outlineLvl w:val="0"/>
        <w:rPr>
          <w:rFonts w:hint="default" w:ascii="Times New Roman" w:hAnsi="Times New Roman" w:eastAsia="华文仿宋" w:cs="Times New Roman"/>
          <w:color w:val="auto"/>
          <w:kern w:val="44"/>
          <w:sz w:val="44"/>
          <w:szCs w:val="44"/>
        </w:rPr>
      </w:pPr>
    </w:p>
    <w:p>
      <w:pPr>
        <w:jc w:val="center"/>
        <w:rPr>
          <w:rFonts w:hint="default" w:ascii="Times New Roman" w:hAnsi="Times New Roman" w:eastAsia="仿宋" w:cs="Times New Roman"/>
          <w:color w:val="auto"/>
          <w:sz w:val="52"/>
          <w:szCs w:val="52"/>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adjustRightInd w:val="0"/>
        <w:snapToGrid w:val="0"/>
        <w:spacing w:line="360" w:lineRule="auto"/>
        <w:rPr>
          <w:rFonts w:hint="default" w:ascii="Times New Roman" w:hAnsi="Times New Roman" w:eastAsia="仿宋_GB2312" w:cs="Times New Roman"/>
          <w:color w:val="auto"/>
          <w:sz w:val="36"/>
          <w:szCs w:val="36"/>
          <w:u w:val="single"/>
          <w:lang w:val="en-US" w:eastAsia="zh-CN"/>
        </w:rPr>
      </w:pPr>
      <w:bookmarkStart w:id="0" w:name="_Hlk57884087"/>
      <w:r>
        <w:rPr>
          <w:rFonts w:hint="default" w:ascii="Times New Roman" w:hAnsi="Times New Roman" w:eastAsia="仿宋_GB2312" w:cs="Times New Roman"/>
          <w:color w:val="auto"/>
          <w:sz w:val="36"/>
          <w:szCs w:val="36"/>
        </w:rPr>
        <w:t>项目名称</w:t>
      </w:r>
      <w:r>
        <w:rPr>
          <w:rFonts w:hint="eastAsia" w:eastAsia="仿宋_GB2312" w:cs="Times New Roman"/>
          <w:color w:val="auto"/>
          <w:sz w:val="36"/>
          <w:szCs w:val="36"/>
          <w:lang w:eastAsia="zh-CN"/>
        </w:rPr>
        <w:t>：</w:t>
      </w:r>
      <w:r>
        <w:rPr>
          <w:rFonts w:hint="default" w:ascii="Times New Roman" w:hAnsi="Times New Roman" w:eastAsia="仿宋_GB2312" w:cs="Times New Roman"/>
          <w:color w:val="auto"/>
          <w:sz w:val="32"/>
          <w:szCs w:val="32"/>
          <w:u w:val="single"/>
          <w:lang w:val="en-US" w:eastAsia="zh-CN"/>
        </w:rPr>
        <w:t>蛋白肠衣</w:t>
      </w:r>
      <w:r>
        <w:rPr>
          <w:rFonts w:hint="eastAsia" w:eastAsia="仿宋_GB2312" w:cs="Times New Roman"/>
          <w:color w:val="auto"/>
          <w:sz w:val="32"/>
          <w:szCs w:val="32"/>
          <w:u w:val="single"/>
          <w:lang w:val="en-US" w:eastAsia="zh-CN"/>
        </w:rPr>
        <w:t>项目</w:t>
      </w:r>
      <w:r>
        <w:rPr>
          <w:rFonts w:hint="default" w:ascii="Times New Roman" w:hAnsi="Times New Roman" w:eastAsia="仿宋_GB2312" w:cs="Times New Roman"/>
          <w:color w:val="auto"/>
          <w:sz w:val="32"/>
          <w:szCs w:val="32"/>
          <w:u w:val="single"/>
          <w:lang w:val="en-US" w:eastAsia="zh-CN"/>
        </w:rPr>
        <w:t>配套20吨天然气锅炉</w:t>
      </w:r>
      <w:r>
        <w:rPr>
          <w:rFonts w:hint="eastAsia" w:eastAsia="仿宋_GB2312" w:cs="Times New Roman"/>
          <w:color w:val="auto"/>
          <w:sz w:val="32"/>
          <w:szCs w:val="32"/>
          <w:u w:val="single"/>
          <w:lang w:val="en-US" w:eastAsia="zh-CN"/>
        </w:rPr>
        <w:t>房建设</w:t>
      </w:r>
      <w:r>
        <w:rPr>
          <w:rFonts w:hint="default" w:ascii="Times New Roman" w:hAnsi="Times New Roman" w:eastAsia="仿宋_GB2312" w:cs="Times New Roman"/>
          <w:color w:val="auto"/>
          <w:sz w:val="32"/>
          <w:szCs w:val="32"/>
          <w:u w:val="single"/>
          <w:lang w:val="en-US" w:eastAsia="zh-CN"/>
        </w:rPr>
        <w:t>项目</w:t>
      </w:r>
    </w:p>
    <w:p>
      <w:pPr>
        <w:adjustRightInd w:val="0"/>
        <w:snapToGrid w:val="0"/>
        <w:spacing w:line="360" w:lineRule="auto"/>
        <w:rPr>
          <w:rFonts w:hint="default" w:ascii="Times New Roman" w:hAnsi="Times New Roman" w:eastAsia="仿宋_GB2312" w:cs="Times New Roman"/>
          <w:color w:val="auto"/>
          <w:sz w:val="36"/>
          <w:szCs w:val="36"/>
          <w:u w:val="single"/>
          <w:lang w:val="en-US" w:eastAsia="zh-CN"/>
        </w:rPr>
      </w:pPr>
      <w:r>
        <w:rPr>
          <w:rFonts w:hint="default" w:ascii="Times New Roman" w:hAnsi="Times New Roman" w:eastAsia="仿宋_GB2312" w:cs="Times New Roman"/>
          <w:color w:val="auto"/>
          <w:sz w:val="36"/>
          <w:szCs w:val="36"/>
        </w:rPr>
        <w:t>建设单位（盖章）：</w:t>
      </w:r>
      <w:r>
        <w:rPr>
          <w:rFonts w:hint="default" w:ascii="Times New Roman" w:hAnsi="Times New Roman" w:eastAsia="仿宋_GB2312" w:cs="Times New Roman"/>
          <w:color w:val="auto"/>
          <w:sz w:val="36"/>
          <w:szCs w:val="36"/>
          <w:u w:val="single"/>
          <w:lang w:val="en-US" w:eastAsia="zh-CN"/>
        </w:rPr>
        <w:t xml:space="preserve">  山东黄河龙集团有限公司    </w:t>
      </w:r>
    </w:p>
    <w:p>
      <w:pPr>
        <w:adjustRightInd w:val="0"/>
        <w:snapToGrid w:val="0"/>
        <w:spacing w:line="288" w:lineRule="auto"/>
        <w:rPr>
          <w:rFonts w:hint="default" w:ascii="Times New Roman" w:hAnsi="Times New Roman" w:eastAsia="仿宋_GB2312" w:cs="Times New Roman"/>
          <w:color w:val="auto"/>
          <w:sz w:val="36"/>
          <w:szCs w:val="36"/>
          <w:u w:val="single"/>
          <w:lang w:val="en-US" w:eastAsia="zh-CN"/>
        </w:rPr>
      </w:pPr>
      <w:r>
        <w:rPr>
          <w:rFonts w:hint="default" w:ascii="Times New Roman" w:hAnsi="Times New Roman" w:eastAsia="仿宋_GB2312" w:cs="Times New Roman"/>
          <w:color w:val="auto"/>
          <w:sz w:val="36"/>
          <w:szCs w:val="36"/>
        </w:rPr>
        <w:t>编制日期：</w:t>
      </w:r>
      <w:r>
        <w:rPr>
          <w:rFonts w:hint="default" w:ascii="Times New Roman" w:hAnsi="Times New Roman" w:eastAsia="仿宋_GB2312" w:cs="Times New Roman"/>
          <w:color w:val="auto"/>
          <w:sz w:val="36"/>
          <w:szCs w:val="36"/>
          <w:u w:val="single"/>
        </w:rPr>
        <w:t xml:space="preserve">    </w:t>
      </w:r>
      <w:r>
        <w:rPr>
          <w:rFonts w:hint="default" w:ascii="Times New Roman" w:hAnsi="Times New Roman" w:eastAsia="仿宋_GB2312" w:cs="Times New Roman"/>
          <w:color w:val="auto"/>
          <w:sz w:val="36"/>
          <w:szCs w:val="36"/>
          <w:u w:val="single"/>
          <w:lang w:val="en-US" w:eastAsia="zh-CN"/>
        </w:rPr>
        <w:t xml:space="preserve">          2022年1</w:t>
      </w:r>
      <w:r>
        <w:rPr>
          <w:rFonts w:hint="eastAsia" w:eastAsia="仿宋_GB2312" w:cs="Times New Roman"/>
          <w:color w:val="auto"/>
          <w:sz w:val="36"/>
          <w:szCs w:val="36"/>
          <w:u w:val="single"/>
          <w:lang w:val="en-US" w:eastAsia="zh-CN"/>
        </w:rPr>
        <w:t>1</w:t>
      </w:r>
      <w:r>
        <w:rPr>
          <w:rFonts w:hint="default" w:ascii="Times New Roman" w:hAnsi="Times New Roman" w:eastAsia="仿宋_GB2312" w:cs="Times New Roman"/>
          <w:color w:val="auto"/>
          <w:sz w:val="36"/>
          <w:szCs w:val="36"/>
          <w:u w:val="single"/>
          <w:lang w:val="en-US" w:eastAsia="zh-CN"/>
        </w:rPr>
        <w:t>月</w:t>
      </w:r>
      <w:r>
        <w:rPr>
          <w:rFonts w:hint="default" w:ascii="Times New Roman" w:hAnsi="Times New Roman" w:eastAsia="仿宋_GB2312" w:cs="Times New Roman"/>
          <w:color w:val="auto"/>
          <w:sz w:val="36"/>
          <w:szCs w:val="36"/>
          <w:u w:val="single"/>
        </w:rPr>
        <w:t xml:space="preserve">             </w:t>
      </w:r>
      <w:r>
        <w:rPr>
          <w:rFonts w:hint="default" w:ascii="Times New Roman" w:hAnsi="Times New Roman" w:eastAsia="仿宋_GB2312" w:cs="Times New Roman"/>
          <w:color w:val="auto"/>
          <w:sz w:val="36"/>
          <w:szCs w:val="36"/>
          <w:u w:val="single"/>
          <w:lang w:val="en-US" w:eastAsia="zh-CN"/>
        </w:rPr>
        <w:t xml:space="preserve"> </w:t>
      </w:r>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rPr>
          <w:rFonts w:hint="default" w:ascii="Times New Roman" w:hAnsi="Times New Roman" w:eastAsia="仿宋_GB2312" w:cs="Times New Roman"/>
          <w:color w:val="auto"/>
          <w:sz w:val="36"/>
          <w:szCs w:val="36"/>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bookmarkEnd w:id="0"/>
    <w:p>
      <w:pPr>
        <w:adjustRightInd w:val="0"/>
        <w:snapToGrid w:val="0"/>
        <w:spacing w:line="288" w:lineRule="auto"/>
        <w:jc w:val="center"/>
        <w:rPr>
          <w:rFonts w:hint="default" w:ascii="Times New Roman" w:hAnsi="Times New Roman" w:eastAsia="楷体_GB2312" w:cs="Times New Roman"/>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default" w:ascii="Times New Roman" w:hAnsi="Times New Roman" w:eastAsia="楷体_GB2312" w:cs="Times New Roman"/>
          <w:color w:val="auto"/>
          <w:sz w:val="36"/>
          <w:szCs w:val="36"/>
        </w:rPr>
        <w:t>中华人民共和国生态环境部制</w:t>
      </w:r>
    </w:p>
    <w:p>
      <w:pPr>
        <w:rPr>
          <w:rFonts w:hint="default"/>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Times New Roman" w:hAnsi="Times New Roman" w:eastAsia="仿宋_GB2312" w:cs="Times New Roman"/>
          <w:color w:val="auto"/>
          <w:sz w:val="36"/>
          <w:szCs w:val="36"/>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eastAsia" w:ascii="Times New Roman" w:hAnsi="Times New Roman" w:eastAsia="仿宋_GB2312" w:cs="Times New Roman"/>
          <w:color w:val="auto"/>
          <w:sz w:val="36"/>
          <w:szCs w:val="36"/>
          <w:lang w:eastAsia="zh-CN"/>
        </w:rPr>
        <w:drawing>
          <wp:inline distT="0" distB="0" distL="114300" distR="114300">
            <wp:extent cx="7677150" cy="5497830"/>
            <wp:effectExtent l="0" t="0" r="7620" b="0"/>
            <wp:docPr id="1" name="图片 1" descr="华诺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华诺营业执照"/>
                    <pic:cNvPicPr>
                      <a:picLocks noChangeAspect="1"/>
                    </pic:cNvPicPr>
                  </pic:nvPicPr>
                  <pic:blipFill>
                    <a:blip r:embed="rId9"/>
                    <a:srcRect t="-476" r="1225"/>
                    <a:stretch>
                      <a:fillRect/>
                    </a:stretch>
                  </pic:blipFill>
                  <pic:spPr>
                    <a:xfrm rot="16200000">
                      <a:off x="0" y="0"/>
                      <a:ext cx="7677150" cy="5497830"/>
                    </a:xfrm>
                    <a:prstGeom prst="rect">
                      <a:avLst/>
                    </a:prstGeom>
                  </pic:spPr>
                </pic:pic>
              </a:graphicData>
            </a:graphic>
          </wp:inline>
        </w:drawing>
      </w:r>
    </w:p>
    <w:p>
      <w:pPr>
        <w:pStyle w:val="7"/>
        <w:bidi w:val="0"/>
        <w:jc w:val="center"/>
        <w:rPr>
          <w:rFonts w:hint="default" w:ascii="Times New Roman" w:hAnsi="Times New Roman" w:cs="Times New Roman"/>
          <w:color w:val="auto"/>
        </w:rPr>
      </w:pPr>
      <w:r>
        <w:rPr>
          <w:rFonts w:hint="default" w:ascii="Times New Roman" w:hAnsi="Times New Roman" w:cs="Times New Roman"/>
          <w:color w:val="auto"/>
        </w:rPr>
        <w:t>一、建设项目基本情况</w:t>
      </w:r>
    </w:p>
    <w:tbl>
      <w:tblPr>
        <w:tblStyle w:val="20"/>
        <w:tblW w:w="90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793"/>
        <w:gridCol w:w="1265"/>
        <w:gridCol w:w="325"/>
        <w:gridCol w:w="1965"/>
        <w:gridCol w:w="37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93" w:type="dxa"/>
            <w:tcBorders>
              <w:tl2br w:val="nil"/>
              <w:tr2bl w:val="nil"/>
            </w:tcBorders>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建设项目名称</w:t>
            </w:r>
          </w:p>
        </w:tc>
        <w:tc>
          <w:tcPr>
            <w:tcW w:w="7261" w:type="dxa"/>
            <w:gridSpan w:val="4"/>
            <w:tcBorders>
              <w:tl2br w:val="nil"/>
              <w:tr2bl w:val="nil"/>
            </w:tcBorders>
            <w:noWrap w:val="0"/>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蛋白肠衣</w:t>
            </w:r>
            <w:r>
              <w:rPr>
                <w:rFonts w:hint="eastAsia" w:cs="Times New Roman"/>
                <w:color w:val="auto"/>
                <w:sz w:val="24"/>
                <w:szCs w:val="24"/>
                <w:lang w:eastAsia="zh-CN"/>
              </w:rPr>
              <w:t>项目</w:t>
            </w:r>
            <w:r>
              <w:rPr>
                <w:rFonts w:hint="default" w:ascii="Times New Roman" w:hAnsi="Times New Roman" w:eastAsia="宋体" w:cs="Times New Roman"/>
                <w:color w:val="auto"/>
                <w:sz w:val="24"/>
                <w:szCs w:val="24"/>
                <w:lang w:eastAsia="zh-CN"/>
              </w:rPr>
              <w:t>配套</w:t>
            </w:r>
            <w:r>
              <w:rPr>
                <w:rFonts w:hint="default" w:ascii="Times New Roman" w:hAnsi="Times New Roman" w:eastAsia="宋体" w:cs="Times New Roman"/>
                <w:color w:val="auto"/>
                <w:sz w:val="24"/>
                <w:szCs w:val="24"/>
                <w:lang w:val="en-US" w:eastAsia="zh-CN"/>
              </w:rPr>
              <w:t>20吨</w:t>
            </w:r>
            <w:r>
              <w:rPr>
                <w:rFonts w:hint="default" w:ascii="Times New Roman" w:hAnsi="Times New Roman" w:eastAsia="宋体" w:cs="Times New Roman"/>
                <w:color w:val="auto"/>
                <w:sz w:val="24"/>
                <w:szCs w:val="24"/>
              </w:rPr>
              <w:t>天然气锅炉</w:t>
            </w:r>
            <w:r>
              <w:rPr>
                <w:rFonts w:hint="eastAsia" w:cs="Times New Roman"/>
                <w:color w:val="auto"/>
                <w:sz w:val="24"/>
                <w:szCs w:val="24"/>
                <w:lang w:eastAsia="zh-CN"/>
              </w:rPr>
              <w:t>房建设</w:t>
            </w:r>
            <w:r>
              <w:rPr>
                <w:rFonts w:hint="default" w:ascii="Times New Roman" w:hAnsi="Times New Roman" w:eastAsia="宋体" w:cs="Times New Roman"/>
                <w:color w:val="auto"/>
                <w:sz w:val="24"/>
                <w:szCs w:val="24"/>
              </w:rPr>
              <w:t>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93" w:type="dxa"/>
            <w:tcBorders>
              <w:tl2br w:val="nil"/>
              <w:tr2bl w:val="nil"/>
            </w:tcBorders>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项目代码</w:t>
            </w:r>
          </w:p>
        </w:tc>
        <w:tc>
          <w:tcPr>
            <w:tcW w:w="7261" w:type="dxa"/>
            <w:gridSpan w:val="4"/>
            <w:tcBorders>
              <w:tl2br w:val="nil"/>
              <w:tr2bl w:val="nil"/>
            </w:tcBorders>
            <w:noWrap w:val="0"/>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2210-370321-89-01-308802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93" w:type="dxa"/>
            <w:tcBorders>
              <w:tl2br w:val="nil"/>
              <w:tr2bl w:val="nil"/>
            </w:tcBorders>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建设单位联系人</w:t>
            </w:r>
          </w:p>
        </w:tc>
        <w:tc>
          <w:tcPr>
            <w:tcW w:w="126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杨杰</w:t>
            </w:r>
          </w:p>
        </w:tc>
        <w:tc>
          <w:tcPr>
            <w:tcW w:w="2290"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联系方式</w:t>
            </w:r>
          </w:p>
        </w:tc>
        <w:tc>
          <w:tcPr>
            <w:tcW w:w="370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18505331181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93" w:type="dxa"/>
            <w:tcBorders>
              <w:tl2br w:val="nil"/>
              <w:tr2bl w:val="nil"/>
            </w:tcBorders>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建设地点</w:t>
            </w:r>
          </w:p>
        </w:tc>
        <w:tc>
          <w:tcPr>
            <w:tcW w:w="7261" w:type="dxa"/>
            <w:gridSpan w:val="4"/>
            <w:tcBorders>
              <w:tl2br w:val="nil"/>
              <w:tr2bl w:val="nil"/>
            </w:tcBorders>
            <w:noWrap w:val="0"/>
            <w:vAlign w:val="center"/>
          </w:tcPr>
          <w:p>
            <w:pPr>
              <w:keepNext w:val="0"/>
              <w:keepLines w:val="0"/>
              <w:pageBreakBefore w:val="0"/>
              <w:kinsoku/>
              <w:wordWrap/>
              <w:overflowPunct/>
              <w:topLinePunct w:val="0"/>
              <w:bidi w:val="0"/>
              <w:spacing w:line="360" w:lineRule="auto"/>
              <w:jc w:val="center"/>
              <w:textAlignment w:val="auto"/>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u w:val="none"/>
                <w:lang w:val="en-US" w:eastAsia="zh-CN"/>
              </w:rPr>
              <w:t>山东</w:t>
            </w:r>
            <w:r>
              <w:rPr>
                <w:rFonts w:hint="default" w:ascii="Times New Roman" w:hAnsi="Times New Roman" w:eastAsia="宋体" w:cs="Times New Roman"/>
                <w:color w:val="auto"/>
                <w:sz w:val="24"/>
                <w:szCs w:val="24"/>
                <w:u w:val="none"/>
              </w:rPr>
              <w:t>省</w:t>
            </w:r>
            <w:r>
              <w:rPr>
                <w:rFonts w:hint="default" w:ascii="Times New Roman" w:hAnsi="Times New Roman" w:eastAsia="宋体" w:cs="Times New Roman"/>
                <w:color w:val="auto"/>
                <w:sz w:val="24"/>
                <w:szCs w:val="24"/>
                <w:u w:val="none"/>
                <w:lang w:val="en-US" w:eastAsia="zh-CN"/>
              </w:rPr>
              <w:t>淄博</w:t>
            </w:r>
            <w:r>
              <w:rPr>
                <w:rFonts w:hint="default" w:ascii="Times New Roman" w:hAnsi="Times New Roman" w:eastAsia="宋体" w:cs="Times New Roman"/>
                <w:color w:val="auto"/>
                <w:sz w:val="24"/>
                <w:szCs w:val="24"/>
                <w:u w:val="none"/>
              </w:rPr>
              <w:t>市</w:t>
            </w:r>
            <w:r>
              <w:rPr>
                <w:rFonts w:hint="default" w:ascii="Times New Roman" w:hAnsi="Times New Roman" w:eastAsia="宋体" w:cs="Times New Roman"/>
                <w:color w:val="auto"/>
                <w:sz w:val="24"/>
                <w:szCs w:val="24"/>
                <w:u w:val="none"/>
                <w:lang w:val="en-US" w:eastAsia="zh-CN"/>
              </w:rPr>
              <w:t>桓台</w:t>
            </w:r>
            <w:r>
              <w:rPr>
                <w:rFonts w:hint="default" w:ascii="Times New Roman" w:hAnsi="Times New Roman" w:eastAsia="宋体" w:cs="Times New Roman"/>
                <w:color w:val="auto"/>
                <w:sz w:val="24"/>
                <w:szCs w:val="24"/>
                <w:u w:val="none"/>
              </w:rPr>
              <w:t>县</w:t>
            </w:r>
            <w:r>
              <w:rPr>
                <w:rFonts w:hint="default" w:ascii="Times New Roman" w:hAnsi="Times New Roman" w:eastAsia="宋体" w:cs="Times New Roman"/>
                <w:color w:val="auto"/>
                <w:sz w:val="24"/>
                <w:szCs w:val="24"/>
                <w:u w:val="none"/>
                <w:lang w:val="en-US" w:eastAsia="zh-CN"/>
              </w:rPr>
              <w:t>果里镇张北路201号山东黄河龙集团有限公司</w:t>
            </w:r>
            <w:r>
              <w:rPr>
                <w:rFonts w:hint="eastAsia" w:cs="Times New Roman"/>
                <w:color w:val="auto"/>
                <w:sz w:val="24"/>
                <w:szCs w:val="24"/>
                <w:u w:val="none"/>
                <w:lang w:val="en-US" w:eastAsia="zh-CN"/>
              </w:rPr>
              <w:t>厂</w:t>
            </w:r>
            <w:r>
              <w:rPr>
                <w:rFonts w:hint="default" w:ascii="Times New Roman" w:hAnsi="Times New Roman" w:eastAsia="宋体" w:cs="Times New Roman"/>
                <w:color w:val="auto"/>
                <w:sz w:val="24"/>
                <w:szCs w:val="24"/>
                <w:u w:val="none"/>
                <w:lang w:val="en-US" w:eastAsia="zh-CN"/>
              </w:rPr>
              <w:t>区内部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93" w:type="dxa"/>
            <w:tcBorders>
              <w:tl2br w:val="nil"/>
              <w:tr2bl w:val="nil"/>
            </w:tcBorders>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地理坐标</w:t>
            </w:r>
          </w:p>
        </w:tc>
        <w:tc>
          <w:tcPr>
            <w:tcW w:w="7261" w:type="dxa"/>
            <w:gridSpan w:val="4"/>
            <w:tcBorders>
              <w:tl2br w:val="nil"/>
              <w:tr2bl w:val="nil"/>
            </w:tcBorders>
            <w:noWrap w:val="0"/>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u w:val="single"/>
                <w:lang w:val="en-US" w:eastAsia="zh-CN"/>
              </w:rPr>
              <w:t>118</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度</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u w:val="single"/>
                <w:lang w:val="en-US" w:eastAsia="zh-CN"/>
              </w:rPr>
              <w:t>4</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分</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u w:val="single"/>
                <w:lang w:val="en-US" w:eastAsia="zh-CN"/>
              </w:rPr>
              <w:t>40.991</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秒，</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u w:val="single"/>
                <w:lang w:val="en-US" w:eastAsia="zh-CN"/>
              </w:rPr>
              <w:t>36</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度</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u w:val="single"/>
                <w:lang w:val="en-US" w:eastAsia="zh-CN"/>
              </w:rPr>
              <w:t>53</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分</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u w:val="single"/>
                <w:lang w:val="en-US" w:eastAsia="zh-CN"/>
              </w:rPr>
              <w:t>45.243</w:t>
            </w:r>
            <w:r>
              <w:rPr>
                <w:rFonts w:hint="default" w:ascii="Times New Roman" w:hAnsi="Times New Roman" w:eastAsia="宋体" w:cs="Times New Roman"/>
                <w:color w:val="auto"/>
                <w:sz w:val="24"/>
                <w:szCs w:val="24"/>
                <w:highlight w:val="none"/>
                <w:u w:val="single"/>
              </w:rPr>
              <w:t xml:space="preserve"> </w:t>
            </w:r>
            <w:r>
              <w:rPr>
                <w:rFonts w:hint="default" w:ascii="Times New Roman" w:hAnsi="Times New Roman" w:eastAsia="宋体" w:cs="Times New Roman"/>
                <w:color w:val="auto"/>
                <w:sz w:val="24"/>
                <w:szCs w:val="24"/>
                <w:highlight w:val="none"/>
              </w:rPr>
              <w:t>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93" w:type="dxa"/>
            <w:tcBorders>
              <w:tl2br w:val="nil"/>
              <w:tr2bl w:val="nil"/>
            </w:tcBorders>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国民经济</w:t>
            </w:r>
          </w:p>
          <w:p>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p>
        </w:tc>
        <w:tc>
          <w:tcPr>
            <w:tcW w:w="159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D4430热力生产和供应</w:t>
            </w:r>
          </w:p>
        </w:tc>
        <w:tc>
          <w:tcPr>
            <w:tcW w:w="19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4"/>
                <w:szCs w:val="24"/>
              </w:rPr>
            </w:pPr>
            <w:bookmarkStart w:id="1" w:name="_Hlk49843745"/>
            <w:r>
              <w:rPr>
                <w:rFonts w:hint="default" w:ascii="Times New Roman" w:hAnsi="Times New Roman" w:eastAsia="宋体" w:cs="Times New Roman"/>
                <w:color w:val="auto"/>
                <w:sz w:val="24"/>
                <w:szCs w:val="24"/>
              </w:rPr>
              <w:t>建设项目</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bookmarkEnd w:id="1"/>
          </w:p>
        </w:tc>
        <w:tc>
          <w:tcPr>
            <w:tcW w:w="37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四十一、电力、热力生产和供应业</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91 热力生产和供应工程（包括建设单位自建自用的供热工程）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93" w:type="dxa"/>
            <w:tcBorders>
              <w:tl2br w:val="nil"/>
              <w:tr2bl w:val="nil"/>
            </w:tcBorders>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建设性质</w:t>
            </w:r>
          </w:p>
        </w:tc>
        <w:tc>
          <w:tcPr>
            <w:tcW w:w="1590" w:type="dxa"/>
            <w:gridSpan w:val="2"/>
            <w:tcBorders>
              <w:tl2br w:val="nil"/>
              <w:tr2bl w:val="nil"/>
            </w:tcBorders>
            <w:noWrap w:val="0"/>
            <w:vAlign w:val="center"/>
          </w:tcPr>
          <w:p>
            <w:pPr>
              <w:keepNext w:val="0"/>
              <w:keepLines w:val="0"/>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52"/>
            </w:r>
            <w:r>
              <w:rPr>
                <w:rFonts w:hint="default" w:ascii="Times New Roman" w:hAnsi="Times New Roman" w:eastAsia="宋体" w:cs="Times New Roman"/>
                <w:color w:val="auto"/>
                <w:sz w:val="24"/>
                <w:szCs w:val="24"/>
              </w:rPr>
              <w:t>新建（迁建）</w:t>
            </w:r>
          </w:p>
          <w:p>
            <w:pPr>
              <w:keepNext w:val="0"/>
              <w:keepLines w:val="0"/>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改建</w:t>
            </w:r>
          </w:p>
          <w:p>
            <w:pPr>
              <w:keepNext w:val="0"/>
              <w:keepLines w:val="0"/>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扩建</w:t>
            </w:r>
          </w:p>
          <w:p>
            <w:pPr>
              <w:keepNext w:val="0"/>
              <w:keepLines w:val="0"/>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技术改造</w:t>
            </w:r>
          </w:p>
        </w:tc>
        <w:tc>
          <w:tcPr>
            <w:tcW w:w="196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w:t>
            </w:r>
          </w:p>
          <w:p>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申报情形</w:t>
            </w:r>
          </w:p>
        </w:tc>
        <w:tc>
          <w:tcPr>
            <w:tcW w:w="3706" w:type="dxa"/>
            <w:tcBorders>
              <w:tl2br w:val="nil"/>
              <w:tr2bl w:val="nil"/>
            </w:tcBorders>
            <w:noWrap w:val="0"/>
            <w:vAlign w:val="center"/>
          </w:tcPr>
          <w:p>
            <w:pPr>
              <w:keepNext w:val="0"/>
              <w:keepLines w:val="0"/>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52"/>
            </w:r>
            <w:r>
              <w:rPr>
                <w:rFonts w:hint="default" w:ascii="Times New Roman" w:hAnsi="Times New Roman" w:eastAsia="宋体" w:cs="Times New Roman"/>
                <w:color w:val="auto"/>
                <w:sz w:val="24"/>
                <w:szCs w:val="24"/>
              </w:rPr>
              <w:t xml:space="preserve">首次申报项目             </w:t>
            </w:r>
          </w:p>
          <w:p>
            <w:pPr>
              <w:keepNext w:val="0"/>
              <w:keepLines w:val="0"/>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不予批准后再次申报项目</w:t>
            </w:r>
          </w:p>
          <w:p>
            <w:pPr>
              <w:keepNext w:val="0"/>
              <w:keepLines w:val="0"/>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 xml:space="preserve">超五年重新审核项目     </w:t>
            </w:r>
          </w:p>
          <w:p>
            <w:pPr>
              <w:keepNext w:val="0"/>
              <w:keepLines w:val="0"/>
              <w:pageBreakBefore w:val="0"/>
              <w:kinsoku/>
              <w:wordWrap/>
              <w:overflowPunct/>
              <w:topLinePunct w:val="0"/>
              <w:bidi w:val="0"/>
              <w:spacing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93" w:type="dxa"/>
            <w:tcBorders>
              <w:tl2br w:val="nil"/>
              <w:tr2bl w:val="nil"/>
            </w:tcBorders>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项目审批（核准/</w:t>
            </w:r>
          </w:p>
          <w:p>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备案）部门（选填）</w:t>
            </w:r>
          </w:p>
        </w:tc>
        <w:tc>
          <w:tcPr>
            <w:tcW w:w="1590"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桓台县行政审批服务局</w:t>
            </w:r>
          </w:p>
        </w:tc>
        <w:tc>
          <w:tcPr>
            <w:tcW w:w="1965"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项目审批（核准/</w:t>
            </w:r>
          </w:p>
          <w:p>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备案）文号（选填）</w:t>
            </w:r>
          </w:p>
        </w:tc>
        <w:tc>
          <w:tcPr>
            <w:tcW w:w="370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93" w:type="dxa"/>
            <w:tcBorders>
              <w:tl2br w:val="nil"/>
              <w:tr2bl w:val="nil"/>
            </w:tcBorders>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总投资（万元）</w:t>
            </w:r>
          </w:p>
        </w:tc>
        <w:tc>
          <w:tcPr>
            <w:tcW w:w="1590"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600</w:t>
            </w:r>
          </w:p>
        </w:tc>
        <w:tc>
          <w:tcPr>
            <w:tcW w:w="1965" w:type="dxa"/>
            <w:tcBorders>
              <w:tl2br w:val="nil"/>
              <w:tr2bl w:val="nil"/>
            </w:tcBorders>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环保投资（万元）</w:t>
            </w:r>
          </w:p>
        </w:tc>
        <w:tc>
          <w:tcPr>
            <w:tcW w:w="370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93" w:type="dxa"/>
            <w:tcBorders>
              <w:tl2br w:val="nil"/>
              <w:tr2bl w:val="nil"/>
            </w:tcBorders>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环保投资占比（%）</w:t>
            </w:r>
          </w:p>
        </w:tc>
        <w:tc>
          <w:tcPr>
            <w:tcW w:w="1590"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10</w:t>
            </w:r>
          </w:p>
        </w:tc>
        <w:tc>
          <w:tcPr>
            <w:tcW w:w="1965" w:type="dxa"/>
            <w:tcBorders>
              <w:tl2br w:val="nil"/>
              <w:tr2bl w:val="nil"/>
            </w:tcBorders>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施工工期</w:t>
            </w:r>
          </w:p>
        </w:tc>
        <w:tc>
          <w:tcPr>
            <w:tcW w:w="370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6个月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93" w:type="dxa"/>
            <w:tcBorders>
              <w:tl2br w:val="nil"/>
              <w:tr2bl w:val="nil"/>
            </w:tcBorders>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是否开工建设</w:t>
            </w:r>
          </w:p>
        </w:tc>
        <w:tc>
          <w:tcPr>
            <w:tcW w:w="1590" w:type="dxa"/>
            <w:gridSpan w:val="2"/>
            <w:tcBorders>
              <w:tl2br w:val="nil"/>
              <w:tr2bl w:val="nil"/>
            </w:tcBorders>
            <w:noWrap w:val="0"/>
            <w:vAlign w:val="center"/>
          </w:tcPr>
          <w:p>
            <w:pPr>
              <w:keepNext w:val="0"/>
              <w:keepLines w:val="0"/>
              <w:pageBreakBefore w:val="0"/>
              <w:kinsoku/>
              <w:wordWrap/>
              <w:overflowPunct/>
              <w:topLinePunct w:val="0"/>
              <w:bidi w:val="0"/>
              <w:adjustRightInd w:val="0"/>
              <w:snapToGrid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52"/>
            </w:r>
            <w:r>
              <w:rPr>
                <w:rFonts w:hint="default" w:ascii="Times New Roman" w:hAnsi="Times New Roman" w:eastAsia="宋体" w:cs="Times New Roman"/>
                <w:color w:val="auto"/>
                <w:sz w:val="24"/>
                <w:szCs w:val="24"/>
              </w:rPr>
              <w:t>否</w:t>
            </w:r>
          </w:p>
          <w:p>
            <w:pPr>
              <w:keepNext w:val="0"/>
              <w:keepLines w:val="0"/>
              <w:pageBreakBefore w:val="0"/>
              <w:kinsoku/>
              <w:wordWrap/>
              <w:overflowPunct/>
              <w:topLinePunct w:val="0"/>
              <w:bidi w:val="0"/>
              <w:adjustRightInd w:val="0"/>
              <w:snapToGrid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sym w:font="Wingdings 2" w:char="00A3"/>
            </w:r>
            <w:r>
              <w:rPr>
                <w:rFonts w:hint="default" w:ascii="Times New Roman" w:hAnsi="Times New Roman" w:eastAsia="宋体" w:cs="Times New Roman"/>
                <w:color w:val="auto"/>
                <w:sz w:val="24"/>
                <w:szCs w:val="24"/>
              </w:rPr>
              <w:t>是：</w:t>
            </w:r>
            <w:r>
              <w:rPr>
                <w:rFonts w:hint="default" w:ascii="Times New Roman" w:hAnsi="Times New Roman" w:eastAsia="宋体" w:cs="Times New Roman"/>
                <w:color w:val="auto"/>
                <w:sz w:val="24"/>
                <w:szCs w:val="24"/>
                <w:u w:val="single"/>
              </w:rPr>
              <w:t xml:space="preserve">             </w:t>
            </w:r>
          </w:p>
        </w:tc>
        <w:tc>
          <w:tcPr>
            <w:tcW w:w="1965" w:type="dxa"/>
            <w:tcBorders>
              <w:tl2br w:val="nil"/>
              <w:tr2bl w:val="nil"/>
            </w:tcBorders>
            <w:noWrap w:val="0"/>
            <w:tcMar>
              <w:top w:w="16" w:type="dxa"/>
              <w:left w:w="16" w:type="dxa"/>
              <w:right w:w="16" w:type="dxa"/>
            </w:tcMar>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6"/>
                <w:sz w:val="24"/>
                <w:szCs w:val="24"/>
              </w:rPr>
              <w:t>用地面积（m</w:t>
            </w:r>
            <w:r>
              <w:rPr>
                <w:rFonts w:hint="default" w:ascii="Times New Roman" w:hAnsi="Times New Roman" w:eastAsia="宋体" w:cs="Times New Roman"/>
                <w:color w:val="auto"/>
                <w:spacing w:val="-6"/>
                <w:sz w:val="24"/>
                <w:szCs w:val="24"/>
                <w:vertAlign w:val="superscript"/>
              </w:rPr>
              <w:t>2</w:t>
            </w:r>
            <w:r>
              <w:rPr>
                <w:rFonts w:hint="default" w:ascii="Times New Roman" w:hAnsi="Times New Roman" w:eastAsia="宋体" w:cs="Times New Roman"/>
                <w:color w:val="auto"/>
                <w:spacing w:val="-6"/>
                <w:sz w:val="24"/>
                <w:szCs w:val="24"/>
              </w:rPr>
              <w:t>）</w:t>
            </w:r>
          </w:p>
        </w:tc>
        <w:tc>
          <w:tcPr>
            <w:tcW w:w="3706"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793"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专项评价设置情况</w:t>
            </w:r>
          </w:p>
        </w:tc>
        <w:tc>
          <w:tcPr>
            <w:tcW w:w="7261" w:type="dxa"/>
            <w:gridSpan w:val="4"/>
            <w:tcBorders>
              <w:tl2br w:val="nil"/>
              <w:tr2bl w:val="nil"/>
            </w:tcBorders>
            <w:noWrap w:val="0"/>
            <w:vAlign w:val="center"/>
          </w:tcPr>
          <w:tbl>
            <w:tblPr>
              <w:tblStyle w:val="21"/>
              <w:tblW w:w="680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3339"/>
              <w:gridCol w:w="1507"/>
              <w:gridCol w:w="8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color w:val="0000FF"/>
                      <w:lang w:val="en-US" w:eastAsia="zh-CN"/>
                    </w:rPr>
                  </w:pPr>
                  <w:r>
                    <w:rPr>
                      <w:rFonts w:hint="eastAsia"/>
                      <w:color w:val="0000FF"/>
                      <w:lang w:val="en-US" w:eastAsia="zh-CN"/>
                    </w:rPr>
                    <w:t>专项评价类别</w:t>
                  </w:r>
                </w:p>
              </w:tc>
              <w:tc>
                <w:tcPr>
                  <w:tcW w:w="33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color w:val="0000FF"/>
                      <w:lang w:val="en-US" w:eastAsia="zh-CN"/>
                    </w:rPr>
                  </w:pPr>
                  <w:r>
                    <w:rPr>
                      <w:rFonts w:hint="eastAsia"/>
                      <w:color w:val="0000FF"/>
                      <w:lang w:val="en-US" w:eastAsia="zh-CN"/>
                    </w:rPr>
                    <w:t>设置原则</w:t>
                  </w:r>
                </w:p>
              </w:tc>
              <w:tc>
                <w:tcPr>
                  <w:tcW w:w="15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color w:val="0000FF"/>
                      <w:lang w:val="en-US" w:eastAsia="zh-CN"/>
                    </w:rPr>
                  </w:pPr>
                  <w:r>
                    <w:rPr>
                      <w:rFonts w:hint="eastAsia"/>
                      <w:color w:val="0000FF"/>
                      <w:lang w:val="en-US" w:eastAsia="zh-CN"/>
                    </w:rPr>
                    <w:t>本项目情况</w:t>
                  </w:r>
                </w:p>
              </w:tc>
              <w:tc>
                <w:tcPr>
                  <w:tcW w:w="8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color w:val="0000FF"/>
                      <w:lang w:val="en-US" w:eastAsia="zh-CN"/>
                    </w:rPr>
                  </w:pPr>
                  <w:r>
                    <w:rPr>
                      <w:rFonts w:hint="eastAsia"/>
                      <w:color w:val="0000FF"/>
                      <w:lang w:val="en-US" w:eastAsia="zh-CN"/>
                    </w:rPr>
                    <w:t>是否需要设置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color w:val="0000FF"/>
                      <w:lang w:val="en-US" w:eastAsia="zh-CN"/>
                    </w:rPr>
                  </w:pPr>
                  <w:r>
                    <w:rPr>
                      <w:rFonts w:hint="eastAsia"/>
                      <w:color w:val="0000FF"/>
                      <w:lang w:val="en-US" w:eastAsia="zh-CN"/>
                    </w:rPr>
                    <w:t>大气</w:t>
                  </w:r>
                </w:p>
              </w:tc>
              <w:tc>
                <w:tcPr>
                  <w:tcW w:w="33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color w:val="0000FF"/>
                      <w:lang w:val="en-US" w:eastAsia="zh-CN"/>
                    </w:rPr>
                  </w:pPr>
                  <w:r>
                    <w:rPr>
                      <w:rFonts w:hint="eastAsia"/>
                      <w:color w:val="0000FF"/>
                      <w:lang w:val="en-US" w:eastAsia="zh-CN"/>
                    </w:rPr>
                    <w:t>排放废气含有毒有害污染物、二噁英、苯并[a]芘、氰化物、氯气且厂</w:t>
                  </w:r>
                </w:p>
                <w:p>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color w:val="0000FF"/>
                      <w:lang w:val="en-US" w:eastAsia="zh-CN"/>
                    </w:rPr>
                  </w:pPr>
                  <w:r>
                    <w:rPr>
                      <w:rFonts w:hint="eastAsia"/>
                      <w:color w:val="0000FF"/>
                      <w:lang w:val="en-US" w:eastAsia="zh-CN"/>
                    </w:rPr>
                    <w:t>界外500米范围内有环境空气保护目标的建设项目</w:t>
                  </w:r>
                </w:p>
              </w:tc>
              <w:tc>
                <w:tcPr>
                  <w:tcW w:w="15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color w:val="0000FF"/>
                      <w:lang w:val="en-US" w:eastAsia="zh-CN"/>
                    </w:rPr>
                  </w:pPr>
                  <w:r>
                    <w:rPr>
                      <w:rFonts w:hint="eastAsia"/>
                      <w:color w:val="0000FF"/>
                      <w:lang w:val="en-US" w:eastAsia="zh-CN"/>
                    </w:rPr>
                    <w:t>不涉及上述污染物排放</w:t>
                  </w:r>
                </w:p>
              </w:tc>
              <w:tc>
                <w:tcPr>
                  <w:tcW w:w="8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color w:val="0000FF"/>
                      <w:lang w:val="en-US" w:eastAsia="zh-CN"/>
                    </w:rPr>
                  </w:pPr>
                  <w:r>
                    <w:rPr>
                      <w:rFonts w:hint="eastAsia"/>
                      <w:color w:val="0000FF"/>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color w:val="0000FF"/>
                      <w:lang w:val="en-US" w:eastAsia="zh-CN"/>
                    </w:rPr>
                  </w:pPr>
                  <w:r>
                    <w:rPr>
                      <w:rFonts w:hint="eastAsia"/>
                      <w:color w:val="0000FF"/>
                      <w:lang w:val="en-US" w:eastAsia="zh-CN"/>
                    </w:rPr>
                    <w:t>地表水</w:t>
                  </w:r>
                </w:p>
              </w:tc>
              <w:tc>
                <w:tcPr>
                  <w:tcW w:w="33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color w:val="0000FF"/>
                      <w:lang w:val="en-US" w:eastAsia="zh-CN"/>
                    </w:rPr>
                  </w:pPr>
                  <w:r>
                    <w:rPr>
                      <w:rFonts w:hint="eastAsia"/>
                      <w:color w:val="0000FF"/>
                      <w:lang w:val="en-US" w:eastAsia="zh-CN"/>
                    </w:rPr>
                    <w:t>新增工业废水直排建设项目（槽罐车外送污水处理厂的除外）新增废水直排的污水集中处理厂</w:t>
                  </w:r>
                </w:p>
              </w:tc>
              <w:tc>
                <w:tcPr>
                  <w:tcW w:w="15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color w:val="0000FF"/>
                      <w:lang w:val="en-US" w:eastAsia="zh-CN"/>
                    </w:rPr>
                  </w:pPr>
                  <w:r>
                    <w:rPr>
                      <w:rFonts w:hint="eastAsia"/>
                      <w:color w:val="0000FF"/>
                      <w:lang w:val="en-US" w:eastAsia="zh-CN"/>
                    </w:rPr>
                    <w:t>不涉及工业废水直接排放</w:t>
                  </w:r>
                </w:p>
              </w:tc>
              <w:tc>
                <w:tcPr>
                  <w:tcW w:w="8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color w:val="0000FF"/>
                      <w:lang w:val="en-US" w:eastAsia="zh-CN"/>
                    </w:rPr>
                  </w:pPr>
                  <w:r>
                    <w:rPr>
                      <w:rFonts w:hint="eastAsia"/>
                      <w:color w:val="0000FF"/>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color w:val="0000FF"/>
                      <w:lang w:val="en-US" w:eastAsia="zh-CN"/>
                    </w:rPr>
                  </w:pPr>
                  <w:r>
                    <w:rPr>
                      <w:rFonts w:hint="eastAsia"/>
                      <w:color w:val="0000FF"/>
                      <w:lang w:val="en-US" w:eastAsia="zh-CN"/>
                    </w:rPr>
                    <w:t>环境风险</w:t>
                  </w:r>
                </w:p>
              </w:tc>
              <w:tc>
                <w:tcPr>
                  <w:tcW w:w="33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color w:val="0000FF"/>
                      <w:lang w:val="en-US" w:eastAsia="zh-CN"/>
                    </w:rPr>
                  </w:pPr>
                  <w:r>
                    <w:rPr>
                      <w:rFonts w:hint="eastAsia"/>
                      <w:color w:val="0000FF"/>
                      <w:lang w:val="en-US" w:eastAsia="zh-CN"/>
                    </w:rPr>
                    <w:t>有毒有害和易燃易爆危险物质存储量超过临界量的建设项目</w:t>
                  </w:r>
                </w:p>
              </w:tc>
              <w:tc>
                <w:tcPr>
                  <w:tcW w:w="15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color w:val="0000FF"/>
                      <w:lang w:val="en-US" w:eastAsia="zh-CN"/>
                    </w:rPr>
                  </w:pPr>
                  <w:r>
                    <w:rPr>
                      <w:rFonts w:hint="eastAsia"/>
                      <w:color w:val="0000FF"/>
                      <w:lang w:val="en-US" w:eastAsia="zh-CN"/>
                    </w:rPr>
                    <w:t>不涉及</w:t>
                  </w:r>
                </w:p>
              </w:tc>
              <w:tc>
                <w:tcPr>
                  <w:tcW w:w="8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color w:val="0000FF"/>
                      <w:lang w:val="en-US" w:eastAsia="zh-CN"/>
                    </w:rPr>
                  </w:pPr>
                  <w:r>
                    <w:rPr>
                      <w:rFonts w:hint="eastAsia"/>
                      <w:color w:val="0000FF"/>
                      <w:lang w:val="en-US" w:eastAsia="zh-CN"/>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color w:val="0000FF"/>
                      <w:lang w:val="en-US" w:eastAsia="zh-CN"/>
                    </w:rPr>
                  </w:pPr>
                  <w:r>
                    <w:rPr>
                      <w:rFonts w:hint="eastAsia"/>
                      <w:color w:val="0000FF"/>
                      <w:lang w:val="en-US" w:eastAsia="zh-CN"/>
                    </w:rPr>
                    <w:t>生态</w:t>
                  </w:r>
                </w:p>
              </w:tc>
              <w:tc>
                <w:tcPr>
                  <w:tcW w:w="33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color w:val="0000FF"/>
                      <w:lang w:val="en-US" w:eastAsia="zh-CN"/>
                    </w:rPr>
                  </w:pPr>
                  <w:r>
                    <w:rPr>
                      <w:rFonts w:hint="eastAsia"/>
                      <w:color w:val="0000FF"/>
                      <w:lang w:val="en-US" w:eastAsia="zh-CN"/>
                    </w:rPr>
                    <w:t>取水口下游500米范围内有重要水生生物的自然产卵场、索饵场、越冬场和洄游通道的新增河道取水的污染类建设项目</w:t>
                  </w:r>
                </w:p>
              </w:tc>
              <w:tc>
                <w:tcPr>
                  <w:tcW w:w="15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color w:val="0000FF"/>
                      <w:lang w:val="en-US" w:eastAsia="zh-CN"/>
                    </w:rPr>
                  </w:pPr>
                  <w:r>
                    <w:rPr>
                      <w:rFonts w:hint="eastAsia"/>
                      <w:color w:val="0000FF"/>
                      <w:lang w:val="en-US" w:eastAsia="zh-CN"/>
                    </w:rPr>
                    <w:t>不涉及</w:t>
                  </w:r>
                </w:p>
              </w:tc>
              <w:tc>
                <w:tcPr>
                  <w:tcW w:w="8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360" w:lineRule="atLeast"/>
                    <w:ind w:firstLine="0" w:firstLineChars="0"/>
                    <w:jc w:val="center"/>
                    <w:textAlignment w:val="auto"/>
                    <w:rPr>
                      <w:rFonts w:hint="eastAsia"/>
                      <w:color w:val="0000FF"/>
                      <w:lang w:val="en-US" w:eastAsia="zh-CN"/>
                    </w:rPr>
                  </w:pPr>
                  <w:r>
                    <w:rPr>
                      <w:rFonts w:hint="eastAsia"/>
                      <w:color w:val="0000FF"/>
                      <w:lang w:val="en-US" w:eastAsia="zh-CN"/>
                    </w:rPr>
                    <w:t>否</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left"/>
              <w:textAlignment w:val="auto"/>
              <w:rPr>
                <w:rFonts w:hint="default"/>
                <w:lang w:val="en-US" w:eastAsia="zh-CN"/>
              </w:rPr>
            </w:pPr>
            <w:r>
              <w:rPr>
                <w:rFonts w:hint="default" w:ascii="Times New Roman" w:hAnsi="Times New Roman" w:cs="Times New Roman"/>
                <w:color w:val="auto"/>
                <w:sz w:val="24"/>
                <w:szCs w:val="24"/>
              </w:rPr>
              <w:t>根据上表，本次环评无需设置专项评价</w:t>
            </w:r>
            <w:r>
              <w:rPr>
                <w:rFonts w:hint="default" w:ascii="Times New Roman" w:hAnsi="Times New Roman" w:cs="Times New Roman"/>
                <w:color w:val="auto"/>
                <w:sz w:val="24"/>
                <w:szCs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93"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规划情况</w:t>
            </w:r>
          </w:p>
        </w:tc>
        <w:tc>
          <w:tcPr>
            <w:tcW w:w="7261" w:type="dxa"/>
            <w:gridSpan w:val="4"/>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rPr>
              <w:t>项目位于桓台经济开发区内，该开发区是由</w:t>
            </w:r>
            <w:r>
              <w:rPr>
                <w:rFonts w:hint="default" w:ascii="Times New Roman" w:hAnsi="Times New Roman" w:eastAsia="宋体" w:cs="Times New Roman"/>
                <w:color w:val="auto"/>
                <w:sz w:val="24"/>
                <w:szCs w:val="24"/>
              </w:rPr>
              <w:t>桓台县人民政府批准设立，成立文号：桓政字[2018]20号</w:t>
            </w:r>
            <w:r>
              <w:rPr>
                <w:rFonts w:hint="default" w:ascii="Times New Roman" w:hAnsi="Times New Roman" w:eastAsia="宋体" w:cs="Times New Roman"/>
                <w:color w:val="auto"/>
                <w:kern w:val="0"/>
                <w:sz w:val="24"/>
                <w:szCs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793" w:type="dxa"/>
            <w:tcBorders>
              <w:tl2br w:val="nil"/>
              <w:tr2bl w:val="nil"/>
            </w:tcBorders>
            <w:noWrap w:val="0"/>
            <w:vAlign w:val="center"/>
          </w:tcPr>
          <w:p>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规划环境影响</w:t>
            </w:r>
          </w:p>
          <w:p>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评价情况</w:t>
            </w:r>
          </w:p>
        </w:tc>
        <w:tc>
          <w:tcPr>
            <w:tcW w:w="7261" w:type="dxa"/>
            <w:gridSpan w:val="4"/>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rPr>
              <w:t>《桓台经济开发区总体规划环境影响报告书》于2018年4月3日取得了桓台县生态环境局的审查意见（桓环许字[2018]79号）。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793"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规划及规划环境影响评价符合性分析</w:t>
            </w:r>
          </w:p>
        </w:tc>
        <w:tc>
          <w:tcPr>
            <w:tcW w:w="7261" w:type="dxa"/>
            <w:gridSpan w:val="4"/>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360" w:lineRule="auto"/>
              <w:ind w:firstLine="482" w:firstLineChars="200"/>
              <w:jc w:val="left"/>
              <w:textAlignment w:val="auto"/>
              <w:rPr>
                <w:rFonts w:hint="default" w:ascii="Times New Roman" w:hAnsi="Times New Roman" w:eastAsia="黑体" w:cs="Times New Roman"/>
                <w:b/>
                <w:color w:val="auto"/>
                <w:kern w:val="0"/>
                <w:sz w:val="24"/>
                <w:szCs w:val="24"/>
              </w:rPr>
            </w:pPr>
            <w:r>
              <w:rPr>
                <w:rFonts w:hint="default" w:ascii="Times New Roman" w:hAnsi="Times New Roman" w:eastAsia="黑体" w:cs="Times New Roman"/>
                <w:b/>
                <w:color w:val="auto"/>
                <w:kern w:val="0"/>
                <w:sz w:val="24"/>
                <w:szCs w:val="24"/>
              </w:rPr>
              <w:t>一、规划环评结论符合性</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根据《</w:t>
            </w:r>
            <w:r>
              <w:rPr>
                <w:rFonts w:hint="default" w:ascii="Times New Roman" w:hAnsi="Times New Roman" w:cs="Times New Roman"/>
                <w:bCs/>
                <w:color w:val="auto"/>
                <w:sz w:val="24"/>
                <w:szCs w:val="24"/>
              </w:rPr>
              <w:t>桓台经济开发区</w:t>
            </w:r>
            <w:r>
              <w:rPr>
                <w:rFonts w:hint="default" w:ascii="Times New Roman" w:hAnsi="Times New Roman" w:cs="Times New Roman"/>
                <w:color w:val="auto"/>
                <w:sz w:val="24"/>
                <w:szCs w:val="24"/>
              </w:rPr>
              <w:t>总体规划环境影响报告书</w:t>
            </w:r>
            <w:r>
              <w:rPr>
                <w:rFonts w:hint="default" w:ascii="Times New Roman" w:hAnsi="Times New Roman" w:cs="Times New Roman"/>
                <w:color w:val="auto"/>
                <w:kern w:val="0"/>
                <w:sz w:val="24"/>
                <w:szCs w:val="24"/>
              </w:rPr>
              <w:t>》中的规划环评结论：桓台经济开发区在现有工业基础上，以石油炼化及精细化工、钢铁冶炼、新型材料研发、先进装备制造业为主的生态型经济示范区，其供水主要依托新城水厂、桓台县市政供水系统，排水进入</w:t>
            </w:r>
            <w:r>
              <w:rPr>
                <w:rFonts w:hint="default" w:ascii="Times New Roman" w:hAnsi="Times New Roman" w:cs="Times New Roman"/>
                <w:color w:val="auto"/>
                <w:sz w:val="24"/>
                <w:szCs w:val="24"/>
              </w:rPr>
              <w:t>光大水务（淄博）有限公司水质净化(三分厂)</w:t>
            </w:r>
            <w:r>
              <w:rPr>
                <w:rFonts w:hint="default" w:ascii="Times New Roman" w:hAnsi="Times New Roman" w:cs="Times New Roman"/>
                <w:color w:val="auto"/>
                <w:kern w:val="0"/>
                <w:sz w:val="24"/>
                <w:szCs w:val="24"/>
              </w:rPr>
              <w:t>进行处理，供热由</w:t>
            </w:r>
            <w:r>
              <w:rPr>
                <w:rFonts w:hint="default" w:ascii="Times New Roman" w:hAnsi="Times New Roman" w:cs="Times New Roman"/>
                <w:bCs/>
                <w:color w:val="auto"/>
                <w:kern w:val="0"/>
                <w:sz w:val="24"/>
                <w:szCs w:val="24"/>
              </w:rPr>
              <w:t>桓台经济开发区热力有限公司提供，燃气来自中石油“沧—淄”线天然气</w:t>
            </w:r>
            <w:r>
              <w:rPr>
                <w:rFonts w:hint="default" w:ascii="Times New Roman" w:hAnsi="Times New Roman" w:cs="Times New Roman"/>
                <w:color w:val="auto"/>
                <w:kern w:val="0"/>
                <w:sz w:val="24"/>
                <w:szCs w:val="24"/>
              </w:rPr>
              <w:t>。</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color w:val="auto"/>
                <w:kern w:val="0"/>
                <w:sz w:val="24"/>
                <w:szCs w:val="24"/>
              </w:rPr>
            </w:pPr>
            <w:r>
              <w:rPr>
                <w:rFonts w:hint="default" w:ascii="Times New Roman" w:hAnsi="Times New Roman" w:cs="Times New Roman"/>
                <w:bCs/>
                <w:color w:val="auto"/>
                <w:sz w:val="24"/>
                <w:szCs w:val="24"/>
              </w:rPr>
              <w:t>本项目在山东</w:t>
            </w:r>
            <w:r>
              <w:rPr>
                <w:rFonts w:hint="default" w:ascii="Times New Roman" w:hAnsi="Times New Roman" w:cs="Times New Roman"/>
                <w:bCs/>
                <w:color w:val="auto"/>
                <w:sz w:val="24"/>
                <w:szCs w:val="24"/>
                <w:lang w:eastAsia="zh-CN"/>
              </w:rPr>
              <w:t>黄河龙集团</w:t>
            </w:r>
            <w:r>
              <w:rPr>
                <w:rFonts w:hint="default" w:ascii="Times New Roman" w:hAnsi="Times New Roman" w:cs="Times New Roman"/>
                <w:bCs/>
                <w:color w:val="auto"/>
                <w:sz w:val="24"/>
                <w:szCs w:val="24"/>
              </w:rPr>
              <w:t>有限公司现有厂区建设，</w:t>
            </w:r>
            <w:r>
              <w:rPr>
                <w:rFonts w:hint="eastAsia" w:cs="Times New Roman"/>
                <w:bCs/>
                <w:color w:val="auto"/>
                <w:sz w:val="24"/>
                <w:szCs w:val="24"/>
                <w:lang w:eastAsia="zh-CN"/>
              </w:rPr>
              <w:t>本项目属于新建的基础设施配套项目</w:t>
            </w:r>
            <w:r>
              <w:rPr>
                <w:rFonts w:hint="default" w:ascii="Times New Roman" w:hAnsi="Times New Roman" w:cs="Times New Roman"/>
                <w:bCs/>
                <w:color w:val="auto"/>
                <w:sz w:val="24"/>
                <w:szCs w:val="24"/>
              </w:rPr>
              <w:t>，</w:t>
            </w:r>
            <w:r>
              <w:rPr>
                <w:rFonts w:hint="eastAsia" w:cs="Times New Roman"/>
                <w:bCs/>
                <w:color w:val="auto"/>
                <w:sz w:val="24"/>
                <w:szCs w:val="24"/>
                <w:lang w:eastAsia="zh-CN"/>
              </w:rPr>
              <w:t>不属于工业生产项目，</w:t>
            </w:r>
            <w:r>
              <w:rPr>
                <w:rFonts w:hint="default" w:ascii="Times New Roman" w:hAnsi="Times New Roman" w:cs="Times New Roman"/>
                <w:bCs/>
                <w:color w:val="auto"/>
                <w:sz w:val="24"/>
                <w:szCs w:val="24"/>
              </w:rPr>
              <w:t>不违背桓台经济开发区的主导产业，同时项目也取得了当地政府部门的备案，项目用水来自开发区自来水管网，项目产生的废水经</w:t>
            </w:r>
            <w:r>
              <w:rPr>
                <w:rFonts w:hint="default" w:ascii="Times New Roman" w:hAnsi="Times New Roman" w:cs="Times New Roman"/>
                <w:bCs/>
                <w:color w:val="auto"/>
                <w:sz w:val="24"/>
                <w:szCs w:val="24"/>
                <w:lang w:eastAsia="zh-CN"/>
              </w:rPr>
              <w:t>海奥斯</w:t>
            </w:r>
            <w:r>
              <w:rPr>
                <w:rFonts w:hint="default" w:ascii="Times New Roman" w:hAnsi="Times New Roman" w:cs="Times New Roman"/>
                <w:bCs/>
                <w:color w:val="auto"/>
                <w:sz w:val="24"/>
                <w:szCs w:val="24"/>
              </w:rPr>
              <w:t>污水处理</w:t>
            </w:r>
            <w:r>
              <w:rPr>
                <w:rFonts w:hint="default" w:ascii="Times New Roman" w:hAnsi="Times New Roman" w:cs="Times New Roman"/>
                <w:bCs/>
                <w:color w:val="auto"/>
                <w:sz w:val="24"/>
                <w:szCs w:val="24"/>
                <w:lang w:eastAsia="zh-CN"/>
              </w:rPr>
              <w:t>站</w:t>
            </w:r>
            <w:r>
              <w:rPr>
                <w:rFonts w:hint="default" w:ascii="Times New Roman" w:hAnsi="Times New Roman" w:cs="Times New Roman"/>
                <w:bCs/>
                <w:color w:val="auto"/>
                <w:sz w:val="24"/>
                <w:szCs w:val="24"/>
              </w:rPr>
              <w:t>处理达标后排入市政管网，排入</w:t>
            </w:r>
            <w:r>
              <w:rPr>
                <w:rFonts w:hint="default" w:ascii="Times New Roman" w:hAnsi="Times New Roman" w:cs="Times New Roman"/>
                <w:color w:val="auto"/>
                <w:sz w:val="24"/>
                <w:szCs w:val="24"/>
              </w:rPr>
              <w:t>光大水务（淄博）有限公司水质净化(三分厂)</w:t>
            </w:r>
            <w:r>
              <w:rPr>
                <w:rFonts w:hint="default" w:ascii="Times New Roman" w:hAnsi="Times New Roman" w:cs="Times New Roman"/>
                <w:color w:val="auto"/>
                <w:kern w:val="0"/>
                <w:sz w:val="24"/>
                <w:szCs w:val="24"/>
              </w:rPr>
              <w:t>进行处理进一步处理</w:t>
            </w:r>
            <w:r>
              <w:rPr>
                <w:rFonts w:hint="default" w:ascii="Times New Roman" w:hAnsi="Times New Roman" w:cs="Times New Roman"/>
                <w:bCs/>
                <w:color w:val="auto"/>
                <w:kern w:val="0"/>
                <w:sz w:val="24"/>
                <w:szCs w:val="24"/>
              </w:rPr>
              <w:t>，天然气来自中石油“沧—淄”线天然气</w:t>
            </w:r>
            <w:r>
              <w:rPr>
                <w:rFonts w:hint="default" w:ascii="Times New Roman" w:hAnsi="Times New Roman" w:cs="Times New Roman"/>
                <w:color w:val="auto"/>
                <w:kern w:val="0"/>
                <w:sz w:val="24"/>
                <w:szCs w:val="24"/>
              </w:rPr>
              <w:t>。该项目的建设符合</w:t>
            </w:r>
            <w:r>
              <w:rPr>
                <w:rFonts w:hint="default" w:ascii="Times New Roman" w:hAnsi="Times New Roman" w:cs="Times New Roman"/>
                <w:bCs/>
                <w:color w:val="auto"/>
                <w:sz w:val="24"/>
                <w:szCs w:val="24"/>
              </w:rPr>
              <w:t>桓台经济开发区</w:t>
            </w:r>
            <w:r>
              <w:rPr>
                <w:rFonts w:hint="default" w:ascii="Times New Roman" w:hAnsi="Times New Roman" w:cs="Times New Roman"/>
                <w:color w:val="auto"/>
                <w:kern w:val="0"/>
                <w:sz w:val="24"/>
                <w:szCs w:val="24"/>
              </w:rPr>
              <w:t>的生态环境准入要求。</w:t>
            </w:r>
          </w:p>
          <w:p>
            <w:pPr>
              <w:keepNext w:val="0"/>
              <w:keepLines w:val="0"/>
              <w:pageBreakBefore w:val="0"/>
              <w:kinsoku/>
              <w:wordWrap/>
              <w:overflowPunct/>
              <w:topLinePunct w:val="0"/>
              <w:autoSpaceDE w:val="0"/>
              <w:autoSpaceDN w:val="0"/>
              <w:bidi w:val="0"/>
              <w:adjustRightInd w:val="0"/>
              <w:snapToGrid w:val="0"/>
              <w:spacing w:line="360" w:lineRule="auto"/>
              <w:ind w:firstLine="482" w:firstLineChars="200"/>
              <w:jc w:val="left"/>
              <w:textAlignment w:val="auto"/>
              <w:rPr>
                <w:rFonts w:hint="default" w:ascii="Times New Roman" w:hAnsi="Times New Roman" w:eastAsia="黑体" w:cs="Times New Roman"/>
                <w:b/>
                <w:bCs/>
                <w:color w:val="auto"/>
                <w:kern w:val="0"/>
                <w:sz w:val="24"/>
                <w:szCs w:val="24"/>
              </w:rPr>
            </w:pPr>
            <w:r>
              <w:rPr>
                <w:rFonts w:hint="default" w:ascii="Times New Roman" w:hAnsi="Times New Roman" w:eastAsia="黑体" w:cs="Times New Roman"/>
                <w:b/>
                <w:bCs/>
                <w:color w:val="auto"/>
                <w:kern w:val="0"/>
                <w:sz w:val="24"/>
                <w:szCs w:val="24"/>
              </w:rPr>
              <w:t>二、审查意见的符合性</w:t>
            </w:r>
          </w:p>
          <w:p>
            <w:pPr>
              <w:keepNext w:val="0"/>
              <w:keepLines w:val="0"/>
              <w:pageBreakBefore w:val="0"/>
              <w:kinsoku/>
              <w:wordWrap/>
              <w:overflowPunct/>
              <w:topLinePunct w:val="0"/>
              <w:autoSpaceDE w:val="0"/>
              <w:autoSpaceDN w:val="0"/>
              <w:bidi w:val="0"/>
              <w:adjustRightInd w:val="0"/>
              <w:spacing w:line="360" w:lineRule="auto"/>
              <w:jc w:val="center"/>
              <w:textAlignment w:val="auto"/>
              <w:rPr>
                <w:rFonts w:hint="eastAsia" w:ascii="黑体" w:hAnsi="黑体" w:eastAsia="黑体" w:cs="黑体"/>
                <w:b/>
                <w:bCs/>
                <w:color w:val="auto"/>
                <w:kern w:val="0"/>
                <w:sz w:val="24"/>
                <w:szCs w:val="24"/>
              </w:rPr>
            </w:pPr>
            <w:r>
              <w:rPr>
                <w:rFonts w:hint="eastAsia" w:ascii="黑体" w:hAnsi="黑体" w:eastAsia="黑体" w:cs="黑体"/>
                <w:b/>
                <w:bCs/>
                <w:color w:val="auto"/>
                <w:kern w:val="0"/>
                <w:sz w:val="24"/>
                <w:szCs w:val="24"/>
              </w:rPr>
              <w:t>表1</w:t>
            </w:r>
            <w:r>
              <w:rPr>
                <w:rFonts w:hint="eastAsia" w:ascii="黑体" w:hAnsi="黑体" w:eastAsia="黑体" w:cs="黑体"/>
                <w:b/>
                <w:bCs/>
                <w:color w:val="auto"/>
                <w:kern w:val="0"/>
                <w:sz w:val="24"/>
                <w:szCs w:val="24"/>
                <w:lang w:val="en-US" w:eastAsia="zh-CN"/>
              </w:rPr>
              <w:t xml:space="preserve"> </w:t>
            </w:r>
            <w:r>
              <w:rPr>
                <w:rFonts w:hint="eastAsia" w:ascii="黑体" w:hAnsi="黑体" w:eastAsia="黑体" w:cs="黑体"/>
                <w:b/>
                <w:color w:val="auto"/>
                <w:kern w:val="0"/>
                <w:sz w:val="24"/>
                <w:szCs w:val="24"/>
              </w:rPr>
              <w:t>桓台经济开发区总体规划环境影响报告书的审查意见符合性</w:t>
            </w:r>
          </w:p>
          <w:tbl>
            <w:tblPr>
              <w:tblStyle w:val="20"/>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713"/>
              <w:gridCol w:w="3067"/>
              <w:gridCol w:w="1711"/>
              <w:gridCol w:w="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tLeast"/>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序号</w:t>
                  </w:r>
                </w:p>
              </w:tc>
              <w:tc>
                <w:tcPr>
                  <w:tcW w:w="3780"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tLeast"/>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具体要求</w:t>
                  </w:r>
                </w:p>
              </w:tc>
              <w:tc>
                <w:tcPr>
                  <w:tcW w:w="171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tLeast"/>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项目情况</w:t>
                  </w:r>
                </w:p>
              </w:tc>
              <w:tc>
                <w:tcPr>
                  <w:tcW w:w="64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tLeast"/>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符合情况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66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tLeast"/>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一</w:t>
                  </w:r>
                </w:p>
              </w:tc>
              <w:tc>
                <w:tcPr>
                  <w:tcW w:w="713"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tLeast"/>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主要污染物排放总量控制</w:t>
                  </w:r>
                </w:p>
              </w:tc>
              <w:tc>
                <w:tcPr>
                  <w:tcW w:w="306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tLeast"/>
                    <w:ind w:firstLine="420" w:firstLineChars="20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经济开发区内主要污染物排放总量控制指标由县政府污染物总量控制办公室统一管理，从严控制。经济开发区污染物排放量应小于区域环境容量测算量，并满足我县“十二五”总量控制计划的相关要求。</w:t>
                  </w:r>
                </w:p>
              </w:tc>
              <w:tc>
                <w:tcPr>
                  <w:tcW w:w="171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tLeast"/>
                    <w:textAlignment w:val="auto"/>
                    <w:rPr>
                      <w:rFonts w:hint="default" w:ascii="Times New Roman" w:hAnsi="Times New Roman" w:cs="Times New Roman"/>
                      <w:bCs/>
                      <w:color w:val="auto"/>
                      <w:sz w:val="21"/>
                      <w:szCs w:val="21"/>
                    </w:rPr>
                  </w:pPr>
                  <w:r>
                    <w:rPr>
                      <w:rFonts w:hint="default" w:ascii="Times New Roman" w:hAnsi="Times New Roman" w:cs="Times New Roman"/>
                      <w:color w:val="auto"/>
                      <w:kern w:val="0"/>
                      <w:sz w:val="21"/>
                      <w:szCs w:val="21"/>
                    </w:rPr>
                    <w:t>本项目</w:t>
                  </w:r>
                  <w:r>
                    <w:rPr>
                      <w:rFonts w:hint="default" w:ascii="Times New Roman" w:hAnsi="Times New Roman" w:cs="Times New Roman"/>
                      <w:bCs/>
                      <w:color w:val="auto"/>
                      <w:sz w:val="21"/>
                      <w:szCs w:val="21"/>
                    </w:rPr>
                    <w:t>排放的污染物</w:t>
                  </w:r>
                  <w:r>
                    <w:rPr>
                      <w:rFonts w:hint="default" w:ascii="Times New Roman" w:hAnsi="Times New Roman" w:cs="Times New Roman"/>
                      <w:color w:val="auto"/>
                      <w:kern w:val="0"/>
                      <w:sz w:val="21"/>
                      <w:szCs w:val="21"/>
                    </w:rPr>
                    <w:t>满足污染物总量控制要求</w:t>
                  </w:r>
                </w:p>
              </w:tc>
              <w:tc>
                <w:tcPr>
                  <w:tcW w:w="64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tLeast"/>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tLeast"/>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二</w:t>
                  </w:r>
                </w:p>
              </w:tc>
              <w:tc>
                <w:tcPr>
                  <w:tcW w:w="713"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tLeast"/>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关于环境管理</w:t>
                  </w:r>
                </w:p>
              </w:tc>
              <w:tc>
                <w:tcPr>
                  <w:tcW w:w="306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tLeast"/>
                    <w:ind w:firstLine="420" w:firstLineChars="200"/>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经济开发区要按照规划方案实施开发，以循环经济和生态工业理念指导经济开发区的开发建设，在现有工业基础上，促进上下游产业链的延伸，尽快形成完善的工业生态产业链，促进能量梯级利用和资源循环利用，促进产业结构向资源利用合理化，废物排放减量化、生产过程无害化方向发展，不断提高经济开发区的环境管理水平。</w:t>
                  </w:r>
                </w:p>
              </w:tc>
              <w:tc>
                <w:tcPr>
                  <w:tcW w:w="171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tLeast"/>
                    <w:textAlignment w:val="auto"/>
                    <w:rPr>
                      <w:rFonts w:hint="eastAsia" w:eastAsia="宋体"/>
                      <w:color w:val="auto"/>
                      <w:lang w:val="en-US" w:eastAsia="zh-CN"/>
                    </w:rPr>
                  </w:pPr>
                  <w:r>
                    <w:rPr>
                      <w:rFonts w:hint="default"/>
                      <w:color w:val="auto"/>
                    </w:rPr>
                    <w:t>本项目属于经济开发区内现有企业</w:t>
                  </w:r>
                  <w:r>
                    <w:rPr>
                      <w:rFonts w:hint="eastAsia"/>
                      <w:color w:val="auto"/>
                      <w:lang w:eastAsia="zh-CN"/>
                    </w:rPr>
                    <w:t>新建的基础设施配套项目，不属于工业生产项目</w:t>
                  </w:r>
                </w:p>
              </w:tc>
              <w:tc>
                <w:tcPr>
                  <w:tcW w:w="64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tLeast"/>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tLeast"/>
                    <w:jc w:val="center"/>
                    <w:textAlignment w:val="auto"/>
                    <w:rPr>
                      <w:rFonts w:hint="default" w:ascii="Times New Roman" w:hAnsi="Times New Roman" w:cs="Times New Roman"/>
                      <w:color w:val="auto"/>
                      <w:kern w:val="0"/>
                      <w:sz w:val="21"/>
                      <w:szCs w:val="21"/>
                    </w:rPr>
                  </w:pPr>
                </w:p>
              </w:tc>
              <w:tc>
                <w:tcPr>
                  <w:tcW w:w="713"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tLeast"/>
                    <w:jc w:val="center"/>
                    <w:textAlignment w:val="auto"/>
                    <w:rPr>
                      <w:rFonts w:hint="default" w:ascii="Times New Roman" w:hAnsi="Times New Roman" w:cs="Times New Roman"/>
                      <w:color w:val="auto"/>
                      <w:kern w:val="0"/>
                      <w:sz w:val="21"/>
                      <w:szCs w:val="21"/>
                    </w:rPr>
                  </w:pPr>
                </w:p>
              </w:tc>
              <w:tc>
                <w:tcPr>
                  <w:tcW w:w="306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tLeast"/>
                    <w:ind w:firstLine="420" w:firstLineChars="200"/>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按照果里镇总体规划的要求，通过旧村改造的形式，将经济开发区中未改造的村庄搬迁至规划居住区，禁止建设防护距离不满足要求的项目。经济开发区应设置必要的隔离绿化带，降低经济开发区工业生产对镇区居民的影响，距离镇区较近的工业用地规划为一类或二类工业区，可设置与经济开发区两大主导产业配套的相关产业，减轻对镇区居民的影响。</w:t>
                  </w:r>
                </w:p>
              </w:tc>
              <w:tc>
                <w:tcPr>
                  <w:tcW w:w="171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tLeas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项目距离最近的敏感目标为</w:t>
                  </w:r>
                  <w:r>
                    <w:rPr>
                      <w:rFonts w:hint="eastAsia" w:cs="Times New Roman"/>
                      <w:color w:val="auto"/>
                      <w:kern w:val="0"/>
                      <w:sz w:val="21"/>
                      <w:szCs w:val="21"/>
                      <w:lang w:eastAsia="zh-CN"/>
                    </w:rPr>
                    <w:t>东果里村</w:t>
                  </w:r>
                  <w:r>
                    <w:rPr>
                      <w:rFonts w:hint="default" w:ascii="Times New Roman" w:hAnsi="Times New Roman" w:cs="Times New Roman"/>
                      <w:color w:val="auto"/>
                      <w:kern w:val="0"/>
                      <w:sz w:val="21"/>
                      <w:szCs w:val="21"/>
                    </w:rPr>
                    <w:t>，为</w:t>
                  </w:r>
                  <w:r>
                    <w:rPr>
                      <w:rFonts w:hint="eastAsia" w:cs="Times New Roman"/>
                      <w:color w:val="auto"/>
                      <w:kern w:val="0"/>
                      <w:sz w:val="21"/>
                      <w:szCs w:val="21"/>
                      <w:lang w:val="en-US" w:eastAsia="zh-CN"/>
                    </w:rPr>
                    <w:t>24</w:t>
                  </w:r>
                  <w:r>
                    <w:rPr>
                      <w:rFonts w:hint="default" w:ascii="Times New Roman" w:hAnsi="Times New Roman" w:cs="Times New Roman"/>
                      <w:color w:val="auto"/>
                      <w:kern w:val="0"/>
                      <w:sz w:val="21"/>
                      <w:szCs w:val="21"/>
                      <w:lang w:val="en-US" w:eastAsia="zh-CN"/>
                    </w:rPr>
                    <w:t>0</w:t>
                  </w:r>
                  <w:r>
                    <w:rPr>
                      <w:rFonts w:hint="default" w:ascii="Times New Roman" w:hAnsi="Times New Roman" w:cs="Times New Roman"/>
                      <w:color w:val="auto"/>
                      <w:kern w:val="0"/>
                      <w:sz w:val="21"/>
                      <w:szCs w:val="21"/>
                    </w:rPr>
                    <w:t>米，项目不</w:t>
                  </w:r>
                  <w:r>
                    <w:rPr>
                      <w:rFonts w:hint="eastAsia" w:cs="Times New Roman"/>
                      <w:color w:val="auto"/>
                      <w:kern w:val="0"/>
                      <w:sz w:val="21"/>
                      <w:szCs w:val="21"/>
                      <w:lang w:eastAsia="zh-CN"/>
                    </w:rPr>
                    <w:t>需要</w:t>
                  </w:r>
                  <w:r>
                    <w:rPr>
                      <w:rFonts w:hint="default" w:ascii="Times New Roman" w:hAnsi="Times New Roman" w:cs="Times New Roman"/>
                      <w:color w:val="auto"/>
                      <w:kern w:val="0"/>
                      <w:sz w:val="21"/>
                      <w:szCs w:val="21"/>
                    </w:rPr>
                    <w:t>设置大气防护距离。</w:t>
                  </w:r>
                </w:p>
              </w:tc>
              <w:tc>
                <w:tcPr>
                  <w:tcW w:w="64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tLeast"/>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tLeast"/>
                    <w:jc w:val="center"/>
                    <w:textAlignment w:val="auto"/>
                    <w:rPr>
                      <w:rFonts w:hint="default" w:ascii="Times New Roman" w:hAnsi="Times New Roman" w:cs="Times New Roman"/>
                      <w:color w:val="auto"/>
                      <w:kern w:val="0"/>
                      <w:sz w:val="21"/>
                      <w:szCs w:val="21"/>
                    </w:rPr>
                  </w:pPr>
                </w:p>
              </w:tc>
              <w:tc>
                <w:tcPr>
                  <w:tcW w:w="713"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tLeast"/>
                    <w:jc w:val="center"/>
                    <w:textAlignment w:val="auto"/>
                    <w:rPr>
                      <w:rFonts w:hint="default" w:ascii="Times New Roman" w:hAnsi="Times New Roman" w:cs="Times New Roman"/>
                      <w:color w:val="auto"/>
                      <w:kern w:val="0"/>
                      <w:sz w:val="21"/>
                      <w:szCs w:val="21"/>
                    </w:rPr>
                  </w:pPr>
                </w:p>
              </w:tc>
              <w:tc>
                <w:tcPr>
                  <w:tcW w:w="306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tLeast"/>
                    <w:ind w:firstLine="420" w:firstLineChars="20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所有入经济开发区的项目，要在规划的功能区内建设，并符合国家产业政策、经济开发区的行业准入和环保准入条件。所有建设项目的环境影响评价文件，要经由审批权的环保部门批准后方可开工建设，并落实好“三同时”制度。入区企业应做好污水处理设施、污水管网和事故水池的建设，并做好装置区、罐区、污水处理设施、污水管网和危险废物贮存场所的防渗措施，防治污染地表水和地下水。</w:t>
                  </w:r>
                </w:p>
              </w:tc>
              <w:tc>
                <w:tcPr>
                  <w:tcW w:w="171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tLeas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项目在现有厂区内建设，属于现有企业的新建项目，厂区选址符合桓台经济开发区的土地利用规划，属于工业用地及建设用地，不违背经济开发区的行业准入和环保准入条件。</w:t>
                  </w:r>
                </w:p>
              </w:tc>
              <w:tc>
                <w:tcPr>
                  <w:tcW w:w="64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tLeast"/>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7"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tLeast"/>
                    <w:jc w:val="center"/>
                    <w:textAlignment w:val="auto"/>
                    <w:rPr>
                      <w:rFonts w:hint="default" w:ascii="Times New Roman" w:hAnsi="Times New Roman" w:cs="Times New Roman"/>
                      <w:color w:val="auto"/>
                      <w:kern w:val="0"/>
                      <w:sz w:val="21"/>
                      <w:szCs w:val="21"/>
                    </w:rPr>
                  </w:pPr>
                </w:p>
              </w:tc>
              <w:tc>
                <w:tcPr>
                  <w:tcW w:w="713"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tLeast"/>
                    <w:jc w:val="center"/>
                    <w:textAlignment w:val="auto"/>
                    <w:rPr>
                      <w:rFonts w:hint="default" w:ascii="Times New Roman" w:hAnsi="Times New Roman" w:cs="Times New Roman"/>
                      <w:color w:val="auto"/>
                      <w:kern w:val="0"/>
                      <w:sz w:val="21"/>
                      <w:szCs w:val="21"/>
                    </w:rPr>
                  </w:pPr>
                </w:p>
              </w:tc>
              <w:tc>
                <w:tcPr>
                  <w:tcW w:w="306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tLeast"/>
                    <w:ind w:firstLine="420" w:firstLineChars="20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要加强经济开发区的环境风险防范，落实本项目报告书和各建设项目报告书（表）中提出的环境风险防范及应急处理措施，一旦发生事故，应立即启动事故环境风险防范及环境安全突发事故应急处理的综合方案，并采取有效的保护措施，以最大限度减轻污染危害。</w:t>
                  </w:r>
                </w:p>
              </w:tc>
              <w:tc>
                <w:tcPr>
                  <w:tcW w:w="171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tLeas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企业制定了一系列的风险防范措施，落实风险防范管理责任，建立完善的环境风险防范及应急预案，采取了有效的保护措施。</w:t>
                  </w:r>
                </w:p>
              </w:tc>
              <w:tc>
                <w:tcPr>
                  <w:tcW w:w="64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tLeast"/>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符合</w:t>
                  </w:r>
                </w:p>
              </w:tc>
            </w:tr>
          </w:tbl>
          <w:p>
            <w:pPr>
              <w:keepNext w:val="0"/>
              <w:keepLines w:val="0"/>
              <w:pageBreakBefore w:val="0"/>
              <w:kinsoku/>
              <w:wordWrap/>
              <w:overflowPunct/>
              <w:topLinePunct w:val="0"/>
              <w:bidi w:val="0"/>
              <w:adjustRightInd w:val="0"/>
              <w:snapToGrid w:val="0"/>
              <w:spacing w:line="360" w:lineRule="auto"/>
              <w:ind w:firstLine="482" w:firstLineChars="200"/>
              <w:textAlignment w:val="auto"/>
              <w:rPr>
                <w:rFonts w:hint="default" w:ascii="Times New Roman" w:hAnsi="Times New Roman" w:eastAsia="黑体" w:cs="Times New Roman"/>
                <w:b/>
                <w:bCs/>
                <w:color w:val="auto"/>
                <w:sz w:val="24"/>
                <w:szCs w:val="24"/>
              </w:rPr>
            </w:pPr>
            <w:r>
              <w:rPr>
                <w:rFonts w:hint="default" w:ascii="Times New Roman" w:hAnsi="Times New Roman" w:eastAsia="黑体" w:cs="Times New Roman"/>
                <w:b/>
                <w:bCs/>
                <w:color w:val="auto"/>
                <w:kern w:val="0"/>
                <w:sz w:val="24"/>
                <w:szCs w:val="24"/>
              </w:rPr>
              <w:t>三、</w:t>
            </w:r>
            <w:r>
              <w:rPr>
                <w:rFonts w:hint="default" w:ascii="Times New Roman" w:hAnsi="Times New Roman" w:eastAsia="黑体" w:cs="Times New Roman"/>
                <w:b/>
                <w:bCs/>
                <w:color w:val="auto"/>
                <w:sz w:val="24"/>
                <w:szCs w:val="24"/>
              </w:rPr>
              <w:t>经济开发区符合性</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根据《</w:t>
            </w:r>
            <w:r>
              <w:rPr>
                <w:rFonts w:hint="default" w:ascii="Times New Roman" w:hAnsi="Times New Roman" w:cs="Times New Roman"/>
                <w:color w:val="auto"/>
                <w:kern w:val="0"/>
                <w:sz w:val="24"/>
                <w:szCs w:val="24"/>
              </w:rPr>
              <w:t>桓台经济开发区总体规划环境影响报告书</w:t>
            </w:r>
            <w:r>
              <w:rPr>
                <w:rFonts w:hint="default" w:ascii="Times New Roman" w:hAnsi="Times New Roman" w:cs="Times New Roman"/>
                <w:color w:val="auto"/>
                <w:sz w:val="24"/>
                <w:szCs w:val="24"/>
              </w:rPr>
              <w:t>》中确定的开发区</w:t>
            </w:r>
            <w:r>
              <w:rPr>
                <w:rFonts w:hint="default" w:ascii="Times New Roman" w:hAnsi="Times New Roman" w:cs="Times New Roman"/>
                <w:bCs/>
                <w:color w:val="auto"/>
                <w:sz w:val="24"/>
                <w:szCs w:val="24"/>
              </w:rPr>
              <w:t>入区行业控制级别表</w:t>
            </w:r>
            <w:r>
              <w:rPr>
                <w:rFonts w:hint="default" w:ascii="Times New Roman" w:hAnsi="Times New Roman" w:cs="Times New Roman"/>
                <w:color w:val="auto"/>
                <w:sz w:val="24"/>
                <w:szCs w:val="24"/>
              </w:rPr>
              <w:t>如下：</w:t>
            </w:r>
          </w:p>
          <w:p>
            <w:pPr>
              <w:keepNext w:val="0"/>
              <w:keepLines w:val="0"/>
              <w:pageBreakBefore w:val="0"/>
              <w:kinsoku/>
              <w:wordWrap/>
              <w:overflowPunct/>
              <w:topLinePunct w:val="0"/>
              <w:autoSpaceDE w:val="0"/>
              <w:autoSpaceDN w:val="0"/>
              <w:bidi w:val="0"/>
              <w:adjustRightInd w:val="0"/>
              <w:spacing w:line="360" w:lineRule="auto"/>
              <w:jc w:val="center"/>
              <w:textAlignment w:val="auto"/>
              <w:rPr>
                <w:rFonts w:hint="eastAsia" w:ascii="黑体" w:hAnsi="黑体" w:eastAsia="黑体" w:cs="黑体"/>
                <w:b/>
                <w:bCs/>
                <w:strike w:val="0"/>
                <w:dstrike w:val="0"/>
                <w:color w:val="auto"/>
                <w:kern w:val="0"/>
                <w:sz w:val="24"/>
                <w:szCs w:val="24"/>
              </w:rPr>
            </w:pPr>
            <w:r>
              <w:rPr>
                <w:rFonts w:hint="eastAsia" w:ascii="黑体" w:hAnsi="黑体" w:eastAsia="黑体" w:cs="黑体"/>
                <w:b/>
                <w:bCs/>
                <w:strike w:val="0"/>
                <w:dstrike w:val="0"/>
                <w:color w:val="auto"/>
                <w:kern w:val="0"/>
                <w:sz w:val="24"/>
                <w:szCs w:val="24"/>
              </w:rPr>
              <w:t>表2　桓台经济开发区入区行业控制级别表</w:t>
            </w:r>
          </w:p>
          <w:tbl>
            <w:tblPr>
              <w:tblStyle w:val="20"/>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1059"/>
              <w:gridCol w:w="20"/>
              <w:gridCol w:w="3335"/>
              <w:gridCol w:w="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行业类别</w:t>
                  </w:r>
                </w:p>
              </w:tc>
              <w:tc>
                <w:tcPr>
                  <w:tcW w:w="107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行业小类</w:t>
                  </w:r>
                </w:p>
              </w:tc>
              <w:tc>
                <w:tcPr>
                  <w:tcW w:w="333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具体生产装置</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控制级别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石油炼化</w:t>
                  </w:r>
                </w:p>
              </w:tc>
              <w:tc>
                <w:tcPr>
                  <w:tcW w:w="1079"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石油制品业（包括蜡油、渣油、石脑油、液化气、干气、沥青等为源头的生产工艺）</w:t>
                  </w:r>
                </w:p>
              </w:tc>
              <w:tc>
                <w:tcPr>
                  <w:tcW w:w="333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催裂化装置</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c>
                <w:tcPr>
                  <w:tcW w:w="1079"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c>
                <w:tcPr>
                  <w:tcW w:w="333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石油焦化装置</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c>
                <w:tcPr>
                  <w:tcW w:w="1079"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c>
                <w:tcPr>
                  <w:tcW w:w="333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催化重整装置</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c>
                <w:tcPr>
                  <w:tcW w:w="1079"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c>
                <w:tcPr>
                  <w:tcW w:w="333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加氢装置</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c>
                <w:tcPr>
                  <w:tcW w:w="1079"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c>
                <w:tcPr>
                  <w:tcW w:w="333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氧化沥青装置</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c>
                <w:tcPr>
                  <w:tcW w:w="1079"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c>
                <w:tcPr>
                  <w:tcW w:w="333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石油制品精制</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c>
                <w:tcPr>
                  <w:tcW w:w="1079"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c>
                <w:tcPr>
                  <w:tcW w:w="333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含硫含酸重质、劣质原油炼制装置</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c>
                <w:tcPr>
                  <w:tcW w:w="1079"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c>
                <w:tcPr>
                  <w:tcW w:w="333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新建80万吨/年以下石脑油裂解制乙烯</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c>
                <w:tcPr>
                  <w:tcW w:w="441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200万吨/年及以下常减压装置</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c>
                <w:tcPr>
                  <w:tcW w:w="441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人造原油生产业（包括页岩原油、煤炼油、合成液体燃料等的生产）</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c>
                <w:tcPr>
                  <w:tcW w:w="441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炼焦业</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c>
                <w:tcPr>
                  <w:tcW w:w="441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高标准油品生产技术应用</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c>
                <w:tcPr>
                  <w:tcW w:w="105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石化下游</w:t>
                  </w:r>
                </w:p>
              </w:tc>
              <w:tc>
                <w:tcPr>
                  <w:tcW w:w="335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直接氧化法环氧丙烷技术</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c>
                <w:tcPr>
                  <w:tcW w:w="105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c>
                <w:tcPr>
                  <w:tcW w:w="335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五大通用树脂高性能化技术、顺式和反式异戊橡胶合成及加工关键技术</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c>
                <w:tcPr>
                  <w:tcW w:w="105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c>
                <w:tcPr>
                  <w:tcW w:w="335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ABS 本体法聚合大型成套技术、</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c>
                <w:tcPr>
                  <w:tcW w:w="105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c>
                <w:tcPr>
                  <w:tcW w:w="335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零极距、氧阴极等离子膜烧碱电解槽节能技术</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c>
                <w:tcPr>
                  <w:tcW w:w="105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c>
                <w:tcPr>
                  <w:tcW w:w="335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合成橡胶化学改性技术开发与应用</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c>
                <w:tcPr>
                  <w:tcW w:w="105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c>
                <w:tcPr>
                  <w:tcW w:w="335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10万吨/年以下己内酰胺</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c>
                <w:tcPr>
                  <w:tcW w:w="105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c>
                <w:tcPr>
                  <w:tcW w:w="335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氯醇法环氧丙烷和皂化法环氧氯丙烷生产装置</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c>
                <w:tcPr>
                  <w:tcW w:w="105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c>
                <w:tcPr>
                  <w:tcW w:w="335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主产四氯化碳（CTC）、以四氯化碳（CTC）为加工助剂的所有产品</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精细化工</w:t>
                  </w:r>
                </w:p>
              </w:tc>
              <w:tc>
                <w:tcPr>
                  <w:tcW w:w="441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造纸化学品、水处理化学品和油田化学品等与园区产业相关的专用化学品</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p>
              </w:tc>
              <w:tc>
                <w:tcPr>
                  <w:tcW w:w="441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化学药品原料药制造业，化学药品制剂制造业</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p>
              </w:tc>
              <w:tc>
                <w:tcPr>
                  <w:tcW w:w="441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符合产业政策的树脂、橡胶等产品的合成、加工，基本化学原料制造，专用化学品制造等相关装置、技术</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p>
              </w:tc>
              <w:tc>
                <w:tcPr>
                  <w:tcW w:w="441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高端医药和农药原药及中间体、环保型涂料、粘合剂、食品和饲料添加剂、高档染料、无毒增塑剂、无卤阻燃剂、纺织助剂、水处理剂、电子化学品和日用化学品等高新技术、高附加值、深加工型的项目。</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p>
              </w:tc>
              <w:tc>
                <w:tcPr>
                  <w:tcW w:w="441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国家和地方产业政策中限制类和淘汰类建设项目</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p>
              </w:tc>
              <w:tc>
                <w:tcPr>
                  <w:tcW w:w="441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生物医药、新特药</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p>
              </w:tc>
              <w:tc>
                <w:tcPr>
                  <w:tcW w:w="441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非环保型涂料、油墨、颜料及类似产品制造业、农药</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p>
              </w:tc>
              <w:tc>
                <w:tcPr>
                  <w:tcW w:w="441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剧毒及恶臭物质的生产</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p>
              </w:tc>
              <w:tc>
                <w:tcPr>
                  <w:tcW w:w="441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符合产业政策和环保要求，废水生化性较好的化工项目</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装备制造</w:t>
                  </w:r>
                </w:p>
              </w:tc>
              <w:tc>
                <w:tcPr>
                  <w:tcW w:w="441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符合国家关于钢铁产能政策的项目</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eastAsia="黑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机械制造</w:t>
                  </w:r>
                </w:p>
              </w:tc>
              <w:tc>
                <w:tcPr>
                  <w:tcW w:w="441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数字多功能一体化办公设备、数字照相机、数字电影放映机等现代文化办公设备</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eastAsia="黑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p>
              </w:tc>
              <w:tc>
                <w:tcPr>
                  <w:tcW w:w="441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土壤修复、污水防治、大气污染治理、固体废物防治技术设备，危险废物（含医疗废物）集中处理设备</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p>
              </w:tc>
              <w:tc>
                <w:tcPr>
                  <w:tcW w:w="441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自动化物流系统装备、信息系统</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p>
              </w:tc>
              <w:tc>
                <w:tcPr>
                  <w:tcW w:w="441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非数控金属切削机床制造项目</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eastAsia="黑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c>
                <w:tcPr>
                  <w:tcW w:w="441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锻造用燃煤加热炉、铸/锻造用燃油加热炉、手动燃气锻造炉、含铅粉末冶金件</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eastAsia="黑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产研综合（新材料）</w:t>
                  </w:r>
                </w:p>
              </w:tc>
              <w:tc>
                <w:tcPr>
                  <w:tcW w:w="441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信息、新能源、国防、航天航空等领域用高品质人工晶体材料、制品和器件生产装备技术开发</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黑体"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p>
              </w:tc>
              <w:tc>
                <w:tcPr>
                  <w:tcW w:w="441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新型墙体和屋面材料、绝热隔音材料、建筑防水和密封等材料的开发与生产</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eastAsia="黑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p>
              </w:tc>
              <w:tc>
                <w:tcPr>
                  <w:tcW w:w="441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生产过程噪声小、基本无环境污染的材料研发生产基地</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黑体"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p>
              </w:tc>
              <w:tc>
                <w:tcPr>
                  <w:tcW w:w="441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100万平方米/年以下的建筑陶瓷砖、20万件/年以下低档卫生陶瓷生产线</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p>
              </w:tc>
              <w:tc>
                <w:tcPr>
                  <w:tcW w:w="441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60万件/年以下的隧道窑卫生陶瓷生产线</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p>
              </w:tc>
              <w:tc>
                <w:tcPr>
                  <w:tcW w:w="441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搪瓷静电粉和预磨粉等高科技新型搪瓷瓷釉、静电搪瓷关键装备、0.3毫米及以下的薄钢板平板搪瓷的开发与生产</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p>
              </w:tc>
              <w:tc>
                <w:tcPr>
                  <w:tcW w:w="441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超薄型（厚度低于0.015毫米）塑料袋生产</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eastAsia="黑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p>
              </w:tc>
              <w:tc>
                <w:tcPr>
                  <w:tcW w:w="441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聚氯乙烯（PVC）食品保鲜包装膜</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p>
              </w:tc>
              <w:tc>
                <w:tcPr>
                  <w:tcW w:w="441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新建以含氢氯氟烃（HCFCs）为发泡剂的聚氨酯泡沫塑料生产线、连续挤出聚苯乙烯泡沫塑料（XPS）生产线</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eastAsia="黑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仓储物流</w:t>
                  </w:r>
                </w:p>
              </w:tc>
              <w:tc>
                <w:tcPr>
                  <w:tcW w:w="441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区内主导产业配套的仓储物流</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p>
              </w:tc>
              <w:tc>
                <w:tcPr>
                  <w:tcW w:w="441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与主导产业无关的仓储物流行业</w:t>
                  </w:r>
                </w:p>
              </w:tc>
              <w:tc>
                <w:tcPr>
                  <w:tcW w:w="93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黑体" w:cs="Times New Roman"/>
                      <w:color w:val="auto"/>
                      <w:sz w:val="21"/>
                      <w:szCs w:val="21"/>
                    </w:rPr>
                  </w:pPr>
                  <w:r>
                    <w:rPr>
                      <w:rFonts w:hint="default" w:ascii="Times New Roman" w:hAnsi="Times New Roman" w:eastAsia="黑体" w:cs="Times New Roman"/>
                      <w:color w:val="auto"/>
                      <w:sz w:val="21"/>
                      <w:szCs w:val="21"/>
                    </w:rPr>
                    <w:t>×</w:t>
                  </w:r>
                </w:p>
              </w:tc>
            </w:tr>
          </w:tbl>
          <w:p>
            <w:pPr>
              <w:keepNext w:val="0"/>
              <w:keepLines w:val="0"/>
              <w:pageBreakBefore w:val="0"/>
              <w:kinsoku/>
              <w:wordWrap/>
              <w:overflowPunct/>
              <w:topLinePunct w:val="0"/>
              <w:bidi w:val="0"/>
              <w:spacing w:line="360" w:lineRule="auto"/>
              <w:ind w:firstLine="600" w:firstLineChars="250"/>
              <w:jc w:val="left"/>
              <w:textAlignment w:val="auto"/>
              <w:rPr>
                <w:rFonts w:hint="default" w:ascii="Times New Roman" w:hAnsi="Times New Roman" w:eastAsia="黑体" w:cs="Times New Roman"/>
                <w:color w:val="auto"/>
                <w:sz w:val="24"/>
                <w:szCs w:val="24"/>
              </w:rPr>
            </w:pPr>
            <w:r>
              <w:rPr>
                <w:rFonts w:hint="default" w:ascii="Times New Roman" w:hAnsi="Times New Roman" w:cs="Times New Roman"/>
                <w:color w:val="auto"/>
                <w:sz w:val="24"/>
                <w:szCs w:val="24"/>
              </w:rPr>
              <w:t>注：★—优先进入行业；●—准许进入行业；▲—控制进入行业；×—禁止进入行业。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color w:val="0000FF"/>
                <w:sz w:val="24"/>
                <w:szCs w:val="24"/>
                <w:lang w:val="en-US" w:eastAsia="zh-CN"/>
              </w:rPr>
            </w:pPr>
            <w:r>
              <w:rPr>
                <w:rFonts w:hint="eastAsia"/>
                <w:color w:val="0000FF"/>
                <w:sz w:val="24"/>
                <w:szCs w:val="24"/>
                <w:lang w:eastAsia="zh-CN"/>
              </w:rPr>
              <w:t>本项目与《关于桓台经济开发区总体规划环境影响报告书的审查意见》（桓环许字</w:t>
            </w:r>
            <w:r>
              <w:rPr>
                <w:rFonts w:hint="eastAsia"/>
                <w:color w:val="0000FF"/>
                <w:sz w:val="24"/>
                <w:szCs w:val="24"/>
                <w:lang w:val="en-US" w:eastAsia="zh-CN"/>
              </w:rPr>
              <w:t>[2018]79号）</w:t>
            </w:r>
            <w:r>
              <w:rPr>
                <w:rFonts w:hint="eastAsia"/>
                <w:color w:val="0000FF"/>
                <w:sz w:val="24"/>
                <w:szCs w:val="24"/>
                <w:lang w:eastAsia="zh-CN"/>
              </w:rPr>
              <w:t>基础设施的分析如下表</w:t>
            </w:r>
            <w:r>
              <w:rPr>
                <w:rFonts w:hint="eastAsia"/>
                <w:lang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eastAsia="黑体" w:cs="Times New Roman"/>
                <w:b/>
                <w:bCs/>
                <w:vertAlign w:val="baseline"/>
                <w:lang w:val="en-US" w:eastAsia="zh-CN"/>
              </w:rPr>
            </w:pPr>
            <w:r>
              <w:rPr>
                <w:rFonts w:hint="default" w:ascii="Times New Roman" w:hAnsi="Times New Roman" w:eastAsia="黑体" w:cs="Times New Roman"/>
                <w:b/>
                <w:bCs/>
                <w:color w:val="0000FF"/>
                <w:sz w:val="24"/>
                <w:szCs w:val="24"/>
                <w:lang w:eastAsia="zh-CN"/>
              </w:rPr>
              <w:t>表</w:t>
            </w:r>
            <w:r>
              <w:rPr>
                <w:rFonts w:hint="default" w:ascii="Times New Roman" w:hAnsi="Times New Roman" w:eastAsia="黑体" w:cs="Times New Roman"/>
                <w:b/>
                <w:bCs/>
                <w:color w:val="0000FF"/>
                <w:sz w:val="24"/>
                <w:szCs w:val="24"/>
                <w:lang w:val="en-US" w:eastAsia="zh-CN"/>
              </w:rPr>
              <w:t>3项目与《</w:t>
            </w:r>
            <w:r>
              <w:rPr>
                <w:rFonts w:hint="eastAsia" w:eastAsia="黑体" w:cs="Times New Roman"/>
                <w:b/>
                <w:bCs/>
                <w:color w:val="0000FF"/>
                <w:sz w:val="24"/>
                <w:szCs w:val="24"/>
                <w:lang w:val="en-US" w:eastAsia="zh-CN"/>
              </w:rPr>
              <w:t>关于</w:t>
            </w:r>
            <w:r>
              <w:rPr>
                <w:rFonts w:hint="default" w:ascii="Times New Roman" w:hAnsi="Times New Roman" w:eastAsia="黑体" w:cs="Times New Roman"/>
                <w:b/>
                <w:bCs/>
                <w:color w:val="0000FF"/>
                <w:sz w:val="24"/>
                <w:szCs w:val="24"/>
                <w:lang w:val="en-US" w:eastAsia="zh-CN"/>
              </w:rPr>
              <w:t>桓台经济开发区总体规划环境影响报告书</w:t>
            </w:r>
            <w:r>
              <w:rPr>
                <w:rFonts w:hint="eastAsia" w:eastAsia="黑体" w:cs="Times New Roman"/>
                <w:b/>
                <w:bCs/>
                <w:color w:val="0000FF"/>
                <w:sz w:val="24"/>
                <w:szCs w:val="24"/>
                <w:lang w:val="en-US" w:eastAsia="zh-CN"/>
              </w:rPr>
              <w:t>的审查意见</w:t>
            </w:r>
            <w:r>
              <w:rPr>
                <w:rFonts w:hint="default" w:ascii="Times New Roman" w:hAnsi="Times New Roman" w:eastAsia="黑体" w:cs="Times New Roman"/>
                <w:b/>
                <w:bCs/>
                <w:color w:val="0000FF"/>
                <w:sz w:val="24"/>
                <w:szCs w:val="24"/>
                <w:lang w:val="en-US" w:eastAsia="zh-CN"/>
              </w:rPr>
              <w:t>》基础设施分析</w:t>
            </w:r>
          </w:p>
          <w:tbl>
            <w:tblPr>
              <w:tblStyle w:val="21"/>
              <w:tblW w:w="680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59"/>
              <w:gridCol w:w="16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5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60" w:lineRule="atLeast"/>
                    <w:ind w:left="0" w:leftChars="0" w:firstLine="0" w:firstLineChars="0"/>
                    <w:jc w:val="center"/>
                    <w:textAlignment w:val="auto"/>
                    <w:rPr>
                      <w:rFonts w:hint="eastAsia" w:ascii="宋体" w:hAnsi="宋体" w:eastAsia="宋体" w:cs="宋体"/>
                      <w:b w:val="0"/>
                      <w:bCs w:val="0"/>
                      <w:color w:val="0000FF"/>
                      <w:sz w:val="21"/>
                      <w:szCs w:val="21"/>
                      <w:vertAlign w:val="baseline"/>
                      <w:lang w:val="en-US" w:eastAsia="zh-CN"/>
                    </w:rPr>
                  </w:pPr>
                  <w:r>
                    <w:rPr>
                      <w:rFonts w:hint="eastAsia" w:ascii="宋体" w:hAnsi="宋体" w:eastAsia="宋体" w:cs="宋体"/>
                      <w:b w:val="0"/>
                      <w:bCs w:val="0"/>
                      <w:color w:val="0000FF"/>
                      <w:sz w:val="21"/>
                      <w:szCs w:val="21"/>
                      <w:vertAlign w:val="baseline"/>
                      <w:lang w:val="en-US" w:eastAsia="zh-CN"/>
                    </w:rPr>
                    <w:t>具体内容</w:t>
                  </w:r>
                </w:p>
              </w:tc>
              <w:tc>
                <w:tcPr>
                  <w:tcW w:w="164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60" w:lineRule="atLeast"/>
                    <w:ind w:left="0" w:leftChars="0" w:firstLine="0" w:firstLineChars="0"/>
                    <w:jc w:val="center"/>
                    <w:textAlignment w:val="auto"/>
                    <w:rPr>
                      <w:rFonts w:hint="eastAsia" w:ascii="宋体" w:hAnsi="宋体" w:eastAsia="宋体" w:cs="宋体"/>
                      <w:b w:val="0"/>
                      <w:bCs w:val="0"/>
                      <w:color w:val="0000FF"/>
                      <w:sz w:val="21"/>
                      <w:szCs w:val="21"/>
                      <w:vertAlign w:val="baseline"/>
                      <w:lang w:val="en-US" w:eastAsia="zh-CN"/>
                    </w:rPr>
                  </w:pPr>
                  <w:r>
                    <w:rPr>
                      <w:rFonts w:hint="eastAsia" w:ascii="宋体" w:hAnsi="宋体" w:eastAsia="宋体" w:cs="宋体"/>
                      <w:b w:val="0"/>
                      <w:bCs w:val="0"/>
                      <w:color w:val="0000FF"/>
                      <w:sz w:val="21"/>
                      <w:szCs w:val="21"/>
                      <w:vertAlign w:val="baseline"/>
                      <w:lang w:val="en-US" w:eastAsia="zh-CN"/>
                    </w:rPr>
                    <w:t>项目情况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5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60" w:lineRule="atLeast"/>
                    <w:ind w:left="0" w:leftChars="0" w:firstLine="0" w:firstLineChars="0"/>
                    <w:jc w:val="center"/>
                    <w:textAlignment w:val="auto"/>
                    <w:rPr>
                      <w:rFonts w:hint="default" w:ascii="宋体" w:hAnsi="宋体" w:eastAsia="宋体" w:cs="宋体"/>
                      <w:b w:val="0"/>
                      <w:bCs w:val="0"/>
                      <w:color w:val="0000FF"/>
                      <w:sz w:val="21"/>
                      <w:szCs w:val="21"/>
                      <w:vertAlign w:val="baseline"/>
                      <w:lang w:val="en-US" w:eastAsia="zh-CN"/>
                    </w:rPr>
                  </w:pPr>
                  <w:r>
                    <w:rPr>
                      <w:rFonts w:hint="eastAsia" w:ascii="宋体" w:hAnsi="宋体" w:eastAsia="宋体" w:cs="宋体"/>
                      <w:b w:val="0"/>
                      <w:bCs w:val="0"/>
                      <w:color w:val="0000FF"/>
                      <w:sz w:val="21"/>
                      <w:szCs w:val="21"/>
                      <w:vertAlign w:val="baseline"/>
                      <w:lang w:val="en-US" w:eastAsia="zh-CN"/>
                    </w:rPr>
                    <w:t>1.水资源开发及供给，桓台经济开发区生活用水依托桓台县供水系统，规划水源为新城净水厂，水源为黄河水；工业用水由新城水库和大芦湖水库提供，水源为黄河水。经济开发区开发建设中应控制开采地下水，节约使用地表水，要合理利用污水处理厂中水等非传统水源。</w:t>
                  </w:r>
                </w:p>
              </w:tc>
              <w:tc>
                <w:tcPr>
                  <w:tcW w:w="164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60" w:lineRule="atLeast"/>
                    <w:ind w:left="0" w:leftChars="0" w:firstLine="0" w:firstLineChars="0"/>
                    <w:jc w:val="center"/>
                    <w:textAlignment w:val="auto"/>
                    <w:rPr>
                      <w:rFonts w:hint="eastAsia" w:ascii="宋体" w:hAnsi="宋体" w:eastAsia="宋体" w:cs="宋体"/>
                      <w:b w:val="0"/>
                      <w:bCs w:val="0"/>
                      <w:color w:val="0000FF"/>
                      <w:sz w:val="21"/>
                      <w:szCs w:val="21"/>
                      <w:vertAlign w:val="baseline"/>
                      <w:lang w:val="en-US" w:eastAsia="zh-CN"/>
                    </w:rPr>
                  </w:pPr>
                  <w:r>
                    <w:rPr>
                      <w:rFonts w:hint="eastAsia" w:ascii="宋体" w:hAnsi="宋体" w:eastAsia="宋体" w:cs="宋体"/>
                      <w:b w:val="0"/>
                      <w:bCs w:val="0"/>
                      <w:color w:val="0000FF"/>
                      <w:sz w:val="21"/>
                      <w:szCs w:val="21"/>
                      <w:vertAlign w:val="baseline"/>
                      <w:lang w:val="en-US" w:eastAsia="zh-CN"/>
                    </w:rPr>
                    <w:t>本项目</w:t>
                  </w:r>
                  <w:r>
                    <w:rPr>
                      <w:rFonts w:hint="default" w:ascii="Times New Roman" w:hAnsi="Times New Roman" w:cs="Times New Roman"/>
                      <w:bCs/>
                      <w:color w:val="0000FF"/>
                      <w:sz w:val="21"/>
                      <w:szCs w:val="21"/>
                    </w:rPr>
                    <w:t>用水来自开发区自来水管网</w:t>
                  </w:r>
                  <w:r>
                    <w:rPr>
                      <w:rFonts w:hint="eastAsia" w:cs="Times New Roman"/>
                      <w:bCs/>
                      <w:color w:val="0000FF"/>
                      <w:sz w:val="21"/>
                      <w:szCs w:val="21"/>
                      <w:lang w:eastAsia="zh-CN"/>
                    </w:rPr>
                    <w:t>，符合桓台经济开发区总体规划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15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60" w:lineRule="atLeast"/>
                    <w:ind w:left="0" w:leftChars="0" w:firstLine="0" w:firstLineChars="0"/>
                    <w:jc w:val="center"/>
                    <w:textAlignment w:val="auto"/>
                    <w:rPr>
                      <w:rFonts w:hint="default" w:ascii="宋体" w:hAnsi="宋体" w:eastAsia="宋体" w:cs="宋体"/>
                      <w:b w:val="0"/>
                      <w:bCs w:val="0"/>
                      <w:color w:val="0000FF"/>
                      <w:sz w:val="21"/>
                      <w:szCs w:val="21"/>
                      <w:vertAlign w:val="baseline"/>
                      <w:lang w:val="en-US" w:eastAsia="zh-CN"/>
                    </w:rPr>
                  </w:pPr>
                  <w:r>
                    <w:rPr>
                      <w:rFonts w:hint="eastAsia" w:ascii="宋体" w:hAnsi="宋体" w:eastAsia="宋体" w:cs="宋体"/>
                      <w:b w:val="0"/>
                      <w:bCs w:val="0"/>
                      <w:color w:val="0000FF"/>
                      <w:sz w:val="21"/>
                      <w:szCs w:val="21"/>
                      <w:vertAlign w:val="baseline"/>
                      <w:lang w:val="en-US" w:eastAsia="zh-CN"/>
                    </w:rPr>
                    <w:t>2.排水及污水处理，经济开发区要按照“雨污分流、清污分流、中水回用”的原则合理设计和建设排水系统，逐步提高水的重复利用率。入区企业的生产废水、初期雨水要立足于厂内处理后综合利用，所有进入经济开发区规划污水处理厂处理的废水，第一类污染物应符合《污水综合排放标准》（GB8978-1996）表1标准要求。第二类污染物应符合《污水综合排放标准》（GB8978-1996）</w:t>
                  </w:r>
                  <w:r>
                    <w:rPr>
                      <w:rFonts w:hint="eastAsia" w:ascii="宋体" w:hAnsi="宋体" w:cs="宋体"/>
                      <w:b w:val="0"/>
                      <w:bCs w:val="0"/>
                      <w:color w:val="0000FF"/>
                      <w:sz w:val="21"/>
                      <w:szCs w:val="21"/>
                      <w:vertAlign w:val="baseline"/>
                      <w:lang w:val="en-US" w:eastAsia="zh-CN"/>
                    </w:rPr>
                    <w:t>表4三级标准及《污水排入城镇地下水道水质标准》（GB/T31962-2015）B等级标准的要求，同时还应满足污水处理厂进水要求，其中第一类污染物排放浓度为车间或车间处理设施排放口监测值</w:t>
                  </w:r>
                </w:p>
              </w:tc>
              <w:tc>
                <w:tcPr>
                  <w:tcW w:w="164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60" w:lineRule="atLeast"/>
                    <w:ind w:left="0" w:leftChars="0" w:firstLine="0" w:firstLineChars="0"/>
                    <w:jc w:val="center"/>
                    <w:textAlignment w:val="auto"/>
                    <w:rPr>
                      <w:rFonts w:hint="eastAsia" w:ascii="宋体" w:hAnsi="宋体" w:eastAsia="宋体" w:cs="宋体"/>
                      <w:b w:val="0"/>
                      <w:bCs w:val="0"/>
                      <w:color w:val="0000FF"/>
                      <w:sz w:val="21"/>
                      <w:szCs w:val="21"/>
                      <w:vertAlign w:val="baseline"/>
                      <w:lang w:val="en-US" w:eastAsia="zh-CN"/>
                    </w:rPr>
                  </w:pPr>
                  <w:r>
                    <w:rPr>
                      <w:rFonts w:hint="eastAsia" w:ascii="宋体" w:hAnsi="宋体" w:eastAsia="宋体" w:cs="宋体"/>
                      <w:b w:val="0"/>
                      <w:bCs w:val="0"/>
                      <w:color w:val="0000FF"/>
                      <w:sz w:val="21"/>
                      <w:szCs w:val="21"/>
                      <w:vertAlign w:val="baseline"/>
                      <w:lang w:val="en-US" w:eastAsia="zh-CN"/>
                    </w:rPr>
                    <w:t>本项目废水</w:t>
                  </w:r>
                  <w:r>
                    <w:rPr>
                      <w:rFonts w:hint="default" w:ascii="宋体" w:hAnsi="宋体" w:eastAsia="宋体" w:cs="宋体"/>
                      <w:b w:val="0"/>
                      <w:bCs w:val="0"/>
                      <w:color w:val="0000FF"/>
                      <w:sz w:val="21"/>
                      <w:szCs w:val="21"/>
                      <w:vertAlign w:val="baseline"/>
                      <w:lang w:val="en-US" w:eastAsia="zh-CN"/>
                    </w:rPr>
                    <w:t>经海奥斯污水处理站处理达标后排入市政管网，排入光大水务（淄博）有限公司水质净化(三分厂)进行处理进一步处理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15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60" w:lineRule="atLeast"/>
                    <w:ind w:left="0" w:leftChars="0" w:firstLine="0" w:firstLineChars="0"/>
                    <w:jc w:val="center"/>
                    <w:textAlignment w:val="auto"/>
                    <w:rPr>
                      <w:rFonts w:hint="default" w:ascii="宋体" w:hAnsi="宋体" w:eastAsia="宋体" w:cs="宋体"/>
                      <w:b w:val="0"/>
                      <w:bCs w:val="0"/>
                      <w:color w:val="0000FF"/>
                      <w:sz w:val="21"/>
                      <w:szCs w:val="21"/>
                      <w:vertAlign w:val="baseline"/>
                      <w:lang w:val="en-US" w:eastAsia="zh-CN"/>
                    </w:rPr>
                  </w:pPr>
                  <w:r>
                    <w:rPr>
                      <w:rFonts w:hint="eastAsia" w:ascii="宋体" w:hAnsi="宋体" w:eastAsia="宋体" w:cs="宋体"/>
                      <w:b w:val="0"/>
                      <w:bCs w:val="0"/>
                      <w:color w:val="0000FF"/>
                      <w:sz w:val="21"/>
                      <w:szCs w:val="21"/>
                      <w:vertAlign w:val="baseline"/>
                      <w:lang w:val="en-US" w:eastAsia="zh-CN"/>
                    </w:rPr>
                    <w:t>3.集中供热与燃气，经济开发区内供热热源为桓台经济开发区热力有限公司及山东汇丰石化集团有限公司，经济开发区内供热管网建设要与开发建设同步建设，禁止区内其他企业新建燃煤设施，果里镇域天然气来自于桓台经济开发区门站，其气源来自沧淄输气管道。</w:t>
                  </w:r>
                </w:p>
              </w:tc>
              <w:tc>
                <w:tcPr>
                  <w:tcW w:w="164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60" w:lineRule="atLeast"/>
                    <w:ind w:left="0" w:leftChars="0" w:firstLine="0" w:firstLineChars="0"/>
                    <w:jc w:val="center"/>
                    <w:textAlignment w:val="auto"/>
                    <w:rPr>
                      <w:rFonts w:hint="eastAsia" w:ascii="宋体" w:hAnsi="宋体" w:eastAsia="宋体" w:cs="宋体"/>
                      <w:b w:val="0"/>
                      <w:bCs w:val="0"/>
                      <w:color w:val="0000FF"/>
                      <w:sz w:val="21"/>
                      <w:szCs w:val="21"/>
                      <w:vertAlign w:val="baseline"/>
                      <w:lang w:val="en-US" w:eastAsia="zh-CN"/>
                    </w:rPr>
                  </w:pPr>
                  <w:r>
                    <w:rPr>
                      <w:rFonts w:hint="eastAsia" w:ascii="宋体" w:hAnsi="宋体" w:eastAsia="宋体" w:cs="宋体"/>
                      <w:b w:val="0"/>
                      <w:bCs w:val="0"/>
                      <w:color w:val="0000FF"/>
                      <w:sz w:val="21"/>
                      <w:szCs w:val="21"/>
                      <w:vertAlign w:val="baseline"/>
                      <w:lang w:val="en-US" w:eastAsia="zh-CN"/>
                    </w:rPr>
                    <w:t>本项目为新建天然气锅炉房，使用天然气为清洁能源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15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60" w:lineRule="atLeast"/>
                    <w:ind w:left="0" w:leftChars="0" w:firstLine="0" w:firstLineChars="0"/>
                    <w:jc w:val="center"/>
                    <w:textAlignment w:val="auto"/>
                    <w:rPr>
                      <w:rFonts w:hint="default" w:ascii="宋体" w:hAnsi="宋体" w:eastAsia="宋体" w:cs="宋体"/>
                      <w:b w:val="0"/>
                      <w:bCs w:val="0"/>
                      <w:color w:val="0000FF"/>
                      <w:sz w:val="21"/>
                      <w:szCs w:val="21"/>
                      <w:vertAlign w:val="baseline"/>
                      <w:lang w:val="en-US" w:eastAsia="zh-CN"/>
                    </w:rPr>
                  </w:pPr>
                  <w:r>
                    <w:rPr>
                      <w:rFonts w:hint="eastAsia" w:ascii="宋体" w:hAnsi="宋体" w:eastAsia="宋体" w:cs="宋体"/>
                      <w:b w:val="0"/>
                      <w:bCs w:val="0"/>
                      <w:color w:val="0000FF"/>
                      <w:sz w:val="21"/>
                      <w:szCs w:val="21"/>
                      <w:vertAlign w:val="baseline"/>
                      <w:lang w:val="en-US" w:eastAsia="zh-CN"/>
                    </w:rPr>
                    <w:t>4.固体废物，严格按照有关规定，对固体废物实施分类处理、处置等方式，立足于综合利用，做到“资源化、减量化、无害化”。一般工业固体废物的贮存场所应符合《一般工业固体废物贮存、处置场污染控制标准》（GB18599-2001）要求，生活垃圾送至淄博生活垃圾焚烧厂进行焚烧处理。</w:t>
                  </w:r>
                </w:p>
              </w:tc>
              <w:tc>
                <w:tcPr>
                  <w:tcW w:w="164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60" w:lineRule="atLeast"/>
                    <w:ind w:left="0" w:leftChars="0" w:firstLine="0" w:firstLineChars="0"/>
                    <w:jc w:val="center"/>
                    <w:textAlignment w:val="auto"/>
                    <w:rPr>
                      <w:rFonts w:hint="eastAsia" w:ascii="宋体" w:hAnsi="宋体" w:eastAsia="宋体" w:cs="宋体"/>
                      <w:b w:val="0"/>
                      <w:bCs w:val="0"/>
                      <w:color w:val="0000FF"/>
                      <w:sz w:val="21"/>
                      <w:szCs w:val="21"/>
                      <w:vertAlign w:val="baseline"/>
                      <w:lang w:val="en-US" w:eastAsia="zh-CN"/>
                    </w:rPr>
                  </w:pPr>
                  <w:r>
                    <w:rPr>
                      <w:rFonts w:hint="eastAsia" w:ascii="宋体" w:hAnsi="宋体" w:eastAsia="宋体" w:cs="宋体"/>
                      <w:b w:val="0"/>
                      <w:bCs w:val="0"/>
                      <w:color w:val="0000FF"/>
                      <w:sz w:val="21"/>
                      <w:szCs w:val="21"/>
                      <w:vertAlign w:val="baseline"/>
                      <w:lang w:val="en-US" w:eastAsia="zh-CN"/>
                    </w:rPr>
                    <w:t>本项目固体废物处置均满足要求</w:t>
                  </w:r>
                </w:p>
              </w:tc>
            </w:tr>
          </w:tbl>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kern w:val="0"/>
                <w:sz w:val="24"/>
                <w:szCs w:val="24"/>
              </w:rPr>
            </w:pPr>
            <w:r>
              <w:rPr>
                <w:rFonts w:hint="default" w:ascii="Times New Roman" w:hAnsi="Times New Roman" w:cs="Times New Roman"/>
                <w:bCs/>
                <w:color w:val="auto"/>
                <w:sz w:val="24"/>
                <w:szCs w:val="24"/>
              </w:rPr>
              <w:t>本项目</w:t>
            </w:r>
            <w:r>
              <w:rPr>
                <w:rFonts w:hint="default" w:ascii="Times New Roman" w:hAnsi="Times New Roman" w:cs="Times New Roman"/>
                <w:bCs/>
                <w:color w:val="auto"/>
                <w:sz w:val="24"/>
                <w:szCs w:val="24"/>
                <w:lang w:eastAsia="zh-CN"/>
              </w:rPr>
              <w:t>为新建锅炉</w:t>
            </w:r>
            <w:r>
              <w:rPr>
                <w:rFonts w:hint="default" w:ascii="Times New Roman" w:hAnsi="Times New Roman" w:cs="Times New Roman"/>
                <w:bCs/>
                <w:color w:val="auto"/>
                <w:sz w:val="24"/>
                <w:szCs w:val="24"/>
              </w:rPr>
              <w:t>，不属于禁止进入的行业，厂区选址符合桓台经济开发区的土地利用规划，属于工业用地及建设用地，且项目建设有利于企业的发展，带动开发区的经济发展，项目建设符合国家产业政策，项目建设完善的污水管网和事故防范措施，不违背经济开发区的行业准入和环保准入条件。同时项目入区也取得了当地政府部门的备案</w:t>
            </w:r>
            <w:r>
              <w:rPr>
                <w:rFonts w:hint="default" w:ascii="Times New Roman" w:hAnsi="Times New Roman" w:cs="Times New Roman"/>
                <w:color w:val="auto"/>
                <w:kern w:val="0"/>
                <w:sz w:val="24"/>
                <w:szCs w:val="24"/>
              </w:rPr>
              <w:t>。该项目的建设不违背桓台经济开发区的生态环境准入要求。</w:t>
            </w:r>
          </w:p>
          <w:p>
            <w:pPr>
              <w:keepNext w:val="0"/>
              <w:keepLines w:val="0"/>
              <w:pageBreakBefore w:val="0"/>
              <w:kinsoku/>
              <w:wordWrap/>
              <w:overflowPunct/>
              <w:topLinePunct w:val="0"/>
              <w:bidi w:val="0"/>
              <w:adjustRightInd w:val="0"/>
              <w:snapToGrid w:val="0"/>
              <w:spacing w:line="360" w:lineRule="auto"/>
              <w:ind w:firstLine="482" w:firstLineChars="200"/>
              <w:textAlignment w:val="auto"/>
              <w:rPr>
                <w:rFonts w:hint="default" w:ascii="Times New Roman" w:hAnsi="Times New Roman" w:eastAsia="黑体" w:cs="Times New Roman"/>
                <w:b/>
                <w:bCs/>
                <w:i w:val="0"/>
                <w:iCs w:val="0"/>
                <w:color w:val="auto"/>
                <w:sz w:val="24"/>
                <w:szCs w:val="24"/>
              </w:rPr>
            </w:pPr>
            <w:r>
              <w:rPr>
                <w:rFonts w:hint="default" w:ascii="Times New Roman" w:hAnsi="Times New Roman" w:eastAsia="黑体" w:cs="Times New Roman"/>
                <w:b/>
                <w:bCs/>
                <w:i w:val="0"/>
                <w:iCs w:val="0"/>
                <w:color w:val="auto"/>
                <w:sz w:val="24"/>
                <w:szCs w:val="24"/>
              </w:rPr>
              <w:t>四、开发区准入负面清单符合性</w:t>
            </w:r>
          </w:p>
          <w:p>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w:t>
            </w:r>
            <w:r>
              <w:rPr>
                <w:rFonts w:hint="default" w:ascii="Times New Roman" w:hAnsi="Times New Roman" w:cs="Times New Roman"/>
                <w:color w:val="auto"/>
                <w:kern w:val="0"/>
                <w:sz w:val="24"/>
                <w:szCs w:val="24"/>
              </w:rPr>
              <w:t>桓台经济开发区总体规划环境影响报告书</w:t>
            </w:r>
            <w:r>
              <w:rPr>
                <w:rFonts w:hint="default" w:ascii="Times New Roman" w:hAnsi="Times New Roman" w:cs="Times New Roman"/>
                <w:color w:val="auto"/>
                <w:sz w:val="24"/>
                <w:szCs w:val="24"/>
              </w:rPr>
              <w:t>》中确定的园区</w:t>
            </w:r>
            <w:r>
              <w:rPr>
                <w:rFonts w:hint="default" w:ascii="Times New Roman" w:hAnsi="Times New Roman" w:cs="Times New Roman"/>
                <w:bCs/>
                <w:color w:val="auto"/>
                <w:sz w:val="24"/>
                <w:szCs w:val="24"/>
              </w:rPr>
              <w:t>生态环境准入负面清单</w:t>
            </w:r>
            <w:r>
              <w:rPr>
                <w:rFonts w:hint="default" w:ascii="Times New Roman" w:hAnsi="Times New Roman" w:cs="Times New Roman"/>
                <w:color w:val="auto"/>
                <w:sz w:val="24"/>
                <w:szCs w:val="24"/>
              </w:rPr>
              <w:t>如下。</w:t>
            </w:r>
          </w:p>
          <w:p>
            <w:pPr>
              <w:keepNext w:val="0"/>
              <w:keepLines w:val="0"/>
              <w:pageBreakBefore w:val="0"/>
              <w:kinsoku/>
              <w:wordWrap/>
              <w:overflowPunct/>
              <w:topLinePunct w:val="0"/>
              <w:autoSpaceDE w:val="0"/>
              <w:autoSpaceDN w:val="0"/>
              <w:bidi w:val="0"/>
              <w:adjustRightInd w:val="0"/>
              <w:spacing w:line="360" w:lineRule="auto"/>
              <w:jc w:val="center"/>
              <w:textAlignment w:val="auto"/>
              <w:rPr>
                <w:rFonts w:hint="eastAsia" w:ascii="黑体" w:hAnsi="黑体" w:eastAsia="黑体" w:cs="黑体"/>
                <w:b/>
                <w:bCs/>
                <w:color w:val="auto"/>
                <w:kern w:val="0"/>
                <w:sz w:val="24"/>
                <w:szCs w:val="24"/>
              </w:rPr>
            </w:pPr>
            <w:r>
              <w:rPr>
                <w:rFonts w:hint="eastAsia" w:ascii="黑体" w:hAnsi="黑体" w:eastAsia="黑体" w:cs="黑体"/>
                <w:b/>
                <w:bCs/>
                <w:color w:val="auto"/>
                <w:kern w:val="0"/>
                <w:sz w:val="24"/>
                <w:szCs w:val="24"/>
              </w:rPr>
              <w:t>表</w:t>
            </w:r>
            <w:r>
              <w:rPr>
                <w:rFonts w:hint="eastAsia" w:ascii="黑体" w:hAnsi="黑体" w:eastAsia="黑体" w:cs="黑体"/>
                <w:b/>
                <w:bCs/>
                <w:color w:val="auto"/>
                <w:kern w:val="0"/>
                <w:sz w:val="24"/>
                <w:szCs w:val="24"/>
                <w:lang w:val="en-US" w:eastAsia="zh-CN"/>
              </w:rPr>
              <w:t>4</w:t>
            </w:r>
            <w:r>
              <w:rPr>
                <w:rFonts w:hint="eastAsia" w:ascii="黑体" w:hAnsi="黑体" w:eastAsia="黑体" w:cs="黑体"/>
                <w:b/>
                <w:bCs/>
                <w:color w:val="auto"/>
                <w:kern w:val="0"/>
                <w:sz w:val="24"/>
                <w:szCs w:val="24"/>
              </w:rPr>
              <w:t xml:space="preserve"> 桓台经济开发区环境准入负面清单</w:t>
            </w:r>
          </w:p>
          <w:tbl>
            <w:tblPr>
              <w:tblStyle w:val="20"/>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56"/>
              <w:gridCol w:w="2875"/>
              <w:gridCol w:w="2162"/>
              <w:gridCol w:w="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分类</w:t>
                  </w:r>
                </w:p>
              </w:tc>
              <w:tc>
                <w:tcPr>
                  <w:tcW w:w="45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序号</w:t>
                  </w:r>
                </w:p>
              </w:tc>
              <w:tc>
                <w:tcPr>
                  <w:tcW w:w="28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具体内容</w:t>
                  </w:r>
                </w:p>
              </w:tc>
              <w:tc>
                <w:tcPr>
                  <w:tcW w:w="216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项目情况</w:t>
                  </w:r>
                </w:p>
              </w:tc>
              <w:tc>
                <w:tcPr>
                  <w:tcW w:w="8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是否属于负面清单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行业</w:t>
                  </w:r>
                </w:p>
              </w:tc>
              <w:tc>
                <w:tcPr>
                  <w:tcW w:w="45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w:t>
                  </w:r>
                </w:p>
              </w:tc>
              <w:tc>
                <w:tcPr>
                  <w:tcW w:w="28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不符合淄博市行业发展定位、园区产业定位的行业</w:t>
                  </w:r>
                </w:p>
              </w:tc>
              <w:tc>
                <w:tcPr>
                  <w:tcW w:w="216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符合淄博市行业发展定位，项目已取得登记备案，属于现有企业的新建项目，不违背开发区准入条件</w:t>
                  </w:r>
                </w:p>
              </w:tc>
              <w:tc>
                <w:tcPr>
                  <w:tcW w:w="8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工艺及产品</w:t>
                  </w:r>
                </w:p>
              </w:tc>
              <w:tc>
                <w:tcPr>
                  <w:tcW w:w="45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w:t>
                  </w:r>
                </w:p>
              </w:tc>
              <w:tc>
                <w:tcPr>
                  <w:tcW w:w="28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《产业结构调整指导目录（2013年修订）》中淘汰类、限制类项目；《外商投资产业指导目录》中限制和禁止外商投资的</w:t>
                  </w:r>
                </w:p>
              </w:tc>
              <w:tc>
                <w:tcPr>
                  <w:tcW w:w="216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不属于《产业结构调整指导目录（201</w:t>
                  </w:r>
                  <w:r>
                    <w:rPr>
                      <w:rFonts w:hint="eastAsia" w:cs="Times New Roman"/>
                      <w:bCs/>
                      <w:color w:val="auto"/>
                      <w:sz w:val="21"/>
                      <w:szCs w:val="21"/>
                      <w:lang w:val="en-US" w:eastAsia="zh-CN"/>
                    </w:rPr>
                    <w:t>9</w:t>
                  </w:r>
                  <w:r>
                    <w:rPr>
                      <w:rFonts w:hint="default" w:ascii="Times New Roman" w:hAnsi="Times New Roman" w:cs="Times New Roman"/>
                      <w:bCs/>
                      <w:color w:val="auto"/>
                      <w:sz w:val="21"/>
                      <w:szCs w:val="21"/>
                    </w:rPr>
                    <w:t>年修订）》中淘汰类、限制类项目；《外商投资产业指导目录》中限制和禁止外商投资的</w:t>
                  </w:r>
                </w:p>
              </w:tc>
              <w:tc>
                <w:tcPr>
                  <w:tcW w:w="8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p>
              </w:tc>
              <w:tc>
                <w:tcPr>
                  <w:tcW w:w="45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w:t>
                  </w:r>
                </w:p>
              </w:tc>
              <w:tc>
                <w:tcPr>
                  <w:tcW w:w="28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不符合行业准入条件、发展规划的项目</w:t>
                  </w:r>
                </w:p>
              </w:tc>
              <w:tc>
                <w:tcPr>
                  <w:tcW w:w="216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符合行业准入条件、发展规划的项目</w:t>
                  </w:r>
                </w:p>
              </w:tc>
              <w:tc>
                <w:tcPr>
                  <w:tcW w:w="8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投资</w:t>
                  </w:r>
                </w:p>
              </w:tc>
              <w:tc>
                <w:tcPr>
                  <w:tcW w:w="45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w:t>
                  </w:r>
                </w:p>
              </w:tc>
              <w:tc>
                <w:tcPr>
                  <w:tcW w:w="28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投资强度＜</w:t>
                  </w:r>
                  <w:r>
                    <w:rPr>
                      <w:rFonts w:hint="default" w:ascii="Times New Roman" w:hAnsi="Times New Roman" w:cs="Times New Roman"/>
                      <w:color w:val="auto"/>
                      <w:sz w:val="21"/>
                      <w:szCs w:val="21"/>
                    </w:rPr>
                    <w:t>3000万元/公顷的项目</w:t>
                  </w:r>
                </w:p>
              </w:tc>
              <w:tc>
                <w:tcPr>
                  <w:tcW w:w="216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符合</w:t>
                  </w:r>
                  <w:r>
                    <w:rPr>
                      <w:rFonts w:hint="default" w:ascii="Times New Roman" w:hAnsi="Times New Roman" w:cs="Times New Roman"/>
                      <w:bCs/>
                      <w:color w:val="auto"/>
                      <w:kern w:val="0"/>
                      <w:sz w:val="21"/>
                      <w:szCs w:val="21"/>
                    </w:rPr>
                    <w:t>《工业项目建设用地控制指标》</w:t>
                  </w:r>
                </w:p>
              </w:tc>
              <w:tc>
                <w:tcPr>
                  <w:tcW w:w="88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p>
              </w:tc>
              <w:tc>
                <w:tcPr>
                  <w:tcW w:w="45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w:t>
                  </w:r>
                </w:p>
              </w:tc>
              <w:tc>
                <w:tcPr>
                  <w:tcW w:w="28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不符合</w:t>
                  </w:r>
                  <w:r>
                    <w:rPr>
                      <w:rFonts w:hint="default" w:ascii="Times New Roman" w:hAnsi="Times New Roman" w:cs="Times New Roman"/>
                      <w:bCs/>
                      <w:color w:val="auto"/>
                      <w:kern w:val="0"/>
                      <w:sz w:val="21"/>
                      <w:szCs w:val="21"/>
                    </w:rPr>
                    <w:t>《工业项目建设用地控制指标》的</w:t>
                  </w:r>
                </w:p>
              </w:tc>
              <w:tc>
                <w:tcPr>
                  <w:tcW w:w="216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kern w:val="0"/>
                      <w:sz w:val="21"/>
                      <w:szCs w:val="21"/>
                    </w:rPr>
                  </w:pPr>
                </w:p>
              </w:tc>
              <w:tc>
                <w:tcPr>
                  <w:tcW w:w="88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资源利用</w:t>
                  </w:r>
                </w:p>
              </w:tc>
              <w:tc>
                <w:tcPr>
                  <w:tcW w:w="45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w:t>
                  </w:r>
                </w:p>
              </w:tc>
              <w:tc>
                <w:tcPr>
                  <w:tcW w:w="28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高水耗、高物耗、高能耗且严重浪费资源、生产方式落后的项目；清洁生产水平属于低于国内基本水平的</w:t>
                  </w:r>
                </w:p>
              </w:tc>
              <w:tc>
                <w:tcPr>
                  <w:tcW w:w="216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项目不属于高水耗、高物耗、高能耗且严重浪费资源、生产方式落后的项目</w:t>
                  </w:r>
                </w:p>
              </w:tc>
              <w:tc>
                <w:tcPr>
                  <w:tcW w:w="8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污染控制</w:t>
                  </w:r>
                </w:p>
              </w:tc>
              <w:tc>
                <w:tcPr>
                  <w:tcW w:w="45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w:t>
                  </w:r>
                </w:p>
              </w:tc>
              <w:tc>
                <w:tcPr>
                  <w:tcW w:w="28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排放的废水中含难降解的有机污染物、“三致污染物”、且不能采取有效措施控制、导致具有生态环境风险的</w:t>
                  </w:r>
                </w:p>
              </w:tc>
              <w:tc>
                <w:tcPr>
                  <w:tcW w:w="216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项目排放的废水中不含难降解的有机污染物、“三致污染物”，项目产生的废水经</w:t>
                  </w:r>
                  <w:r>
                    <w:rPr>
                      <w:rFonts w:hint="eastAsia" w:cs="Times New Roman"/>
                      <w:bCs/>
                      <w:color w:val="auto"/>
                      <w:sz w:val="21"/>
                      <w:szCs w:val="21"/>
                      <w:lang w:eastAsia="zh-CN"/>
                    </w:rPr>
                    <w:t>海奥斯</w:t>
                  </w:r>
                  <w:r>
                    <w:rPr>
                      <w:rFonts w:hint="default" w:ascii="Times New Roman" w:hAnsi="Times New Roman" w:cs="Times New Roman"/>
                      <w:bCs/>
                      <w:color w:val="auto"/>
                      <w:sz w:val="21"/>
                      <w:szCs w:val="21"/>
                    </w:rPr>
                    <w:t>污水处理</w:t>
                  </w:r>
                  <w:r>
                    <w:rPr>
                      <w:rFonts w:hint="eastAsia" w:cs="Times New Roman"/>
                      <w:bCs/>
                      <w:color w:val="auto"/>
                      <w:sz w:val="21"/>
                      <w:szCs w:val="21"/>
                      <w:lang w:eastAsia="zh-CN"/>
                    </w:rPr>
                    <w:t>站</w:t>
                  </w:r>
                  <w:r>
                    <w:rPr>
                      <w:rFonts w:hint="default" w:ascii="Times New Roman" w:hAnsi="Times New Roman" w:cs="Times New Roman"/>
                      <w:bCs/>
                      <w:color w:val="auto"/>
                      <w:sz w:val="21"/>
                      <w:szCs w:val="21"/>
                    </w:rPr>
                    <w:t>处理后能够达标排放</w:t>
                  </w:r>
                </w:p>
              </w:tc>
              <w:tc>
                <w:tcPr>
                  <w:tcW w:w="8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p>
              </w:tc>
              <w:tc>
                <w:tcPr>
                  <w:tcW w:w="45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w:t>
                  </w:r>
                </w:p>
              </w:tc>
              <w:tc>
                <w:tcPr>
                  <w:tcW w:w="28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产生重金属废水、剧毒废水、放射性废水项目</w:t>
                  </w:r>
                </w:p>
              </w:tc>
              <w:tc>
                <w:tcPr>
                  <w:tcW w:w="216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项目不产生重金属废水、剧毒废水、放射性废水</w:t>
                  </w:r>
                </w:p>
              </w:tc>
              <w:tc>
                <w:tcPr>
                  <w:tcW w:w="8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p>
              </w:tc>
              <w:tc>
                <w:tcPr>
                  <w:tcW w:w="45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w:t>
                  </w:r>
                </w:p>
              </w:tc>
              <w:tc>
                <w:tcPr>
                  <w:tcW w:w="28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废水经预处理达不到园区污水处理厂接纳标准的项目，且影响园区中水回用水质要求的</w:t>
                  </w:r>
                </w:p>
              </w:tc>
              <w:tc>
                <w:tcPr>
                  <w:tcW w:w="216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项目产生的废水经</w:t>
                  </w:r>
                  <w:r>
                    <w:rPr>
                      <w:rFonts w:hint="default" w:ascii="Times New Roman" w:hAnsi="Times New Roman" w:cs="Times New Roman"/>
                      <w:bCs/>
                      <w:color w:val="auto"/>
                      <w:sz w:val="21"/>
                      <w:szCs w:val="21"/>
                      <w:lang w:eastAsia="zh-CN"/>
                    </w:rPr>
                    <w:t>海奥斯</w:t>
                  </w:r>
                  <w:r>
                    <w:rPr>
                      <w:rFonts w:hint="default" w:ascii="Times New Roman" w:hAnsi="Times New Roman" w:cs="Times New Roman"/>
                      <w:bCs/>
                      <w:color w:val="auto"/>
                      <w:sz w:val="21"/>
                      <w:szCs w:val="21"/>
                    </w:rPr>
                    <w:t>现有污水处理</w:t>
                  </w:r>
                  <w:r>
                    <w:rPr>
                      <w:rFonts w:hint="default" w:ascii="Times New Roman" w:hAnsi="Times New Roman" w:cs="Times New Roman"/>
                      <w:bCs/>
                      <w:color w:val="auto"/>
                      <w:sz w:val="21"/>
                      <w:szCs w:val="21"/>
                      <w:lang w:eastAsia="zh-CN"/>
                    </w:rPr>
                    <w:t>站</w:t>
                  </w:r>
                  <w:r>
                    <w:rPr>
                      <w:rFonts w:hint="default" w:ascii="Times New Roman" w:hAnsi="Times New Roman" w:cs="Times New Roman"/>
                      <w:bCs/>
                      <w:color w:val="auto"/>
                      <w:sz w:val="21"/>
                      <w:szCs w:val="21"/>
                    </w:rPr>
                    <w:t>处理后能够达标排放</w:t>
                  </w:r>
                </w:p>
              </w:tc>
              <w:tc>
                <w:tcPr>
                  <w:tcW w:w="8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p>
              </w:tc>
              <w:tc>
                <w:tcPr>
                  <w:tcW w:w="45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4</w:t>
                  </w:r>
                </w:p>
              </w:tc>
              <w:tc>
                <w:tcPr>
                  <w:tcW w:w="28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工艺废气中含难处理的有毒有害物质的项目、采取的污防措施不合理的</w:t>
                  </w:r>
                </w:p>
              </w:tc>
              <w:tc>
                <w:tcPr>
                  <w:tcW w:w="216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项目废气主要为SO</w:t>
                  </w:r>
                  <w:r>
                    <w:rPr>
                      <w:rFonts w:hint="default" w:ascii="Times New Roman" w:hAnsi="Times New Roman" w:cs="Times New Roman"/>
                      <w:bCs/>
                      <w:color w:val="auto"/>
                      <w:sz w:val="21"/>
                      <w:szCs w:val="21"/>
                      <w:vertAlign w:val="subscript"/>
                    </w:rPr>
                    <w:t>2</w:t>
                  </w:r>
                  <w:r>
                    <w:rPr>
                      <w:rFonts w:hint="default" w:ascii="Times New Roman" w:hAnsi="Times New Roman" w:cs="Times New Roman"/>
                      <w:bCs/>
                      <w:color w:val="auto"/>
                      <w:sz w:val="21"/>
                      <w:szCs w:val="21"/>
                    </w:rPr>
                    <w:t>、NO</w:t>
                  </w:r>
                  <w:r>
                    <w:rPr>
                      <w:rFonts w:hint="default" w:ascii="Times New Roman" w:hAnsi="Times New Roman" w:cs="Times New Roman"/>
                      <w:bCs/>
                      <w:color w:val="auto"/>
                      <w:sz w:val="21"/>
                      <w:szCs w:val="21"/>
                      <w:vertAlign w:val="subscript"/>
                    </w:rPr>
                    <w:t>x</w:t>
                  </w:r>
                  <w:r>
                    <w:rPr>
                      <w:rFonts w:hint="default" w:ascii="Times New Roman" w:hAnsi="Times New Roman" w:cs="Times New Roman"/>
                      <w:bCs/>
                      <w:color w:val="auto"/>
                      <w:sz w:val="21"/>
                      <w:szCs w:val="21"/>
                    </w:rPr>
                    <w:t>、颗粒物等，不属于难处理的有毒有害物质</w:t>
                  </w:r>
                </w:p>
              </w:tc>
              <w:tc>
                <w:tcPr>
                  <w:tcW w:w="8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p>
              </w:tc>
              <w:tc>
                <w:tcPr>
                  <w:tcW w:w="45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w:t>
                  </w:r>
                </w:p>
              </w:tc>
              <w:tc>
                <w:tcPr>
                  <w:tcW w:w="28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无组织排放量较大、恶臭物质排放较多的项目</w:t>
                  </w:r>
                </w:p>
              </w:tc>
              <w:tc>
                <w:tcPr>
                  <w:tcW w:w="216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项目无组织排放量较小，恶臭物质排放较少</w:t>
                  </w:r>
                </w:p>
              </w:tc>
              <w:tc>
                <w:tcPr>
                  <w:tcW w:w="8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p>
              </w:tc>
              <w:tc>
                <w:tcPr>
                  <w:tcW w:w="45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6</w:t>
                  </w:r>
                </w:p>
              </w:tc>
              <w:tc>
                <w:tcPr>
                  <w:tcW w:w="28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固废、危废产生量大，且无法及不采取措施进行综合利用、具有环境管控风险的</w:t>
                  </w:r>
                </w:p>
              </w:tc>
              <w:tc>
                <w:tcPr>
                  <w:tcW w:w="216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项目固废产生量较小</w:t>
                  </w:r>
                </w:p>
              </w:tc>
              <w:tc>
                <w:tcPr>
                  <w:tcW w:w="8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p>
              </w:tc>
              <w:tc>
                <w:tcPr>
                  <w:tcW w:w="45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7</w:t>
                  </w:r>
                </w:p>
              </w:tc>
              <w:tc>
                <w:tcPr>
                  <w:tcW w:w="28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具有重大环境风险、无法采取有效防治、应急措施、导致生态环境风险的</w:t>
                  </w:r>
                </w:p>
              </w:tc>
              <w:tc>
                <w:tcPr>
                  <w:tcW w:w="216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项目不存在重大环境风险</w:t>
                  </w:r>
                </w:p>
              </w:tc>
              <w:tc>
                <w:tcPr>
                  <w:tcW w:w="8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p>
              </w:tc>
              <w:tc>
                <w:tcPr>
                  <w:tcW w:w="45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8</w:t>
                  </w:r>
                </w:p>
              </w:tc>
              <w:tc>
                <w:tcPr>
                  <w:tcW w:w="28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破坏自然生态、损害人体健康又无治理技术或难以治理的项目</w:t>
                  </w:r>
                </w:p>
              </w:tc>
              <w:tc>
                <w:tcPr>
                  <w:tcW w:w="216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项目在现有厂区建设，不属于破坏自然生态、损害人体健康又无治理技术或难以治理的项目</w:t>
                  </w:r>
                </w:p>
              </w:tc>
              <w:tc>
                <w:tcPr>
                  <w:tcW w:w="88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否</w:t>
                  </w:r>
                </w:p>
              </w:tc>
            </w:tr>
          </w:tbl>
          <w:p>
            <w:pPr>
              <w:keepNext w:val="0"/>
              <w:keepLines w:val="0"/>
              <w:pageBreakBefore w:val="0"/>
              <w:kinsoku/>
              <w:wordWrap/>
              <w:overflowPunct/>
              <w:topLinePunct w:val="0"/>
              <w:autoSpaceDE w:val="0"/>
              <w:autoSpaceDN w:val="0"/>
              <w:bidi w:val="0"/>
              <w:adjustRightInd w:val="0"/>
              <w:spacing w:line="360" w:lineRule="auto"/>
              <w:jc w:val="center"/>
              <w:textAlignment w:val="auto"/>
              <w:rPr>
                <w:rFonts w:hint="eastAsia" w:ascii="黑体" w:hAnsi="黑体" w:eastAsia="黑体" w:cs="黑体"/>
                <w:b/>
                <w:bCs/>
                <w:color w:val="auto"/>
                <w:kern w:val="0"/>
                <w:sz w:val="24"/>
                <w:szCs w:val="24"/>
              </w:rPr>
            </w:pPr>
            <w:r>
              <w:rPr>
                <w:rFonts w:hint="eastAsia" w:ascii="黑体" w:hAnsi="黑体" w:eastAsia="黑体" w:cs="黑体"/>
                <w:b/>
                <w:bCs/>
                <w:color w:val="auto"/>
                <w:kern w:val="0"/>
                <w:sz w:val="24"/>
                <w:szCs w:val="24"/>
              </w:rPr>
              <w:t>表</w:t>
            </w:r>
            <w:r>
              <w:rPr>
                <w:rFonts w:hint="eastAsia" w:ascii="黑体" w:hAnsi="黑体" w:eastAsia="黑体" w:cs="黑体"/>
                <w:b/>
                <w:bCs/>
                <w:color w:val="auto"/>
                <w:kern w:val="0"/>
                <w:sz w:val="24"/>
                <w:szCs w:val="24"/>
                <w:lang w:val="en-US" w:eastAsia="zh-CN"/>
              </w:rPr>
              <w:t>5</w:t>
            </w:r>
            <w:r>
              <w:rPr>
                <w:rFonts w:hint="eastAsia" w:ascii="黑体" w:hAnsi="黑体" w:eastAsia="黑体" w:cs="黑体"/>
                <w:b/>
                <w:bCs/>
                <w:color w:val="auto"/>
                <w:kern w:val="0"/>
                <w:sz w:val="24"/>
                <w:szCs w:val="24"/>
              </w:rPr>
              <w:t xml:space="preserve"> 桓台经济开发区行业负面清单</w:t>
            </w:r>
          </w:p>
          <w:tbl>
            <w:tblPr>
              <w:tblStyle w:val="20"/>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2"/>
              <w:gridCol w:w="1891"/>
              <w:gridCol w:w="2167"/>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行业类别</w:t>
                  </w:r>
                </w:p>
              </w:tc>
              <w:tc>
                <w:tcPr>
                  <w:tcW w:w="405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行业小类</w:t>
                  </w:r>
                </w:p>
              </w:tc>
              <w:tc>
                <w:tcPr>
                  <w:tcW w:w="117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C15 酒、饮料和精制茶制造业</w:t>
                  </w:r>
                </w:p>
              </w:tc>
              <w:tc>
                <w:tcPr>
                  <w:tcW w:w="189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C151 酒的制造</w:t>
                  </w:r>
                </w:p>
              </w:tc>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C1511 酒精制造</w:t>
                  </w:r>
                </w:p>
              </w:tc>
              <w:tc>
                <w:tcPr>
                  <w:tcW w:w="117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桓台经济开发区规划产业定位、淄博市环评负面清单、《产业结构调整指导目录》（2013年修订）以及《国民经济行业分类》（GB/T4754 -2017）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c>
                <w:tcPr>
                  <w:tcW w:w="189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C1512 白酒制造</w:t>
                  </w:r>
                </w:p>
              </w:tc>
              <w:tc>
                <w:tcPr>
                  <w:tcW w:w="11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C26 化学原料和化学制品制造业</w:t>
                  </w:r>
                </w:p>
              </w:tc>
              <w:tc>
                <w:tcPr>
                  <w:tcW w:w="189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C263 农药制造</w:t>
                  </w:r>
                </w:p>
              </w:tc>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高毒、高残留以及对环境影响大的农药原药生产装置。</w:t>
                  </w:r>
                </w:p>
              </w:tc>
              <w:tc>
                <w:tcPr>
                  <w:tcW w:w="11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c>
                <w:tcPr>
                  <w:tcW w:w="189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C264 涂料、油墨、颜料及类似产品制造</w:t>
                  </w:r>
                </w:p>
              </w:tc>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C2645染料制造（国家鼓励类除外）</w:t>
                  </w:r>
                </w:p>
              </w:tc>
              <w:tc>
                <w:tcPr>
                  <w:tcW w:w="11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C30非金属矿物制品业</w:t>
                  </w:r>
                </w:p>
              </w:tc>
              <w:tc>
                <w:tcPr>
                  <w:tcW w:w="189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C301 水泥、石灰和石膏制造</w:t>
                  </w:r>
                </w:p>
              </w:tc>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石灰石加工</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水泥项目（含粉磨站）</w:t>
                  </w:r>
                </w:p>
              </w:tc>
              <w:tc>
                <w:tcPr>
                  <w:tcW w:w="11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c>
                <w:tcPr>
                  <w:tcW w:w="189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C307 陶瓷制品制造</w:t>
                  </w:r>
                </w:p>
              </w:tc>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新建陶生产线（不含搬迁及升级改造项目）</w:t>
                  </w:r>
                </w:p>
              </w:tc>
              <w:tc>
                <w:tcPr>
                  <w:tcW w:w="11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C31 黑色金属冶炼和压延加工</w:t>
                  </w:r>
                </w:p>
              </w:tc>
              <w:tc>
                <w:tcPr>
                  <w:tcW w:w="189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C311 炼铁</w:t>
                  </w:r>
                </w:p>
              </w:tc>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c>
                <w:tcPr>
                  <w:tcW w:w="189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C312 炼钢</w:t>
                  </w:r>
                </w:p>
              </w:tc>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c>
                <w:tcPr>
                  <w:tcW w:w="189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C313 钢压延加工</w:t>
                  </w:r>
                </w:p>
              </w:tc>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c>
                <w:tcPr>
                  <w:tcW w:w="189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C314 铁合金冶炼</w:t>
                  </w:r>
                </w:p>
              </w:tc>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C32 有色金属冶炼和压延加工</w:t>
                  </w:r>
                </w:p>
              </w:tc>
              <w:tc>
                <w:tcPr>
                  <w:tcW w:w="189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C321 常用有色金属冶炼</w:t>
                  </w:r>
                </w:p>
              </w:tc>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C3212 铅锌冶炼</w:t>
                  </w:r>
                </w:p>
              </w:tc>
              <w:tc>
                <w:tcPr>
                  <w:tcW w:w="11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c>
                <w:tcPr>
                  <w:tcW w:w="189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C3216 铝冶炼</w:t>
                  </w:r>
                </w:p>
              </w:tc>
              <w:tc>
                <w:tcPr>
                  <w:tcW w:w="11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c>
                <w:tcPr>
                  <w:tcW w:w="189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C323 稀有稀土冶炼</w:t>
                  </w:r>
                </w:p>
              </w:tc>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C33 金属制品业</w:t>
                  </w:r>
                </w:p>
              </w:tc>
              <w:tc>
                <w:tcPr>
                  <w:tcW w:w="189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C339 铸造及其他金属制品制造</w:t>
                  </w:r>
                </w:p>
              </w:tc>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铸造业</w:t>
                  </w:r>
                </w:p>
              </w:tc>
              <w:tc>
                <w:tcPr>
                  <w:tcW w:w="11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0"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其他不符合园区规划产业定位的行业</w:t>
                  </w:r>
                </w:p>
              </w:tc>
              <w:tc>
                <w:tcPr>
                  <w:tcW w:w="11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p>
              </w:tc>
            </w:tr>
          </w:tbl>
          <w:p>
            <w:pPr>
              <w:keepNext w:val="0"/>
              <w:keepLines w:val="0"/>
              <w:pageBreakBefore w:val="0"/>
              <w:kinsoku/>
              <w:wordWrap/>
              <w:overflowPunct/>
              <w:topLinePunct w:val="0"/>
              <w:autoSpaceDE w:val="0"/>
              <w:autoSpaceDN w:val="0"/>
              <w:bidi w:val="0"/>
              <w:adjustRightInd w:val="0"/>
              <w:spacing w:line="360" w:lineRule="auto"/>
              <w:jc w:val="center"/>
              <w:textAlignment w:val="auto"/>
              <w:rPr>
                <w:rFonts w:hint="default" w:ascii="Times New Roman" w:hAnsi="Times New Roman" w:cs="Times New Roman"/>
                <w:b/>
                <w:bCs/>
                <w:color w:val="auto"/>
                <w:kern w:val="0"/>
                <w:sz w:val="24"/>
                <w:szCs w:val="24"/>
              </w:rPr>
            </w:pPr>
            <w:r>
              <w:rPr>
                <w:rFonts w:hint="eastAsia" w:ascii="黑体" w:hAnsi="黑体" w:eastAsia="黑体" w:cs="黑体"/>
                <w:b/>
                <w:bCs/>
                <w:color w:val="auto"/>
                <w:kern w:val="0"/>
                <w:sz w:val="24"/>
                <w:szCs w:val="24"/>
              </w:rPr>
              <w:t>表</w:t>
            </w:r>
            <w:r>
              <w:rPr>
                <w:rFonts w:hint="eastAsia" w:ascii="黑体" w:hAnsi="黑体" w:eastAsia="黑体" w:cs="黑体"/>
                <w:b/>
                <w:bCs/>
                <w:color w:val="auto"/>
                <w:kern w:val="0"/>
                <w:sz w:val="24"/>
                <w:szCs w:val="24"/>
                <w:lang w:val="en-US" w:eastAsia="zh-CN"/>
              </w:rPr>
              <w:t>6</w:t>
            </w:r>
            <w:r>
              <w:rPr>
                <w:rFonts w:hint="default" w:ascii="Times New Roman" w:hAnsi="Times New Roman" w:cs="Times New Roman"/>
                <w:b/>
                <w:bCs/>
                <w:color w:val="auto"/>
                <w:kern w:val="0"/>
                <w:sz w:val="24"/>
                <w:szCs w:val="24"/>
              </w:rPr>
              <w:t xml:space="preserve"> </w:t>
            </w:r>
            <w:r>
              <w:rPr>
                <w:rFonts w:hint="eastAsia" w:ascii="黑体" w:hAnsi="黑体" w:eastAsia="黑体" w:cs="黑体"/>
                <w:b/>
                <w:bCs/>
                <w:color w:val="auto"/>
                <w:kern w:val="0"/>
                <w:sz w:val="24"/>
                <w:szCs w:val="24"/>
              </w:rPr>
              <w:t xml:space="preserve"> 工艺负面清单</w:t>
            </w:r>
          </w:p>
          <w:tbl>
            <w:tblPr>
              <w:tblStyle w:val="20"/>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43"/>
              <w:gridCol w:w="3858"/>
              <w:gridCol w:w="2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4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内容</w:t>
                  </w:r>
                </w:p>
              </w:tc>
              <w:tc>
                <w:tcPr>
                  <w:tcW w:w="38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禁止准入</w:t>
                  </w:r>
                </w:p>
              </w:tc>
              <w:tc>
                <w:tcPr>
                  <w:tcW w:w="240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4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工艺及装置</w:t>
                  </w:r>
                </w:p>
              </w:tc>
              <w:tc>
                <w:tcPr>
                  <w:tcW w:w="38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普通浮法玻璃生产线</w:t>
                  </w:r>
                </w:p>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白酒生产线</w:t>
                  </w:r>
                </w:p>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酒精生产线</w:t>
                  </w:r>
                </w:p>
              </w:tc>
              <w:tc>
                <w:tcPr>
                  <w:tcW w:w="240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桓台经济开发区规划产业定位、《产业结构调整指导目录》（2013年修订）</w:t>
                  </w:r>
                </w:p>
              </w:tc>
            </w:tr>
          </w:tbl>
          <w:p>
            <w:pPr>
              <w:keepNext w:val="0"/>
              <w:keepLines w:val="0"/>
              <w:pageBreakBefore w:val="0"/>
              <w:kinsoku/>
              <w:wordWrap/>
              <w:overflowPunct/>
              <w:topLinePunct w:val="0"/>
              <w:autoSpaceDE w:val="0"/>
              <w:autoSpaceDN w:val="0"/>
              <w:bidi w:val="0"/>
              <w:adjustRightInd w:val="0"/>
              <w:spacing w:line="360" w:lineRule="auto"/>
              <w:jc w:val="center"/>
              <w:textAlignment w:val="auto"/>
              <w:rPr>
                <w:rFonts w:hint="default" w:ascii="Times New Roman" w:hAnsi="Times New Roman" w:cs="Times New Roman"/>
                <w:b/>
                <w:bCs/>
                <w:color w:val="auto"/>
                <w:kern w:val="0"/>
                <w:sz w:val="24"/>
                <w:szCs w:val="24"/>
              </w:rPr>
            </w:pPr>
            <w:r>
              <w:rPr>
                <w:rFonts w:hint="eastAsia" w:ascii="黑体" w:hAnsi="黑体" w:eastAsia="黑体" w:cs="黑体"/>
                <w:b/>
                <w:bCs/>
                <w:color w:val="auto"/>
                <w:kern w:val="0"/>
                <w:sz w:val="24"/>
                <w:szCs w:val="24"/>
              </w:rPr>
              <w:t>表</w:t>
            </w:r>
            <w:r>
              <w:rPr>
                <w:rFonts w:hint="eastAsia" w:ascii="黑体" w:hAnsi="黑体" w:eastAsia="黑体" w:cs="黑体"/>
                <w:b/>
                <w:bCs/>
                <w:color w:val="auto"/>
                <w:kern w:val="0"/>
                <w:sz w:val="24"/>
                <w:szCs w:val="24"/>
                <w:lang w:val="en-US" w:eastAsia="zh-CN"/>
              </w:rPr>
              <w:t>7</w:t>
            </w:r>
            <w:r>
              <w:rPr>
                <w:rFonts w:hint="default" w:ascii="Times New Roman" w:hAnsi="Times New Roman" w:cs="Times New Roman"/>
                <w:b/>
                <w:bCs/>
                <w:color w:val="auto"/>
                <w:kern w:val="0"/>
                <w:sz w:val="24"/>
                <w:szCs w:val="24"/>
              </w:rPr>
              <w:t xml:space="preserve">  </w:t>
            </w:r>
            <w:r>
              <w:rPr>
                <w:rFonts w:hint="eastAsia" w:ascii="黑体" w:hAnsi="黑体" w:eastAsia="黑体" w:cs="黑体"/>
                <w:b/>
                <w:bCs/>
                <w:color w:val="auto"/>
                <w:kern w:val="0"/>
                <w:sz w:val="24"/>
                <w:szCs w:val="24"/>
              </w:rPr>
              <w:t>产品负面清单</w:t>
            </w:r>
          </w:p>
          <w:tbl>
            <w:tblPr>
              <w:tblStyle w:val="20"/>
              <w:tblW w:w="6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3277"/>
              <w:gridCol w:w="2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内容</w:t>
                  </w:r>
                </w:p>
              </w:tc>
              <w:tc>
                <w:tcPr>
                  <w:tcW w:w="327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禁止引入</w:t>
                  </w:r>
                </w:p>
              </w:tc>
              <w:tc>
                <w:tcPr>
                  <w:tcW w:w="287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5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产品</w:t>
                  </w:r>
                </w:p>
              </w:tc>
              <w:tc>
                <w:tcPr>
                  <w:tcW w:w="327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焦宝石等耐火材料</w:t>
                  </w:r>
                </w:p>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粘土砖项目（含实心和空心砖）、粘土瓦</w:t>
                  </w:r>
                </w:p>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水玻璃（泡花碱）</w:t>
                  </w:r>
                </w:p>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熔块及色釉料</w:t>
                  </w:r>
                </w:p>
              </w:tc>
              <w:tc>
                <w:tcPr>
                  <w:tcW w:w="287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桓台经济开发区规划产业定位、淄博市环评负面清单、《产业结构调整指导目录》（2013年修订）以及《国民经济行业分类》（GB/T4754 -2017）</w:t>
                  </w:r>
                </w:p>
              </w:tc>
            </w:tr>
          </w:tbl>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cs="Times New Roman"/>
                <w:bCs/>
                <w:color w:val="auto"/>
                <w:sz w:val="24"/>
                <w:szCs w:val="24"/>
              </w:rPr>
              <w:t>本项目产品为</w:t>
            </w:r>
            <w:r>
              <w:rPr>
                <w:rFonts w:hint="default" w:ascii="Times New Roman" w:hAnsi="Times New Roman" w:cs="Times New Roman"/>
                <w:bCs/>
                <w:color w:val="auto"/>
                <w:sz w:val="24"/>
                <w:szCs w:val="24"/>
                <w:lang w:eastAsia="zh-CN"/>
              </w:rPr>
              <w:t>新建锅炉</w:t>
            </w:r>
            <w:r>
              <w:rPr>
                <w:rFonts w:hint="default" w:ascii="Times New Roman" w:hAnsi="Times New Roman" w:cs="Times New Roman"/>
                <w:bCs/>
                <w:color w:val="auto"/>
                <w:sz w:val="24"/>
                <w:szCs w:val="24"/>
              </w:rPr>
              <w:t>，不属于桓台经济开发区环境准入负面清单，同时不属于桓台经济开发区的行业负面清单、工艺负面清单及产品负面清单。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93"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其他符合性分析</w:t>
            </w:r>
          </w:p>
        </w:tc>
        <w:tc>
          <w:tcPr>
            <w:tcW w:w="7261" w:type="dxa"/>
            <w:gridSpan w:val="4"/>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eastAsia" w:ascii="黑体" w:hAnsi="黑体" w:eastAsia="黑体" w:cs="黑体"/>
                <w:b/>
                <w:bCs/>
                <w:color w:val="auto"/>
                <w:sz w:val="24"/>
                <w:szCs w:val="24"/>
              </w:rPr>
            </w:pPr>
            <w:r>
              <w:rPr>
                <w:rFonts w:hint="eastAsia"/>
                <w:color w:val="auto"/>
                <w:lang w:val="en-US" w:eastAsia="zh-CN"/>
              </w:rPr>
              <w:t xml:space="preserve">     </w:t>
            </w:r>
            <w:r>
              <w:rPr>
                <w:rFonts w:hint="eastAsia" w:ascii="黑体" w:hAnsi="黑体" w:eastAsia="黑体" w:cs="黑体"/>
                <w:b/>
                <w:bCs/>
                <w:color w:val="auto"/>
                <w:sz w:val="24"/>
                <w:szCs w:val="24"/>
              </w:rPr>
              <w:t>1.项目与产业政策符合性分析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本项目为热力生产和供应，由《产业结构调整指导目录（2019年本）》可知，本项目不属于国家限制</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淘汰类</w:t>
            </w:r>
            <w:r>
              <w:rPr>
                <w:rFonts w:hint="default" w:ascii="Times New Roman" w:hAnsi="Times New Roman" w:eastAsia="宋体" w:cs="Times New Roman"/>
                <w:color w:val="auto"/>
                <w:sz w:val="24"/>
                <w:szCs w:val="24"/>
                <w:lang w:val="en-US" w:eastAsia="zh-CN"/>
              </w:rPr>
              <w:t>及鼓励类</w:t>
            </w:r>
            <w:r>
              <w:rPr>
                <w:rFonts w:hint="default" w:ascii="Times New Roman" w:hAnsi="Times New Roman" w:eastAsia="宋体" w:cs="Times New Roman"/>
                <w:color w:val="auto"/>
                <w:sz w:val="24"/>
                <w:szCs w:val="24"/>
              </w:rPr>
              <w:t>中提及的内容。项目</w:t>
            </w:r>
            <w:r>
              <w:rPr>
                <w:rFonts w:hint="default" w:ascii="Times New Roman" w:hAnsi="Times New Roman" w:eastAsia="宋体" w:cs="Times New Roman"/>
                <w:color w:val="auto"/>
                <w:sz w:val="24"/>
                <w:szCs w:val="24"/>
                <w:lang w:eastAsia="zh-CN"/>
              </w:rPr>
              <w:t>代码</w:t>
            </w:r>
            <w:r>
              <w:rPr>
                <w:rFonts w:hint="default" w:ascii="Times New Roman" w:hAnsi="Times New Roman" w:eastAsia="宋体" w:cs="Times New Roman"/>
                <w:color w:val="auto"/>
                <w:sz w:val="24"/>
                <w:szCs w:val="24"/>
              </w:rPr>
              <w:t>为</w:t>
            </w:r>
            <w:r>
              <w:rPr>
                <w:rFonts w:hint="default" w:ascii="Times New Roman" w:hAnsi="Times New Roman" w:eastAsia="宋体" w:cs="Times New Roman"/>
                <w:color w:val="auto"/>
                <w:sz w:val="24"/>
                <w:szCs w:val="24"/>
                <w:lang w:val="en-US" w:eastAsia="zh-CN"/>
              </w:rPr>
              <w:t>2210-370321-89-01-308802。</w:t>
            </w:r>
            <w:r>
              <w:rPr>
                <w:rFonts w:hint="default" w:ascii="Times New Roman" w:hAnsi="Times New Roman" w:eastAsia="宋体" w:cs="Times New Roman"/>
                <w:color w:val="auto"/>
                <w:sz w:val="24"/>
                <w:szCs w:val="24"/>
              </w:rPr>
              <w:t>故拟建项目可视为允许类</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综合分析，该项目符合国家及淄博市产业政策。</w:t>
            </w:r>
          </w:p>
          <w:p>
            <w:pPr>
              <w:keepNext w:val="0"/>
              <w:keepLines w:val="0"/>
              <w:pageBreakBefore w:val="0"/>
              <w:kinsoku/>
              <w:wordWrap/>
              <w:overflowPunct/>
              <w:topLinePunct w:val="0"/>
              <w:autoSpaceDE w:val="0"/>
              <w:autoSpaceDN w:val="0"/>
              <w:bidi w:val="0"/>
              <w:adjustRightInd w:val="0"/>
              <w:snapToGrid w:val="0"/>
              <w:spacing w:line="360" w:lineRule="auto"/>
              <w:ind w:firstLine="482" w:firstLineChars="200"/>
              <w:jc w:val="left"/>
              <w:textAlignment w:val="auto"/>
              <w:rPr>
                <w:rFonts w:hint="eastAsia" w:ascii="黑体" w:hAnsi="黑体" w:eastAsia="黑体" w:cs="黑体"/>
                <w:b/>
                <w:bCs/>
                <w:color w:val="auto"/>
                <w:kern w:val="0"/>
                <w:sz w:val="24"/>
                <w:szCs w:val="24"/>
              </w:rPr>
            </w:pPr>
            <w:r>
              <w:rPr>
                <w:rFonts w:hint="eastAsia" w:ascii="黑体" w:hAnsi="黑体" w:eastAsia="黑体" w:cs="黑体"/>
                <w:b/>
                <w:bCs/>
                <w:color w:val="auto"/>
                <w:kern w:val="0"/>
                <w:sz w:val="24"/>
                <w:szCs w:val="24"/>
                <w:lang w:val="en-US" w:eastAsia="zh-CN"/>
              </w:rPr>
              <w:t>2</w:t>
            </w:r>
            <w:r>
              <w:rPr>
                <w:rFonts w:hint="eastAsia" w:ascii="黑体" w:hAnsi="黑体" w:eastAsia="黑体" w:cs="黑体"/>
                <w:b/>
                <w:bCs/>
                <w:color w:val="auto"/>
                <w:kern w:val="0"/>
                <w:sz w:val="24"/>
                <w:szCs w:val="24"/>
              </w:rPr>
              <w:t>.“三线一单”符合性分析</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根据淄博市人民政府《关于印发淄博市“三线一单”生态环境分区管控方案的通知》（淄政字〔2021〕49号），本项目位于重点管控区，</w:t>
            </w:r>
            <w:r>
              <w:rPr>
                <w:rFonts w:hint="eastAsia" w:cs="Times New Roman"/>
                <w:color w:val="0000FF"/>
                <w:kern w:val="0"/>
                <w:sz w:val="24"/>
                <w:szCs w:val="24"/>
                <w:lang w:eastAsia="zh-CN"/>
              </w:rPr>
              <w:t>属于桓台县果里镇环境管控单元，环境管控单元编号：</w:t>
            </w:r>
            <w:r>
              <w:rPr>
                <w:rFonts w:hint="eastAsia" w:cs="Times New Roman"/>
                <w:color w:val="0000FF"/>
                <w:kern w:val="0"/>
                <w:sz w:val="24"/>
                <w:szCs w:val="24"/>
                <w:lang w:val="en-US" w:eastAsia="zh-CN"/>
              </w:rPr>
              <w:t>ZH37032120009</w:t>
            </w:r>
            <w:r>
              <w:rPr>
                <w:rFonts w:hint="eastAsia" w:cs="Times New Roman"/>
                <w:color w:val="auto"/>
                <w:kern w:val="0"/>
                <w:sz w:val="24"/>
                <w:szCs w:val="24"/>
                <w:lang w:eastAsia="zh-CN"/>
              </w:rPr>
              <w:t>，</w:t>
            </w:r>
            <w:r>
              <w:rPr>
                <w:rFonts w:hint="default" w:ascii="Times New Roman" w:hAnsi="Times New Roman" w:eastAsia="宋体" w:cs="Times New Roman"/>
                <w:color w:val="auto"/>
                <w:kern w:val="0"/>
                <w:sz w:val="24"/>
                <w:szCs w:val="24"/>
              </w:rPr>
              <w:t>具体见附图</w:t>
            </w:r>
            <w:r>
              <w:rPr>
                <w:rFonts w:hint="eastAsia" w:cs="Times New Roman"/>
                <w:color w:val="auto"/>
                <w:kern w:val="0"/>
                <w:sz w:val="24"/>
                <w:szCs w:val="24"/>
                <w:lang w:eastAsia="zh-CN"/>
              </w:rPr>
              <w:t>四</w:t>
            </w:r>
            <w:r>
              <w:rPr>
                <w:rFonts w:hint="default" w:ascii="Times New Roman" w:hAnsi="Times New Roman" w:eastAsia="宋体" w:cs="Times New Roman"/>
                <w:color w:val="auto"/>
                <w:kern w:val="0"/>
                <w:sz w:val="24"/>
                <w:szCs w:val="24"/>
              </w:rPr>
              <w:t>，另外淄博市生态环境委员会办公室关于印发《淄博市“三线一单”生态环境准入清单》的通知（淄环委办[2021]24号）项目“三线一单”管控方案的符合性如下：</w:t>
            </w:r>
          </w:p>
          <w:p>
            <w:pPr>
              <w:keepNext w:val="0"/>
              <w:keepLines w:val="0"/>
              <w:pageBreakBefore w:val="0"/>
              <w:kinsoku/>
              <w:wordWrap/>
              <w:overflowPunct/>
              <w:topLinePunct w:val="0"/>
              <w:bidi w:val="0"/>
              <w:spacing w:line="360" w:lineRule="auto"/>
              <w:ind w:firstLine="482"/>
              <w:jc w:val="center"/>
              <w:textAlignment w:val="auto"/>
              <w:rPr>
                <w:rFonts w:hint="default" w:ascii="Times New Roman" w:hAnsi="Times New Roman" w:eastAsia="黑体" w:cs="Times New Roman"/>
                <w:b/>
                <w:bCs/>
                <w:color w:val="auto"/>
                <w:sz w:val="24"/>
                <w:szCs w:val="24"/>
              </w:rPr>
            </w:pPr>
            <w:r>
              <w:rPr>
                <w:rFonts w:hint="default" w:ascii="Times New Roman" w:hAnsi="Times New Roman" w:eastAsia="黑体" w:cs="Times New Roman"/>
                <w:b/>
                <w:bCs/>
                <w:color w:val="auto"/>
                <w:sz w:val="24"/>
                <w:szCs w:val="24"/>
              </w:rPr>
              <w:t>表</w:t>
            </w:r>
            <w:r>
              <w:rPr>
                <w:rFonts w:hint="eastAsia" w:eastAsia="黑体" w:cs="Times New Roman"/>
                <w:b/>
                <w:bCs/>
                <w:color w:val="auto"/>
                <w:sz w:val="24"/>
                <w:szCs w:val="24"/>
                <w:lang w:val="en-US" w:eastAsia="zh-CN"/>
              </w:rPr>
              <w:t>8</w:t>
            </w:r>
            <w:r>
              <w:rPr>
                <w:rFonts w:hint="eastAsia" w:ascii="Times New Roman" w:hAnsi="Times New Roman" w:eastAsia="黑体" w:cs="Times New Roman"/>
                <w:b/>
                <w:bCs/>
                <w:color w:val="auto"/>
                <w:sz w:val="24"/>
                <w:szCs w:val="24"/>
                <w:lang w:val="en-US" w:eastAsia="zh-CN"/>
              </w:rPr>
              <w:t xml:space="preserve"> </w:t>
            </w:r>
            <w:r>
              <w:rPr>
                <w:rFonts w:hint="default" w:ascii="Times New Roman" w:hAnsi="Times New Roman" w:eastAsia="黑体" w:cs="Times New Roman"/>
                <w:b/>
                <w:bCs/>
                <w:color w:val="auto"/>
                <w:sz w:val="24"/>
                <w:szCs w:val="24"/>
              </w:rPr>
              <w:t xml:space="preserve"> “三线一单”政策符合性</w:t>
            </w:r>
          </w:p>
          <w:tbl>
            <w:tblPr>
              <w:tblStyle w:val="20"/>
              <w:tblW w:w="680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1"/>
              <w:gridCol w:w="194"/>
              <w:gridCol w:w="181"/>
              <w:gridCol w:w="4043"/>
              <w:gridCol w:w="190"/>
              <w:gridCol w:w="1246"/>
              <w:gridCol w:w="2"/>
              <w:gridCol w:w="3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03" w:type="dxa"/>
                  <w:gridSpan w:val="8"/>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《淄博市人民政府关于印发淄博市“三线一单”生态环境分区管控方案的通知》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gridSpan w:val="2"/>
                  <w:vMerge w:val="restart"/>
                  <w:tcBorders>
                    <w:tl2br w:val="nil"/>
                    <w:tr2bl w:val="nil"/>
                  </w:tcBorders>
                  <w:noWrap w:val="0"/>
                  <w:vAlign w:val="center"/>
                </w:tcPr>
                <w:p>
                  <w:pPr>
                    <w:keepNext w:val="0"/>
                    <w:keepLines w:val="0"/>
                    <w:pageBreakBefore w:val="0"/>
                    <w:numPr>
                      <w:ilvl w:val="0"/>
                      <w:numId w:val="1"/>
                    </w:numPr>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构建生态</w:t>
                  </w:r>
                </w:p>
                <w:p>
                  <w:pPr>
                    <w:keepNext w:val="0"/>
                    <w:keepLines w:val="0"/>
                    <w:pageBreakBefore w:val="0"/>
                    <w:numPr>
                      <w:ilvl w:val="0"/>
                      <w:numId w:val="1"/>
                    </w:numPr>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环境分区管控体系--重点管控单元</w:t>
                  </w:r>
                </w:p>
              </w:tc>
              <w:tc>
                <w:tcPr>
                  <w:tcW w:w="4414" w:type="dxa"/>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空间布局管控要求。优化完善区域产业布局，合理布局各类工业项目。坚决淘汰落后产能，聚焦“高耗能、高污染、高排放、高风险”低效落后产能，进一步健全并严格落实环保、安全、技术、能耗、效益标准，分类组织实施转移、压减、整合、关停任务。坚决改造提升传统产业，聚焦“四强”产业，实施产业攀登计划，加快传统产业绿色化升级改造，形成高端引领、链条完整、生态完善、效益显著的产业发展格局。在满足产业准入、总量控制、排放标准等管理制度要求的前提下，实行工业项目进工业园区或聚集区，集约高效发展。从严审批“两高”建设项目，严格落实产能、煤炭、能耗等置换要求；加快推进“散乱污”企业搬迁入园或关闭退出。</w:t>
                  </w:r>
                </w:p>
              </w:tc>
              <w:tc>
                <w:tcPr>
                  <w:tcW w:w="124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本项目用地为工业用地，符合国家和淄博市</w:t>
                  </w:r>
                  <w:r>
                    <w:rPr>
                      <w:rFonts w:hint="eastAsia" w:cs="Times New Roman"/>
                      <w:color w:val="auto"/>
                      <w:sz w:val="21"/>
                      <w:szCs w:val="21"/>
                      <w:lang w:val="en-US" w:eastAsia="zh-CN"/>
                    </w:rPr>
                    <w:t xml:space="preserve"> </w:t>
                  </w:r>
                  <w:r>
                    <w:rPr>
                      <w:rFonts w:hint="default" w:ascii="Times New Roman" w:hAnsi="Times New Roman" w:eastAsia="宋体" w:cs="Times New Roman"/>
                      <w:color w:val="auto"/>
                      <w:sz w:val="21"/>
                      <w:szCs w:val="21"/>
                    </w:rPr>
                    <w:t>的产业政策</w:t>
                  </w:r>
                </w:p>
              </w:tc>
              <w:tc>
                <w:tcPr>
                  <w:tcW w:w="398"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p>
              </w:tc>
              <w:tc>
                <w:tcPr>
                  <w:tcW w:w="4414" w:type="dxa"/>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污染物排放管控要求。落实污染物总量控制制度，根据区域环境质量改善目标，削减污染物排放总量。严格执行国家及省相关排放标准，新建工业项目污染物排放水平达到同行业国内先进水平，对主要污染物排放指标实施总量等量或倍量置换。加快污水收集处理设施建设与提质增效，逐步完善城乡污水管网，实施雨污分流改造。加强挥发性有机物、臭气异味防治和餐饮油烟治理，严格施工扬尘监管。加强土壤和地下水污染防治与修复。</w:t>
                  </w:r>
                </w:p>
              </w:tc>
              <w:tc>
                <w:tcPr>
                  <w:tcW w:w="124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本项目污染物达标排放，按要求执行污染物总量倍量替代</w:t>
                  </w:r>
                </w:p>
              </w:tc>
              <w:tc>
                <w:tcPr>
                  <w:tcW w:w="398"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p>
              </w:tc>
              <w:tc>
                <w:tcPr>
                  <w:tcW w:w="4414" w:type="dxa"/>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——环境风险防控要求。加强风险防控体系建设，强</w:t>
                  </w:r>
                  <w:r>
                    <w:rPr>
                      <w:rFonts w:hint="default" w:ascii="Times New Roman" w:hAnsi="Times New Roman" w:eastAsia="宋体" w:cs="Times New Roman"/>
                      <w:bCs/>
                      <w:color w:val="auto"/>
                      <w:sz w:val="21"/>
                      <w:szCs w:val="21"/>
                    </w:rPr>
                    <w:cr/>
                  </w:r>
                  <w:r>
                    <w:rPr>
                      <w:rFonts w:hint="default" w:ascii="Times New Roman" w:hAnsi="Times New Roman" w:eastAsia="宋体" w:cs="Times New Roman"/>
                      <w:bCs/>
                      <w:color w:val="auto"/>
                      <w:sz w:val="21"/>
                      <w:szCs w:val="21"/>
                    </w:rPr>
                    <w:t>工业园区和聚集区内企业环境风险防范设施建设和正常运行监管，加强重点环境风险监控企业应急预案制定，建立企业隐患排查整治常态化监管机制。</w:t>
                  </w:r>
                </w:p>
              </w:tc>
              <w:tc>
                <w:tcPr>
                  <w:tcW w:w="124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本项目制定相关风险防范措施，减小事故的发生几率</w:t>
                  </w:r>
                </w:p>
              </w:tc>
              <w:tc>
                <w:tcPr>
                  <w:tcW w:w="398"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p>
              </w:tc>
              <w:tc>
                <w:tcPr>
                  <w:tcW w:w="4414" w:type="dxa"/>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能源资源利用要求。推进工业园区和聚集区生态化改造，强化企业清洁生产改造，推进节水型企业、节水型工业园区建设，落实煤炭消费减量替代要求，鼓励使用清洁能源，提高资源能源利用效率。禁燃区内禁止新、改、扩建燃用高污染燃料的项目和设施，已建成的应依法限期改用天然气、电或者其他清洁能源。推广使用清洁能源车。因地制宜推进冬季清洁取暖。</w:t>
                  </w:r>
                </w:p>
              </w:tc>
              <w:tc>
                <w:tcPr>
                  <w:tcW w:w="124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eastAsia" w:cs="Times New Roman"/>
                      <w:color w:val="auto"/>
                      <w:sz w:val="21"/>
                      <w:szCs w:val="21"/>
                      <w:lang w:eastAsia="zh-CN"/>
                    </w:rPr>
                    <w:t>燃料</w:t>
                  </w:r>
                  <w:r>
                    <w:rPr>
                      <w:rFonts w:hint="default" w:ascii="Times New Roman" w:hAnsi="Times New Roman" w:eastAsia="宋体" w:cs="Times New Roman"/>
                      <w:color w:val="auto"/>
                      <w:sz w:val="21"/>
                      <w:szCs w:val="21"/>
                    </w:rPr>
                    <w:t>采用天然气，污染物达标排放</w:t>
                  </w:r>
                </w:p>
              </w:tc>
              <w:tc>
                <w:tcPr>
                  <w:tcW w:w="398"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03" w:type="dxa"/>
                  <w:gridSpan w:val="8"/>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关于印发《淄博市“三线一单”生态环境准入清单》的通知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551"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桓台经济开发区（重点管控单元）</w:t>
                  </w:r>
                </w:p>
              </w:tc>
              <w:tc>
                <w:tcPr>
                  <w:tcW w:w="375" w:type="dxa"/>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404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禁止新建、扩建《产业结构调整指导目录》（现行）明确的淘汰类项目和引入《市场准入负面清单》（现行）禁止准入类事项；鼓励对列入《产业结构调整指导目录》的限制类、淘汰类工业项目进行淘汰和提升改造。</w:t>
                  </w:r>
                </w:p>
              </w:tc>
              <w:tc>
                <w:tcPr>
                  <w:tcW w:w="1438" w:type="dxa"/>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本项目在现有厂区内建设，不新增用地，项目建设符合国家产业政策 </w:t>
                  </w:r>
                </w:p>
              </w:tc>
              <w:tc>
                <w:tcPr>
                  <w:tcW w:w="3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55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p>
              </w:tc>
              <w:tc>
                <w:tcPr>
                  <w:tcW w:w="375" w:type="dxa"/>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p>
              </w:tc>
              <w:tc>
                <w:tcPr>
                  <w:tcW w:w="404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2.严格控制钢铁、焦化、电解铝、水泥和平板玻璃等行业新增产能，列入去产能的煤电、钢铁等企业按期退出。</w:t>
                  </w:r>
                </w:p>
              </w:tc>
              <w:tc>
                <w:tcPr>
                  <w:tcW w:w="1438" w:type="dxa"/>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项目属于</w:t>
                  </w:r>
                  <w:r>
                    <w:rPr>
                      <w:rFonts w:hint="default" w:ascii="Times New Roman" w:hAnsi="Times New Roman" w:eastAsia="宋体" w:cs="Times New Roman"/>
                      <w:color w:val="auto"/>
                      <w:sz w:val="21"/>
                      <w:szCs w:val="21"/>
                      <w:lang w:eastAsia="zh-CN"/>
                    </w:rPr>
                    <w:t>热力生产</w:t>
                  </w:r>
                </w:p>
              </w:tc>
              <w:tc>
                <w:tcPr>
                  <w:tcW w:w="3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55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p>
              </w:tc>
              <w:tc>
                <w:tcPr>
                  <w:tcW w:w="375" w:type="dxa"/>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p>
              </w:tc>
              <w:tc>
                <w:tcPr>
                  <w:tcW w:w="404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 xml:space="preserve">3.强化规划、规划环评引领指导作用，科学规划建设工业园区，优化工业布局，引导符合园区产业定位的工业企业入驻，实现集中供热、供水、供气，实施水资源分类循环利用和水污染集中治理；禁止准入园区规划及规划环评中不允许进入的生产工艺或工业项目。 </w:t>
                  </w:r>
                </w:p>
              </w:tc>
              <w:tc>
                <w:tcPr>
                  <w:tcW w:w="1438" w:type="dxa"/>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项目不属于园区</w:t>
                  </w:r>
                  <w:r>
                    <w:rPr>
                      <w:rFonts w:hint="default" w:ascii="Times New Roman" w:hAnsi="Times New Roman" w:eastAsia="宋体" w:cs="Times New Roman"/>
                      <w:bCs/>
                      <w:color w:val="auto"/>
                      <w:sz w:val="21"/>
                      <w:szCs w:val="21"/>
                    </w:rPr>
                    <w:t>规划及规划环评中不允许进入的生产工艺或工业项目</w:t>
                  </w:r>
                  <w:r>
                    <w:rPr>
                      <w:rFonts w:hint="default" w:ascii="Times New Roman" w:hAnsi="Times New Roman" w:eastAsia="宋体" w:cs="Times New Roman"/>
                      <w:color w:val="auto"/>
                      <w:sz w:val="21"/>
                      <w:szCs w:val="21"/>
                    </w:rPr>
                    <w:t xml:space="preserve"> </w:t>
                  </w:r>
                </w:p>
              </w:tc>
              <w:tc>
                <w:tcPr>
                  <w:tcW w:w="3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55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p>
              </w:tc>
              <w:tc>
                <w:tcPr>
                  <w:tcW w:w="375" w:type="dxa"/>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p>
              </w:tc>
              <w:tc>
                <w:tcPr>
                  <w:tcW w:w="404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4.大气、安全防护距离内禁止建设商业住宅、医 院、学校、养老机构等敏感机构。</w:t>
                  </w:r>
                </w:p>
              </w:tc>
              <w:tc>
                <w:tcPr>
                  <w:tcW w:w="1438" w:type="dxa"/>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项目不设置大气防护距离，安全防护距离内无敏感目标</w:t>
                  </w:r>
                </w:p>
              </w:tc>
              <w:tc>
                <w:tcPr>
                  <w:tcW w:w="3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55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p>
              </w:tc>
              <w:tc>
                <w:tcPr>
                  <w:tcW w:w="375" w:type="dxa"/>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p>
              </w:tc>
              <w:tc>
                <w:tcPr>
                  <w:tcW w:w="404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5.按《山东省水利厅关于公布我省地下水限采区和禁采区的通知》要求，执行超采区管控要求。</w:t>
                  </w:r>
                </w:p>
              </w:tc>
              <w:tc>
                <w:tcPr>
                  <w:tcW w:w="1438" w:type="dxa"/>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项目用水来自园区管网。</w:t>
                  </w:r>
                </w:p>
              </w:tc>
              <w:tc>
                <w:tcPr>
                  <w:tcW w:w="3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55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p>
              </w:tc>
              <w:tc>
                <w:tcPr>
                  <w:tcW w:w="375" w:type="dxa"/>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污染物排放管控</w:t>
                  </w:r>
                </w:p>
              </w:tc>
              <w:tc>
                <w:tcPr>
                  <w:tcW w:w="404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rPr>
                    <w:t xml:space="preserve">1.严格控制“两高”项目，确需建设的需严格执行产能、煤耗、能耗、碳排放、污染物排放减量替代制度。 </w:t>
                  </w:r>
                </w:p>
              </w:tc>
              <w:tc>
                <w:tcPr>
                  <w:tcW w:w="1438" w:type="dxa"/>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本项目不属于“两高”项目</w:t>
                  </w:r>
                </w:p>
              </w:tc>
              <w:tc>
                <w:tcPr>
                  <w:tcW w:w="3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55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p>
              </w:tc>
              <w:tc>
                <w:tcPr>
                  <w:tcW w:w="375" w:type="dxa"/>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p>
              </w:tc>
              <w:tc>
                <w:tcPr>
                  <w:tcW w:w="404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2.落实主要污染物总量控制和排污许可制度。新（改、扩）建工业项目生产工艺应达到国内先进水平，主要污染物治理要达到国内同行业先进水平，实施主要污染物总量等量或倍量替代。</w:t>
                  </w:r>
                </w:p>
              </w:tc>
              <w:tc>
                <w:tcPr>
                  <w:tcW w:w="1438" w:type="dxa"/>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本项目执行污染物总量控制和排污许可制度；严格执行污染物倍量替代</w:t>
                  </w:r>
                </w:p>
              </w:tc>
              <w:tc>
                <w:tcPr>
                  <w:tcW w:w="3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5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p>
              </w:tc>
              <w:tc>
                <w:tcPr>
                  <w:tcW w:w="375" w:type="dxa"/>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p>
              </w:tc>
              <w:tc>
                <w:tcPr>
                  <w:tcW w:w="404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3.废水应当按照分类收集、分质处理的要求进行预处理，达到行业排放标准或是综合排放标准后方可排放。</w:t>
                  </w:r>
                </w:p>
              </w:tc>
              <w:tc>
                <w:tcPr>
                  <w:tcW w:w="1438" w:type="dxa"/>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项目废水分类分质处理，经</w:t>
                  </w:r>
                  <w:r>
                    <w:rPr>
                      <w:rFonts w:hint="default" w:ascii="Times New Roman" w:hAnsi="Times New Roman" w:cs="Times New Roman"/>
                      <w:color w:val="auto"/>
                      <w:sz w:val="21"/>
                      <w:szCs w:val="21"/>
                      <w:lang w:eastAsia="zh-CN"/>
                    </w:rPr>
                    <w:t>海奥斯</w:t>
                  </w:r>
                  <w:r>
                    <w:rPr>
                      <w:rFonts w:hint="default" w:ascii="Times New Roman" w:hAnsi="Times New Roman" w:eastAsia="宋体" w:cs="Times New Roman"/>
                      <w:color w:val="auto"/>
                      <w:sz w:val="21"/>
                      <w:szCs w:val="21"/>
                    </w:rPr>
                    <w:t>污水处理</w:t>
                  </w:r>
                  <w:r>
                    <w:rPr>
                      <w:rFonts w:hint="default" w:ascii="Times New Roman" w:hAnsi="Times New Roman" w:cs="Times New Roman"/>
                      <w:color w:val="auto"/>
                      <w:sz w:val="21"/>
                      <w:szCs w:val="21"/>
                      <w:lang w:eastAsia="zh-CN"/>
                    </w:rPr>
                    <w:t>站</w:t>
                  </w:r>
                  <w:r>
                    <w:rPr>
                      <w:rFonts w:hint="default" w:ascii="Times New Roman" w:hAnsi="Times New Roman" w:eastAsia="宋体" w:cs="Times New Roman"/>
                      <w:color w:val="auto"/>
                      <w:sz w:val="21"/>
                      <w:szCs w:val="21"/>
                    </w:rPr>
                    <w:t>处理</w:t>
                  </w:r>
                  <w:r>
                    <w:rPr>
                      <w:rFonts w:hint="default" w:ascii="Times New Roman" w:hAnsi="Times New Roman" w:cs="Times New Roman"/>
                      <w:color w:val="auto"/>
                      <w:sz w:val="21"/>
                      <w:szCs w:val="21"/>
                      <w:lang w:eastAsia="zh-CN"/>
                    </w:rPr>
                    <w:t>后</w:t>
                  </w:r>
                  <w:r>
                    <w:rPr>
                      <w:rFonts w:hint="default" w:ascii="Times New Roman" w:hAnsi="Times New Roman" w:eastAsia="宋体" w:cs="Times New Roman"/>
                      <w:color w:val="auto"/>
                      <w:sz w:val="21"/>
                      <w:szCs w:val="21"/>
                    </w:rPr>
                    <w:t>达标排放</w:t>
                  </w:r>
                </w:p>
              </w:tc>
              <w:tc>
                <w:tcPr>
                  <w:tcW w:w="3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55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p>
              </w:tc>
              <w:tc>
                <w:tcPr>
                  <w:tcW w:w="375" w:type="dxa"/>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p>
              </w:tc>
              <w:tc>
                <w:tcPr>
                  <w:tcW w:w="404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4.禁止工业废水和生活污水未经处理直排环境；原则上除工业污水集中处理设施、城镇污水处理厂外不得新建入河排污口。</w:t>
                  </w:r>
                </w:p>
              </w:tc>
              <w:tc>
                <w:tcPr>
                  <w:tcW w:w="1438" w:type="dxa"/>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项目废水经处理达标后排入市政管网，不直排</w:t>
                  </w:r>
                </w:p>
              </w:tc>
              <w:tc>
                <w:tcPr>
                  <w:tcW w:w="3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55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p>
              </w:tc>
              <w:tc>
                <w:tcPr>
                  <w:tcW w:w="375" w:type="dxa"/>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p>
              </w:tc>
              <w:tc>
                <w:tcPr>
                  <w:tcW w:w="404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5.工业园区污水集中处理设施应当具备相应的处理能力并正常运行，保证工业园区的外排废水稳定达标，不能稳定达标的，工业园区不得建设新增水污染物排放的项目（污水集中处理设施除外）。</w:t>
                  </w:r>
                </w:p>
              </w:tc>
              <w:tc>
                <w:tcPr>
                  <w:tcW w:w="1438" w:type="dxa"/>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光大水务（淄博）有限公司水质净化(三分厂)有余量处理项目产生的废水且排水能够稳定达标</w:t>
                  </w:r>
                </w:p>
              </w:tc>
              <w:tc>
                <w:tcPr>
                  <w:tcW w:w="3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55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p>
              </w:tc>
              <w:tc>
                <w:tcPr>
                  <w:tcW w:w="375" w:type="dxa"/>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p>
              </w:tc>
              <w:tc>
                <w:tcPr>
                  <w:tcW w:w="40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tLeast"/>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 xml:space="preserve">6.落实园区污染物总量控制制度，加强车间、料仓等密闭，负压收集、处置，减少无组织排放。 </w:t>
                  </w:r>
                </w:p>
              </w:tc>
              <w:tc>
                <w:tcPr>
                  <w:tcW w:w="1438" w:type="dxa"/>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项目污染物产生量少</w:t>
                  </w:r>
                </w:p>
              </w:tc>
              <w:tc>
                <w:tcPr>
                  <w:tcW w:w="3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55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p>
              </w:tc>
              <w:tc>
                <w:tcPr>
                  <w:tcW w:w="375" w:type="dxa"/>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p>
              </w:tc>
              <w:tc>
                <w:tcPr>
                  <w:tcW w:w="404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7.化工、包装印刷、表面涂装、建材、塑料加工等严格按照淄博市行业环境管控要求，实施源头替代，建立健全治理设施，确保污染物稳定达标排放，做到持证排污。</w:t>
                  </w:r>
                </w:p>
              </w:tc>
              <w:tc>
                <w:tcPr>
                  <w:tcW w:w="1438" w:type="dxa"/>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项目不属于上述行业</w:t>
                  </w:r>
                </w:p>
              </w:tc>
              <w:tc>
                <w:tcPr>
                  <w:tcW w:w="3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55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p>
              </w:tc>
              <w:tc>
                <w:tcPr>
                  <w:tcW w:w="375" w:type="dxa"/>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环境风险管控</w:t>
                  </w:r>
                </w:p>
              </w:tc>
              <w:tc>
                <w:tcPr>
                  <w:tcW w:w="404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1.紧邻居住、科教、医院等环境敏感点的工业用地，禁止新建环境风险潜势等级高建设项目。</w:t>
                  </w:r>
                </w:p>
              </w:tc>
              <w:tc>
                <w:tcPr>
                  <w:tcW w:w="1438" w:type="dxa"/>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本项目距离山东工业职业学院</w:t>
                  </w:r>
                  <w:r>
                    <w:rPr>
                      <w:rFonts w:hint="eastAsia" w:cs="Times New Roman"/>
                      <w:color w:val="auto"/>
                      <w:sz w:val="21"/>
                      <w:szCs w:val="21"/>
                      <w:lang w:val="en-US" w:eastAsia="zh-CN"/>
                    </w:rPr>
                    <w:t>400</w:t>
                  </w:r>
                  <w:r>
                    <w:rPr>
                      <w:rFonts w:hint="default" w:ascii="Times New Roman" w:hAnsi="Times New Roman" w:eastAsia="宋体" w:cs="Times New Roman"/>
                      <w:color w:val="auto"/>
                      <w:sz w:val="21"/>
                      <w:szCs w:val="21"/>
                    </w:rPr>
                    <w:t>米，且项目环境风险潜势较低</w:t>
                  </w:r>
                </w:p>
              </w:tc>
              <w:tc>
                <w:tcPr>
                  <w:tcW w:w="3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55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p>
              </w:tc>
              <w:tc>
                <w:tcPr>
                  <w:tcW w:w="375" w:type="dxa"/>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p>
              </w:tc>
              <w:tc>
                <w:tcPr>
                  <w:tcW w:w="404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 xml:space="preserve">2.重点企业应采取防腐防渗等有效措施，建立完善三级防护体系，防止因渗漏污染土壤、地下水以及因事故废水直排污染地表水。  </w:t>
                  </w:r>
                </w:p>
              </w:tc>
              <w:tc>
                <w:tcPr>
                  <w:tcW w:w="1438" w:type="dxa"/>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企业</w:t>
                  </w:r>
                  <w:r>
                    <w:rPr>
                      <w:rFonts w:hint="default" w:ascii="Times New Roman" w:hAnsi="Times New Roman" w:cs="Times New Roman"/>
                      <w:color w:val="auto"/>
                      <w:sz w:val="21"/>
                      <w:szCs w:val="21"/>
                      <w:lang w:eastAsia="zh-CN"/>
                    </w:rPr>
                    <w:t>现有厂区内已建立完善的三级防护</w:t>
                  </w:r>
                  <w:r>
                    <w:rPr>
                      <w:rFonts w:hint="default" w:ascii="Times New Roman" w:hAnsi="Times New Roman" w:eastAsia="宋体" w:cs="Times New Roman"/>
                      <w:color w:val="auto"/>
                      <w:sz w:val="21"/>
                      <w:szCs w:val="21"/>
                    </w:rPr>
                    <w:t>，厂区内采取防腐防渗措施</w:t>
                  </w:r>
                </w:p>
              </w:tc>
              <w:tc>
                <w:tcPr>
                  <w:tcW w:w="3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55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p>
              </w:tc>
              <w:tc>
                <w:tcPr>
                  <w:tcW w:w="375" w:type="dxa"/>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p>
              </w:tc>
              <w:tc>
                <w:tcPr>
                  <w:tcW w:w="404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 xml:space="preserve">3.企业应按照《企业事业单位突发环境事件应急预案备案管理办法（试行）》等要求，依法依规编制环境应急预案并定期开展演练。 </w:t>
                  </w:r>
                </w:p>
              </w:tc>
              <w:tc>
                <w:tcPr>
                  <w:tcW w:w="1438" w:type="dxa"/>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企业按照要求执行</w:t>
                  </w:r>
                </w:p>
              </w:tc>
              <w:tc>
                <w:tcPr>
                  <w:tcW w:w="3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55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p>
              </w:tc>
              <w:tc>
                <w:tcPr>
                  <w:tcW w:w="375" w:type="dxa"/>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p>
              </w:tc>
              <w:tc>
                <w:tcPr>
                  <w:tcW w:w="404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 xml:space="preserve">4.建立各企业危险废物的贮存、申报、经营许可、转移及处置管理制度，并负责对危废相应活动的全程监管和环境安全保障。 </w:t>
                  </w:r>
                </w:p>
              </w:tc>
              <w:tc>
                <w:tcPr>
                  <w:tcW w:w="1438" w:type="dxa"/>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按照要求执行</w:t>
                  </w:r>
                </w:p>
              </w:tc>
              <w:tc>
                <w:tcPr>
                  <w:tcW w:w="3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55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p>
              </w:tc>
              <w:tc>
                <w:tcPr>
                  <w:tcW w:w="375" w:type="dxa"/>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p>
              </w:tc>
              <w:tc>
                <w:tcPr>
                  <w:tcW w:w="404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rPr>
                    <w:t xml:space="preserve">5.定期对地下水进行检测。 </w:t>
                  </w:r>
                </w:p>
              </w:tc>
              <w:tc>
                <w:tcPr>
                  <w:tcW w:w="1438" w:type="dxa"/>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按照要求执行</w:t>
                  </w:r>
                </w:p>
              </w:tc>
              <w:tc>
                <w:tcPr>
                  <w:tcW w:w="3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5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p>
              </w:tc>
              <w:tc>
                <w:tcPr>
                  <w:tcW w:w="375" w:type="dxa"/>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p>
              </w:tc>
              <w:tc>
                <w:tcPr>
                  <w:tcW w:w="404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6.强化管理，防范环境突发事件。</w:t>
                  </w:r>
                </w:p>
              </w:tc>
              <w:tc>
                <w:tcPr>
                  <w:tcW w:w="1438" w:type="dxa"/>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按照要求执行</w:t>
                  </w:r>
                </w:p>
              </w:tc>
              <w:tc>
                <w:tcPr>
                  <w:tcW w:w="3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5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p>
              </w:tc>
              <w:tc>
                <w:tcPr>
                  <w:tcW w:w="375" w:type="dxa"/>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资源开发效率要求</w:t>
                  </w:r>
                </w:p>
              </w:tc>
              <w:tc>
                <w:tcPr>
                  <w:tcW w:w="404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left"/>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0"/>
                      <w:sz w:val="21"/>
                      <w:szCs w:val="21"/>
                    </w:rPr>
                    <w:t>1.未经许可不得开采地下水，执行浅层地下水限采区管理规定。</w:t>
                  </w:r>
                </w:p>
              </w:tc>
              <w:tc>
                <w:tcPr>
                  <w:tcW w:w="1438" w:type="dxa"/>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项目用水来自园区管网</w:t>
                  </w:r>
                </w:p>
              </w:tc>
              <w:tc>
                <w:tcPr>
                  <w:tcW w:w="3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5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p>
              </w:tc>
              <w:tc>
                <w:tcPr>
                  <w:tcW w:w="375" w:type="dxa"/>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p>
              </w:tc>
              <w:tc>
                <w:tcPr>
                  <w:tcW w:w="404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2.严格执行《产业园区水的分类使用及循环利用原则和要求》（GB/T36575-2018）。</w:t>
                  </w:r>
                </w:p>
              </w:tc>
              <w:tc>
                <w:tcPr>
                  <w:tcW w:w="1438" w:type="dxa"/>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按照要求执行</w:t>
                  </w:r>
                </w:p>
              </w:tc>
              <w:tc>
                <w:tcPr>
                  <w:tcW w:w="3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5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p>
              </w:tc>
              <w:tc>
                <w:tcPr>
                  <w:tcW w:w="375" w:type="dxa"/>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p>
              </w:tc>
              <w:tc>
                <w:tcPr>
                  <w:tcW w:w="404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3.调整能源利用结构，控制煤炭消费量，实现减量化，鼓励使用清洁能源、新能源和可再生能源。</w:t>
                  </w:r>
                </w:p>
              </w:tc>
              <w:tc>
                <w:tcPr>
                  <w:tcW w:w="1438" w:type="dxa"/>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r>
                    <w:rPr>
                      <w:rFonts w:hint="eastAsia" w:cs="Times New Roman"/>
                      <w:color w:val="auto"/>
                      <w:sz w:val="21"/>
                      <w:szCs w:val="21"/>
                      <w:lang w:eastAsia="zh-CN"/>
                    </w:rPr>
                    <w:t>使</w:t>
                  </w:r>
                  <w:r>
                    <w:rPr>
                      <w:rFonts w:hint="default" w:ascii="Times New Roman" w:hAnsi="Times New Roman" w:eastAsia="宋体" w:cs="Times New Roman"/>
                      <w:color w:val="auto"/>
                      <w:sz w:val="21"/>
                      <w:szCs w:val="21"/>
                    </w:rPr>
                    <w:t>用天然气，属于清洁能源</w:t>
                  </w:r>
                </w:p>
              </w:tc>
              <w:tc>
                <w:tcPr>
                  <w:tcW w:w="3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55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p>
              </w:tc>
              <w:tc>
                <w:tcPr>
                  <w:tcW w:w="375" w:type="dxa"/>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p>
              </w:tc>
              <w:tc>
                <w:tcPr>
                  <w:tcW w:w="404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4.提升土地集约化水平</w:t>
                  </w:r>
                </w:p>
              </w:tc>
              <w:tc>
                <w:tcPr>
                  <w:tcW w:w="1438" w:type="dxa"/>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项目在现有厂区建设，不新增土地</w:t>
                  </w:r>
                </w:p>
              </w:tc>
              <w:tc>
                <w:tcPr>
                  <w:tcW w:w="3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55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p>
              </w:tc>
              <w:tc>
                <w:tcPr>
                  <w:tcW w:w="375" w:type="dxa"/>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textAlignment w:val="auto"/>
                    <w:rPr>
                      <w:rFonts w:hint="default" w:ascii="Times New Roman" w:hAnsi="Times New Roman" w:eastAsia="宋体" w:cs="Times New Roman"/>
                      <w:color w:val="auto"/>
                      <w:sz w:val="21"/>
                      <w:szCs w:val="21"/>
                    </w:rPr>
                  </w:pPr>
                </w:p>
              </w:tc>
              <w:tc>
                <w:tcPr>
                  <w:tcW w:w="404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4.定期开展清洁生产审核，推动现有各类产业园区和重点企业生态化、循环化改造。</w:t>
                  </w:r>
                </w:p>
              </w:tc>
              <w:tc>
                <w:tcPr>
                  <w:tcW w:w="1438" w:type="dxa"/>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按照要求执行</w:t>
                  </w:r>
                </w:p>
              </w:tc>
              <w:tc>
                <w:tcPr>
                  <w:tcW w:w="39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pPr>
              <w:keepNext w:val="0"/>
              <w:keepLines w:val="0"/>
              <w:pageBreakBefore w:val="0"/>
              <w:kinsoku/>
              <w:wordWrap/>
              <w:overflowPunct/>
              <w:topLinePunct w:val="0"/>
              <w:bidi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综上所述，本项目符合《淄博市人民政府关于印发淄博市“三线一单”生态环境分区管控方案的通知》和“关于印发《淄博市“三线一单”生态环境准入清单》的通知”的相关要求。</w:t>
            </w:r>
          </w:p>
          <w:p>
            <w:pPr>
              <w:pStyle w:val="2"/>
              <w:keepNext w:val="0"/>
              <w:keepLines w:val="0"/>
              <w:pageBreakBefore w:val="0"/>
              <w:widowControl w:val="0"/>
              <w:numPr>
                <w:ilvl w:val="0"/>
                <w:numId w:val="2"/>
              </w:numPr>
              <w:kinsoku/>
              <w:wordWrap/>
              <w:overflowPunct/>
              <w:topLinePunct w:val="0"/>
              <w:autoSpaceDE/>
              <w:autoSpaceDN/>
              <w:bidi w:val="0"/>
              <w:adjustRightInd/>
              <w:snapToGrid/>
              <w:spacing w:after="0" w:line="360" w:lineRule="auto"/>
              <w:ind w:left="0" w:leftChars="0"/>
              <w:jc w:val="left"/>
              <w:textAlignment w:val="auto"/>
              <w:rPr>
                <w:rFonts w:hint="eastAsia" w:cs="Times New Roman"/>
                <w:color w:val="0000FF"/>
                <w:sz w:val="24"/>
                <w:szCs w:val="24"/>
                <w:lang w:eastAsia="zh-CN"/>
              </w:rPr>
            </w:pPr>
            <w:r>
              <w:rPr>
                <w:rFonts w:hint="eastAsia" w:cs="Times New Roman"/>
                <w:color w:val="0000FF"/>
                <w:sz w:val="24"/>
                <w:szCs w:val="24"/>
                <w:lang w:eastAsia="zh-CN"/>
              </w:rPr>
              <w:t>本项目与《山东省新一轮“四减四增”三年行动方案（</w:t>
            </w:r>
            <w:r>
              <w:rPr>
                <w:rFonts w:hint="eastAsia" w:cs="Times New Roman"/>
                <w:color w:val="0000FF"/>
                <w:sz w:val="24"/>
                <w:szCs w:val="24"/>
                <w:lang w:val="en-US" w:eastAsia="zh-CN"/>
              </w:rPr>
              <w:t>2021-2023年</w:t>
            </w:r>
            <w:r>
              <w:rPr>
                <w:rFonts w:hint="eastAsia" w:cs="Times New Roman"/>
                <w:color w:val="0000FF"/>
                <w:sz w:val="24"/>
                <w:szCs w:val="24"/>
                <w:lang w:eastAsia="zh-CN"/>
              </w:rPr>
              <w:t>）》符合性具体见下表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color w:val="0000FF"/>
                <w:sz w:val="24"/>
                <w:szCs w:val="24"/>
                <w:lang w:val="en-US" w:eastAsia="zh-CN"/>
              </w:rPr>
            </w:pPr>
            <w:r>
              <w:rPr>
                <w:rFonts w:hint="default" w:ascii="Times New Roman" w:hAnsi="Times New Roman" w:eastAsia="黑体" w:cs="Times New Roman"/>
                <w:b/>
                <w:color w:val="0000FF"/>
                <w:sz w:val="24"/>
                <w:szCs w:val="24"/>
                <w:lang w:val="en-US" w:eastAsia="zh-CN"/>
              </w:rPr>
              <w:t>表</w:t>
            </w:r>
            <w:r>
              <w:rPr>
                <w:rFonts w:hint="eastAsia" w:eastAsia="黑体" w:cs="Times New Roman"/>
                <w:b/>
                <w:color w:val="0000FF"/>
                <w:sz w:val="24"/>
                <w:szCs w:val="24"/>
                <w:lang w:val="en-US" w:eastAsia="zh-CN"/>
              </w:rPr>
              <w:t>9</w:t>
            </w:r>
            <w:r>
              <w:rPr>
                <w:rFonts w:hint="default" w:ascii="Times New Roman" w:hAnsi="Times New Roman" w:eastAsia="黑体" w:cs="Times New Roman"/>
                <w:b/>
                <w:color w:val="0000FF"/>
                <w:sz w:val="24"/>
                <w:szCs w:val="24"/>
                <w:lang w:val="en-US" w:eastAsia="zh-CN"/>
              </w:rPr>
              <w:t>项目与《</w:t>
            </w:r>
            <w:r>
              <w:rPr>
                <w:rFonts w:hint="default" w:ascii="Times New Roman" w:hAnsi="Times New Roman" w:eastAsia="黑体" w:cs="Times New Roman"/>
                <w:b/>
                <w:bCs/>
                <w:color w:val="0000FF"/>
                <w:sz w:val="24"/>
                <w:szCs w:val="24"/>
                <w:shd w:val="clear" w:color="auto" w:fill="FFFFFF"/>
                <w:lang w:val="en-US" w:eastAsia="zh-CN"/>
              </w:rPr>
              <w:t>山东省新一轮“四减四增”三年行动方案(2021—2023年)</w:t>
            </w:r>
            <w:r>
              <w:rPr>
                <w:rFonts w:hint="default" w:ascii="Times New Roman" w:hAnsi="Times New Roman" w:eastAsia="黑体" w:cs="Times New Roman"/>
                <w:b/>
                <w:color w:val="0000FF"/>
                <w:sz w:val="24"/>
                <w:szCs w:val="24"/>
                <w:lang w:val="en-US" w:eastAsia="zh-CN"/>
              </w:rPr>
              <w:t>》符合性一览表</w:t>
            </w:r>
          </w:p>
          <w:tbl>
            <w:tblPr>
              <w:tblStyle w:val="20"/>
              <w:tblW w:w="680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7"/>
              <w:gridCol w:w="697"/>
              <w:gridCol w:w="4607"/>
              <w:gridCol w:w="9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FF"/>
                      <w:kern w:val="2"/>
                      <w:sz w:val="21"/>
                      <w:szCs w:val="21"/>
                    </w:rPr>
                  </w:pPr>
                  <w:r>
                    <w:rPr>
                      <w:rFonts w:hint="default" w:ascii="Times New Roman" w:hAnsi="Times New Roman" w:eastAsia="宋体" w:cs="Times New Roman"/>
                      <w:b/>
                      <w:bCs/>
                      <w:color w:val="0000FF"/>
                      <w:kern w:val="2"/>
                      <w:sz w:val="21"/>
                      <w:szCs w:val="21"/>
                      <w:lang w:val="en-US" w:eastAsia="zh-CN" w:bidi="ar"/>
                    </w:rPr>
                    <w:t>序号</w:t>
                  </w:r>
                </w:p>
              </w:tc>
              <w:tc>
                <w:tcPr>
                  <w:tcW w:w="5304" w:type="dxa"/>
                  <w:gridSpan w:val="2"/>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FF"/>
                      <w:kern w:val="2"/>
                      <w:sz w:val="21"/>
                      <w:szCs w:val="21"/>
                    </w:rPr>
                  </w:pPr>
                  <w:r>
                    <w:rPr>
                      <w:rFonts w:hint="eastAsia" w:ascii="Times New Roman" w:hAnsi="Times New Roman" w:eastAsia="宋体" w:cs="Arial"/>
                      <w:b/>
                      <w:bCs/>
                      <w:color w:val="0000FF"/>
                      <w:sz w:val="21"/>
                      <w:szCs w:val="21"/>
                      <w:shd w:val="clear" w:color="auto" w:fill="FFFFFF"/>
                      <w:lang w:val="en-US" w:eastAsia="zh-CN"/>
                    </w:rPr>
                    <w:t>山东省新一轮“四减四增”三年行动方案(2021—2023年)</w:t>
                  </w:r>
                </w:p>
              </w:tc>
              <w:tc>
                <w:tcPr>
                  <w:tcW w:w="983"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0000FF"/>
                      <w:kern w:val="2"/>
                      <w:sz w:val="21"/>
                      <w:szCs w:val="21"/>
                    </w:rPr>
                  </w:pPr>
                  <w:r>
                    <w:rPr>
                      <w:rFonts w:hint="default" w:ascii="Times New Roman" w:hAnsi="Times New Roman" w:eastAsia="宋体" w:cs="Times New Roman"/>
                      <w:b/>
                      <w:bCs/>
                      <w:color w:val="0000FF"/>
                      <w:kern w:val="2"/>
                      <w:sz w:val="21"/>
                      <w:szCs w:val="21"/>
                      <w:lang w:val="en-US" w:eastAsia="zh-CN" w:bidi="ar"/>
                    </w:rPr>
                    <w:t>项目符合情况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3" w:hRule="atLeast"/>
              </w:trPr>
              <w:tc>
                <w:tcPr>
                  <w:tcW w:w="517"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kern w:val="2"/>
                      <w:sz w:val="21"/>
                      <w:szCs w:val="21"/>
                      <w:lang w:val="en-US" w:eastAsia="zh-CN" w:bidi="ar"/>
                    </w:rPr>
                    <w:t>一</w:t>
                  </w:r>
                </w:p>
              </w:tc>
              <w:tc>
                <w:tcPr>
                  <w:tcW w:w="697"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kern w:val="2"/>
                      <w:sz w:val="21"/>
                      <w:szCs w:val="21"/>
                      <w:lang w:val="en-US" w:eastAsia="zh-CN" w:bidi="ar"/>
                    </w:rPr>
                    <w:t>调整产业结构</w:t>
                  </w:r>
                </w:p>
              </w:tc>
              <w:tc>
                <w:tcPr>
                  <w:tcW w:w="460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kern w:val="2"/>
                      <w:sz w:val="21"/>
                      <w:szCs w:val="21"/>
                      <w:lang w:val="en-US" w:eastAsia="zh-CN" w:bidi="ar"/>
                    </w:rPr>
                    <w:t>着力淘汰落后产能。按照省市关于利用综合标准依法依规推动落后产能退出工作方案的有关要求，以钢铁、煤炭、水泥、平板玻璃等行业为重点，通过完善综合标准体系，严格常态化执法和强制性标准实施，依法依规关停退出一批能耗、环保、安全、质量达不到标准和生产不合格产品或淘汰类产能（以上通称为落后产能）。</w:t>
                  </w:r>
                </w:p>
              </w:tc>
              <w:tc>
                <w:tcPr>
                  <w:tcW w:w="983"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kern w:val="2"/>
                      <w:sz w:val="21"/>
                      <w:szCs w:val="21"/>
                      <w:lang w:val="en-US" w:eastAsia="zh-CN" w:bidi="ar"/>
                    </w:rPr>
                    <w:t>本项目为</w:t>
                  </w:r>
                  <w:r>
                    <w:rPr>
                      <w:rFonts w:hint="eastAsia" w:cs="Times New Roman"/>
                      <w:color w:val="0000FF"/>
                      <w:kern w:val="2"/>
                      <w:sz w:val="21"/>
                      <w:szCs w:val="21"/>
                      <w:lang w:val="en-US" w:eastAsia="zh-CN" w:bidi="ar"/>
                    </w:rPr>
                    <w:t>天然气锅炉</w:t>
                  </w:r>
                  <w:r>
                    <w:rPr>
                      <w:rFonts w:hint="default" w:ascii="Times New Roman" w:hAnsi="Times New Roman" w:eastAsia="宋体" w:cs="Times New Roman"/>
                      <w:color w:val="0000FF"/>
                      <w:kern w:val="2"/>
                      <w:sz w:val="21"/>
                      <w:szCs w:val="21"/>
                      <w:lang w:val="en-US" w:eastAsia="zh-CN" w:bidi="ar"/>
                    </w:rPr>
                    <w:t>项目，不属于落后产能项目。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7" w:type="dxa"/>
                  <w:vMerge w:val="continue"/>
                  <w:tcBorders>
                    <w:tl2br w:val="nil"/>
                    <w:tr2bl w:val="nil"/>
                  </w:tcBorders>
                  <w:noWrap w:val="0"/>
                  <w:vAlign w:val="center"/>
                </w:tcPr>
                <w:p>
                  <w:pPr>
                    <w:rPr>
                      <w:rFonts w:hint="default" w:ascii="Times New Roman" w:hAnsi="Times New Roman" w:eastAsia="宋体" w:cs="Times New Roman"/>
                      <w:color w:val="0000FF"/>
                      <w:sz w:val="21"/>
                      <w:szCs w:val="21"/>
                    </w:rPr>
                  </w:pPr>
                </w:p>
              </w:tc>
              <w:tc>
                <w:tcPr>
                  <w:tcW w:w="697" w:type="dxa"/>
                  <w:vMerge w:val="continue"/>
                  <w:tcBorders>
                    <w:tl2br w:val="nil"/>
                    <w:tr2bl w:val="nil"/>
                  </w:tcBorders>
                  <w:noWrap w:val="0"/>
                  <w:vAlign w:val="center"/>
                </w:tcPr>
                <w:p>
                  <w:pPr>
                    <w:rPr>
                      <w:rFonts w:hint="default" w:ascii="Times New Roman" w:hAnsi="Times New Roman" w:eastAsia="宋体" w:cs="Times New Roman"/>
                      <w:color w:val="0000FF"/>
                      <w:sz w:val="21"/>
                      <w:szCs w:val="21"/>
                    </w:rPr>
                  </w:pPr>
                </w:p>
              </w:tc>
              <w:tc>
                <w:tcPr>
                  <w:tcW w:w="460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kern w:val="2"/>
                      <w:sz w:val="21"/>
                      <w:szCs w:val="21"/>
                      <w:lang w:val="en-US" w:eastAsia="zh-CN" w:bidi="ar"/>
                    </w:rPr>
                    <w:t>着力依法清理违法违规产能。加大已淘汰落后产能和化解过剩产能监管力度，采取“两断三清”等措施，严防已淘汰和化解的落后和过剩产能异地复产。</w:t>
                  </w:r>
                </w:p>
              </w:tc>
              <w:tc>
                <w:tcPr>
                  <w:tcW w:w="983" w:type="dxa"/>
                  <w:vMerge w:val="continue"/>
                  <w:tcBorders>
                    <w:tl2br w:val="nil"/>
                    <w:tr2bl w:val="nil"/>
                  </w:tcBorders>
                  <w:noWrap w:val="0"/>
                  <w:vAlign w:val="center"/>
                </w:tcPr>
                <w:p>
                  <w:pPr>
                    <w:rPr>
                      <w:rFonts w:hint="default" w:ascii="Times New Roman" w:hAnsi="Times New Roman" w:eastAsia="宋体" w:cs="Times New Roman"/>
                      <w:color w:val="0000FF"/>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17" w:type="dxa"/>
                  <w:vMerge w:val="continue"/>
                  <w:tcBorders>
                    <w:tl2br w:val="nil"/>
                    <w:tr2bl w:val="nil"/>
                  </w:tcBorders>
                  <w:noWrap w:val="0"/>
                  <w:vAlign w:val="center"/>
                </w:tcPr>
                <w:p>
                  <w:pPr>
                    <w:rPr>
                      <w:rFonts w:hint="default" w:ascii="Times New Roman" w:hAnsi="Times New Roman" w:eastAsia="宋体" w:cs="Times New Roman"/>
                      <w:color w:val="0000FF"/>
                      <w:sz w:val="21"/>
                      <w:szCs w:val="21"/>
                    </w:rPr>
                  </w:pPr>
                </w:p>
              </w:tc>
              <w:tc>
                <w:tcPr>
                  <w:tcW w:w="697" w:type="dxa"/>
                  <w:vMerge w:val="continue"/>
                  <w:tcBorders>
                    <w:tl2br w:val="nil"/>
                    <w:tr2bl w:val="nil"/>
                  </w:tcBorders>
                  <w:noWrap w:val="0"/>
                  <w:vAlign w:val="center"/>
                </w:tcPr>
                <w:p>
                  <w:pPr>
                    <w:rPr>
                      <w:rFonts w:hint="default" w:ascii="Times New Roman" w:hAnsi="Times New Roman" w:eastAsia="宋体" w:cs="Times New Roman"/>
                      <w:color w:val="0000FF"/>
                      <w:sz w:val="21"/>
                      <w:szCs w:val="21"/>
                    </w:rPr>
                  </w:pPr>
                </w:p>
              </w:tc>
              <w:tc>
                <w:tcPr>
                  <w:tcW w:w="460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kern w:val="2"/>
                      <w:sz w:val="21"/>
                      <w:szCs w:val="21"/>
                      <w:lang w:val="en-US" w:eastAsia="zh-CN" w:bidi="ar"/>
                    </w:rPr>
                    <w:t>着力调整高耗能高排放产业结构布局。遵循产业发展和市场经济运行规律，把钢铁、炼油、焦化、轮胎、氯碱等高耗能行业转型升级作为加快新旧动能转换的重要举措和突破口，着力破除瓶颈制约，拉伸产业链、提升价值链，努力实现高耗能行业布局优化、质量提升，推动绿色发展、高质量发展。</w:t>
                  </w:r>
                </w:p>
              </w:tc>
              <w:tc>
                <w:tcPr>
                  <w:tcW w:w="983" w:type="dxa"/>
                  <w:vMerge w:val="continue"/>
                  <w:tcBorders>
                    <w:tl2br w:val="nil"/>
                    <w:tr2bl w:val="nil"/>
                  </w:tcBorders>
                  <w:noWrap w:val="0"/>
                  <w:vAlign w:val="center"/>
                </w:tcPr>
                <w:p>
                  <w:pPr>
                    <w:rPr>
                      <w:rFonts w:hint="default" w:ascii="Times New Roman" w:hAnsi="Times New Roman" w:eastAsia="宋体" w:cs="Times New Roman"/>
                      <w:color w:val="0000FF"/>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77" w:hRule="atLeast"/>
              </w:trPr>
              <w:tc>
                <w:tcPr>
                  <w:tcW w:w="517" w:type="dxa"/>
                  <w:vMerge w:val="continue"/>
                  <w:tcBorders>
                    <w:tl2br w:val="nil"/>
                    <w:tr2bl w:val="nil"/>
                  </w:tcBorders>
                  <w:noWrap w:val="0"/>
                  <w:vAlign w:val="center"/>
                </w:tcPr>
                <w:p>
                  <w:pPr>
                    <w:rPr>
                      <w:rFonts w:hint="default" w:ascii="Times New Roman" w:hAnsi="Times New Roman" w:eastAsia="宋体" w:cs="Times New Roman"/>
                      <w:color w:val="0000FF"/>
                      <w:sz w:val="21"/>
                      <w:szCs w:val="21"/>
                    </w:rPr>
                  </w:pPr>
                </w:p>
              </w:tc>
              <w:tc>
                <w:tcPr>
                  <w:tcW w:w="697" w:type="dxa"/>
                  <w:vMerge w:val="continue"/>
                  <w:tcBorders>
                    <w:tl2br w:val="nil"/>
                    <w:tr2bl w:val="nil"/>
                  </w:tcBorders>
                  <w:noWrap w:val="0"/>
                  <w:vAlign w:val="center"/>
                </w:tcPr>
                <w:p>
                  <w:pPr>
                    <w:rPr>
                      <w:rFonts w:hint="default" w:ascii="Times New Roman" w:hAnsi="Times New Roman" w:eastAsia="宋体" w:cs="Times New Roman"/>
                      <w:color w:val="0000FF"/>
                      <w:sz w:val="21"/>
                      <w:szCs w:val="21"/>
                    </w:rPr>
                  </w:pPr>
                </w:p>
              </w:tc>
              <w:tc>
                <w:tcPr>
                  <w:tcW w:w="460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kern w:val="2"/>
                      <w:sz w:val="21"/>
                      <w:szCs w:val="21"/>
                      <w:lang w:val="en-US" w:eastAsia="zh-CN" w:bidi="ar"/>
                    </w:rPr>
                    <w:t>重大项目建设，必须首先满足环境质量“只能更好，不能变坏”的底线，严格落实污染物排放“减量替代是原则，等量替代是例外”的总量控制刚性要求，实施“上新压旧”“上大压小”“上高压低”，腾出“旧动能、小项目、低端产能污染物排放的笼子”（小项目指传统产业或污染重的小项目），换上“新动能、大项目、高端产能的鸟”，新项目一旦投产，被整合替代的老项目必须同时停产，倒逼新旧动能及时转换，杜绝“新瓶装旧酒”“新旧并存”的假转换。严禁钢铁、水泥、平板玻璃、电解铝、焦化、铸造等行业新增产能，对确有必要新建的必须实施等量或减量置换。</w:t>
                  </w:r>
                </w:p>
              </w:tc>
              <w:tc>
                <w:tcPr>
                  <w:tcW w:w="983" w:type="dxa"/>
                  <w:vMerge w:val="continue"/>
                  <w:tcBorders>
                    <w:tl2br w:val="nil"/>
                    <w:tr2bl w:val="nil"/>
                  </w:tcBorders>
                  <w:noWrap w:val="0"/>
                  <w:vAlign w:val="center"/>
                </w:tcPr>
                <w:p>
                  <w:pPr>
                    <w:rPr>
                      <w:rFonts w:hint="default" w:ascii="Times New Roman" w:hAnsi="Times New Roman" w:eastAsia="宋体" w:cs="Times New Roman"/>
                      <w:color w:val="0000FF"/>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517"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kern w:val="2"/>
                      <w:sz w:val="21"/>
                      <w:szCs w:val="21"/>
                      <w:lang w:val="en-US" w:eastAsia="zh-CN" w:bidi="ar"/>
                    </w:rPr>
                    <w:t>二</w:t>
                  </w:r>
                </w:p>
              </w:tc>
              <w:tc>
                <w:tcPr>
                  <w:tcW w:w="697"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kern w:val="2"/>
                      <w:sz w:val="21"/>
                      <w:szCs w:val="21"/>
                      <w:lang w:val="en-US" w:eastAsia="zh-CN" w:bidi="ar"/>
                    </w:rPr>
                    <w:t>调整能源结构</w:t>
                  </w:r>
                </w:p>
              </w:tc>
              <w:tc>
                <w:tcPr>
                  <w:tcW w:w="460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kern w:val="2"/>
                      <w:sz w:val="21"/>
                      <w:szCs w:val="21"/>
                      <w:lang w:val="en-US" w:eastAsia="zh-CN" w:bidi="ar"/>
                    </w:rPr>
                    <w:t>着力控制新增煤炭消费。严格控制新上耗煤项目审批、核准、备案，鼓励天然气、电力等清洁能源替代煤炭消费。</w:t>
                  </w:r>
                </w:p>
              </w:tc>
              <w:tc>
                <w:tcPr>
                  <w:tcW w:w="983"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0000FF"/>
                      <w:kern w:val="2"/>
                      <w:sz w:val="21"/>
                      <w:szCs w:val="21"/>
                      <w:lang w:val="en-US" w:eastAsia="zh-CN"/>
                    </w:rPr>
                  </w:pPr>
                  <w:r>
                    <w:rPr>
                      <w:rFonts w:hint="default" w:ascii="Times New Roman" w:hAnsi="Times New Roman" w:eastAsia="宋体" w:cs="Times New Roman"/>
                      <w:color w:val="0000FF"/>
                      <w:kern w:val="2"/>
                      <w:sz w:val="21"/>
                      <w:szCs w:val="21"/>
                      <w:lang w:val="en-US" w:eastAsia="zh-CN"/>
                    </w:rPr>
                    <w:t>项目使用天然气、电力等清洁能源，不使用煤炭。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517" w:type="dxa"/>
                  <w:vMerge w:val="continue"/>
                  <w:tcBorders>
                    <w:tl2br w:val="nil"/>
                    <w:tr2bl w:val="nil"/>
                  </w:tcBorders>
                  <w:noWrap w:val="0"/>
                  <w:vAlign w:val="center"/>
                </w:tcPr>
                <w:p>
                  <w:pPr>
                    <w:rPr>
                      <w:rFonts w:hint="default" w:ascii="Times New Roman" w:hAnsi="Times New Roman" w:eastAsia="宋体" w:cs="Times New Roman"/>
                      <w:color w:val="0000FF"/>
                      <w:sz w:val="21"/>
                      <w:szCs w:val="21"/>
                    </w:rPr>
                  </w:pPr>
                </w:p>
              </w:tc>
              <w:tc>
                <w:tcPr>
                  <w:tcW w:w="697" w:type="dxa"/>
                  <w:vMerge w:val="continue"/>
                  <w:tcBorders>
                    <w:tl2br w:val="nil"/>
                    <w:tr2bl w:val="nil"/>
                  </w:tcBorders>
                  <w:noWrap w:val="0"/>
                  <w:vAlign w:val="center"/>
                </w:tcPr>
                <w:p>
                  <w:pPr>
                    <w:rPr>
                      <w:rFonts w:hint="default" w:ascii="Times New Roman" w:hAnsi="Times New Roman" w:eastAsia="宋体" w:cs="Times New Roman"/>
                      <w:color w:val="0000FF"/>
                      <w:sz w:val="21"/>
                      <w:szCs w:val="21"/>
                    </w:rPr>
                  </w:pPr>
                </w:p>
              </w:tc>
              <w:tc>
                <w:tcPr>
                  <w:tcW w:w="460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FF"/>
                      <w:kern w:val="2"/>
                      <w:sz w:val="21"/>
                      <w:szCs w:val="21"/>
                    </w:rPr>
                  </w:pPr>
                  <w:r>
                    <w:rPr>
                      <w:rFonts w:hint="default" w:ascii="Times New Roman" w:hAnsi="Times New Roman" w:eastAsia="宋体" w:cs="Times New Roman"/>
                      <w:color w:val="0000FF"/>
                      <w:kern w:val="2"/>
                      <w:sz w:val="21"/>
                      <w:szCs w:val="21"/>
                      <w:lang w:val="en-US" w:eastAsia="zh-CN" w:bidi="ar"/>
                    </w:rPr>
                    <w:t>大力提升天然气供给能力。抓好天然气产供储销体系建设，坚持内外并重，构建多元化的天然气供应体系，积极引进液化天然气（LNG），全市2018年、2019年、2020年，天然气供气量分别达到17亿、19.4亿、21亿立方米，2020年天然气消费比重力争达到8%左右。</w:t>
                  </w:r>
                </w:p>
              </w:tc>
              <w:tc>
                <w:tcPr>
                  <w:tcW w:w="983" w:type="dxa"/>
                  <w:vMerge w:val="continue"/>
                  <w:tcBorders>
                    <w:tl2br w:val="nil"/>
                    <w:tr2bl w:val="nil"/>
                  </w:tcBorders>
                  <w:noWrap w:val="0"/>
                  <w:vAlign w:val="center"/>
                </w:tcPr>
                <w:p>
                  <w:pPr>
                    <w:rPr>
                      <w:rFonts w:hint="default" w:ascii="Times New Roman" w:hAnsi="Times New Roman" w:eastAsia="宋体" w:cs="Times New Roman"/>
                      <w:color w:val="0000FF"/>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517" w:type="dxa"/>
                  <w:tcBorders>
                    <w:tl2br w:val="nil"/>
                    <w:tr2bl w:val="nil"/>
                  </w:tcBorders>
                  <w:noWrap w:val="0"/>
                  <w:vAlign w:val="center"/>
                </w:tcPr>
                <w:p>
                  <w:pPr>
                    <w:rPr>
                      <w:rFonts w:hint="eastAsia" w:ascii="Times New Roman" w:hAnsi="Times New Roman" w:eastAsia="宋体" w:cs="Times New Roman"/>
                      <w:color w:val="0000FF"/>
                      <w:sz w:val="21"/>
                      <w:szCs w:val="21"/>
                      <w:lang w:eastAsia="zh-CN"/>
                    </w:rPr>
                  </w:pPr>
                  <w:r>
                    <w:rPr>
                      <w:rFonts w:hint="eastAsia" w:cs="Times New Roman"/>
                      <w:color w:val="0000FF"/>
                      <w:sz w:val="21"/>
                      <w:szCs w:val="21"/>
                      <w:lang w:eastAsia="zh-CN"/>
                    </w:rPr>
                    <w:t>三</w:t>
                  </w:r>
                </w:p>
              </w:tc>
              <w:tc>
                <w:tcPr>
                  <w:tcW w:w="697" w:type="dxa"/>
                  <w:tcBorders>
                    <w:tl2br w:val="nil"/>
                    <w:tr2bl w:val="nil"/>
                  </w:tcBorders>
                  <w:noWrap w:val="0"/>
                  <w:vAlign w:val="center"/>
                </w:tcPr>
                <w:p>
                  <w:pPr>
                    <w:rPr>
                      <w:rFonts w:hint="eastAsia" w:ascii="Times New Roman" w:hAnsi="Times New Roman" w:eastAsia="宋体" w:cs="Times New Roman"/>
                      <w:color w:val="0000FF"/>
                      <w:sz w:val="21"/>
                      <w:szCs w:val="21"/>
                      <w:lang w:eastAsia="zh-CN"/>
                    </w:rPr>
                  </w:pPr>
                  <w:r>
                    <w:rPr>
                      <w:rFonts w:hint="eastAsia" w:cs="Times New Roman"/>
                      <w:color w:val="0000FF"/>
                      <w:sz w:val="21"/>
                      <w:szCs w:val="21"/>
                      <w:lang w:eastAsia="zh-CN"/>
                    </w:rPr>
                    <w:t>淘汰低效落后产能</w:t>
                  </w:r>
                </w:p>
              </w:tc>
              <w:tc>
                <w:tcPr>
                  <w:tcW w:w="4607"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FF"/>
                      <w:kern w:val="2"/>
                      <w:sz w:val="21"/>
                      <w:szCs w:val="21"/>
                      <w:lang w:val="en-US" w:eastAsia="zh-CN" w:bidi="ar"/>
                    </w:rPr>
                  </w:pPr>
                  <w:r>
                    <w:rPr>
                      <w:rFonts w:hint="eastAsia" w:ascii="Times New Roman" w:hAnsi="Times New Roman" w:cs="Times New Roman"/>
                      <w:color w:val="0000FF"/>
                      <w:sz w:val="21"/>
                      <w:szCs w:val="21"/>
                      <w:lang w:val="en-US" w:eastAsia="zh-CN"/>
                    </w:rPr>
                    <w:t>实施“散乱污”企业动态清零，按照“发现一起、处置一起”的原则，实施分类整治。（省生态环境厅、省工业和信息化厅按职责分工负责）各市要制定实施方案，重点围绕再生橡胶、废旧塑料再生、砖瓦、石灰、石膏等行业，对生产工艺装备进行筛查，按照有 关法律法规和程序要求，推动低效落后产能退出</w:t>
                  </w:r>
                </w:p>
              </w:tc>
              <w:tc>
                <w:tcPr>
                  <w:tcW w:w="983" w:type="dxa"/>
                  <w:tcBorders>
                    <w:tl2br w:val="nil"/>
                    <w:tr2bl w:val="nil"/>
                  </w:tcBorders>
                  <w:noWrap w:val="0"/>
                  <w:vAlign w:val="center"/>
                </w:tcPr>
                <w:p>
                  <w:pPr>
                    <w:rPr>
                      <w:rFonts w:hint="eastAsia" w:ascii="Times New Roman" w:hAnsi="Times New Roman" w:eastAsia="宋体" w:cs="Times New Roman"/>
                      <w:color w:val="0000FF"/>
                      <w:sz w:val="21"/>
                      <w:szCs w:val="21"/>
                      <w:lang w:eastAsia="zh-CN"/>
                    </w:rPr>
                  </w:pPr>
                  <w:r>
                    <w:rPr>
                      <w:rFonts w:hint="eastAsia" w:cs="Times New Roman"/>
                      <w:color w:val="0000FF"/>
                      <w:sz w:val="21"/>
                      <w:szCs w:val="21"/>
                      <w:lang w:eastAsia="zh-CN"/>
                    </w:rPr>
                    <w:t>项目不属于“散乱污”行业</w:t>
                  </w:r>
                </w:p>
              </w:tc>
            </w:tr>
          </w:tbl>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color w:val="0000FF"/>
                <w:sz w:val="24"/>
                <w:szCs w:val="24"/>
                <w:lang w:eastAsia="zh-CN"/>
              </w:rPr>
            </w:pPr>
            <w:r>
              <w:rPr>
                <w:rFonts w:hint="eastAsia"/>
                <w:color w:val="0000FF"/>
                <w:sz w:val="24"/>
                <w:szCs w:val="24"/>
                <w:lang w:eastAsia="zh-CN"/>
              </w:rPr>
              <w:t>本项目与《淄博市新一轮“四减四增”三年行动方案》符合性见下表</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jc w:val="center"/>
              <w:textAlignment w:val="auto"/>
              <w:rPr>
                <w:rFonts w:hint="default"/>
                <w:b/>
                <w:bCs/>
                <w:color w:val="0000FF"/>
                <w:lang w:val="en-US" w:eastAsia="zh-CN"/>
              </w:rPr>
            </w:pPr>
            <w:r>
              <w:rPr>
                <w:rFonts w:hint="eastAsia"/>
                <w:b/>
                <w:bCs/>
                <w:color w:val="0000FF"/>
                <w:lang w:eastAsia="zh-CN"/>
              </w:rPr>
              <w:t>表</w:t>
            </w:r>
            <w:r>
              <w:rPr>
                <w:rFonts w:hint="eastAsia"/>
                <w:b/>
                <w:bCs/>
                <w:color w:val="0000FF"/>
                <w:lang w:val="en-US" w:eastAsia="zh-CN"/>
              </w:rPr>
              <w:t>10</w:t>
            </w:r>
            <w:r>
              <w:rPr>
                <w:rFonts w:hint="eastAsia"/>
                <w:b/>
                <w:bCs/>
                <w:color w:val="0000FF"/>
                <w:sz w:val="24"/>
                <w:szCs w:val="24"/>
                <w:lang w:eastAsia="zh-CN"/>
              </w:rPr>
              <w:t>项目与《淄博市新一轮“四减四增”三年行动方案》符合性一览表</w:t>
            </w:r>
          </w:p>
          <w:tbl>
            <w:tblPr>
              <w:tblStyle w:val="21"/>
              <w:tblW w:w="680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37"/>
              <w:gridCol w:w="18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Times New Roman" w:hAnsi="Times New Roman" w:eastAsia="宋体" w:cs="Times New Roman"/>
                      <w:b/>
                      <w:bCs/>
                      <w:color w:val="0000FF"/>
                      <w:kern w:val="2"/>
                      <w:sz w:val="21"/>
                      <w:szCs w:val="21"/>
                      <w:vertAlign w:val="baseline"/>
                      <w:lang w:val="en-US" w:eastAsia="zh-CN" w:bidi="ar-SA"/>
                    </w:rPr>
                  </w:pPr>
                  <w:r>
                    <w:rPr>
                      <w:rFonts w:hint="eastAsia"/>
                      <w:b w:val="0"/>
                      <w:bCs w:val="0"/>
                      <w:color w:val="0000FF"/>
                      <w:sz w:val="21"/>
                      <w:szCs w:val="21"/>
                      <w:vertAlign w:val="baseline"/>
                      <w:lang w:val="en-US" w:eastAsia="zh-CN"/>
                    </w:rPr>
                    <w:t>具体内容</w:t>
                  </w:r>
                </w:p>
              </w:tc>
              <w:tc>
                <w:tcPr>
                  <w:tcW w:w="18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ascii="Times New Roman" w:hAnsi="Times New Roman" w:eastAsia="宋体" w:cs="Times New Roman"/>
                      <w:b/>
                      <w:bCs/>
                      <w:color w:val="0000FF"/>
                      <w:kern w:val="2"/>
                      <w:sz w:val="21"/>
                      <w:szCs w:val="21"/>
                      <w:vertAlign w:val="baseline"/>
                      <w:lang w:val="en-US" w:eastAsia="zh-CN" w:bidi="ar-SA"/>
                    </w:rPr>
                  </w:pPr>
                  <w:r>
                    <w:rPr>
                      <w:rFonts w:hint="eastAsia"/>
                      <w:color w:val="0000FF"/>
                      <w:sz w:val="21"/>
                      <w:szCs w:val="21"/>
                      <w:vertAlign w:val="baseline"/>
                      <w:lang w:val="en-US" w:eastAsia="zh-CN"/>
                    </w:rPr>
                    <w:t>项目符合情况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b w:val="0"/>
                      <w:bCs w:val="0"/>
                      <w:color w:val="0000FF"/>
                      <w:sz w:val="21"/>
                      <w:szCs w:val="21"/>
                      <w:vertAlign w:val="baseline"/>
                      <w:lang w:val="en-US" w:eastAsia="zh-CN"/>
                    </w:rPr>
                  </w:pPr>
                  <w:r>
                    <w:rPr>
                      <w:rFonts w:hint="default"/>
                      <w:b w:val="0"/>
                      <w:bCs w:val="0"/>
                      <w:color w:val="0000FF"/>
                      <w:sz w:val="21"/>
                      <w:szCs w:val="21"/>
                      <w:vertAlign w:val="baseline"/>
                      <w:lang w:val="en-US" w:eastAsia="zh-CN"/>
                    </w:rPr>
                    <w:t>1.</w:t>
                  </w:r>
                  <w:r>
                    <w:rPr>
                      <w:rFonts w:hint="eastAsia"/>
                      <w:b w:val="0"/>
                      <w:bCs w:val="0"/>
                      <w:color w:val="0000FF"/>
                      <w:sz w:val="21"/>
                      <w:szCs w:val="21"/>
                      <w:vertAlign w:val="baseline"/>
                      <w:lang w:val="en-US" w:eastAsia="zh-CN"/>
                    </w:rPr>
                    <w:t>淘汰低效落后产能。依据安全、环保、技术、能耗、效益标准，以钢铁、煤电、水泥、轮胎、煤炭、化工等行业为重点，分类组织实施转移、压减、整合、关停任务，加快淘汰低效落后产能。</w:t>
                  </w:r>
                </w:p>
              </w:tc>
              <w:tc>
                <w:tcPr>
                  <w:tcW w:w="18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b w:val="0"/>
                      <w:bCs w:val="0"/>
                      <w:color w:val="0000FF"/>
                      <w:sz w:val="21"/>
                      <w:szCs w:val="21"/>
                      <w:vertAlign w:val="baseline"/>
                      <w:lang w:val="en-US" w:eastAsia="zh-CN"/>
                    </w:rPr>
                  </w:pPr>
                  <w:r>
                    <w:rPr>
                      <w:rFonts w:hint="eastAsia"/>
                      <w:b w:val="0"/>
                      <w:bCs w:val="0"/>
                      <w:color w:val="0000FF"/>
                      <w:sz w:val="21"/>
                      <w:szCs w:val="21"/>
                      <w:vertAlign w:val="baseline"/>
                      <w:lang w:val="en-US" w:eastAsia="zh-CN"/>
                    </w:rPr>
                    <w:t>本项目使用天然气属于清洁能源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b w:val="0"/>
                      <w:bCs w:val="0"/>
                      <w:color w:val="0000FF"/>
                      <w:sz w:val="21"/>
                      <w:szCs w:val="21"/>
                      <w:vertAlign w:val="baseline"/>
                      <w:lang w:val="en-US" w:eastAsia="zh-CN"/>
                    </w:rPr>
                  </w:pPr>
                  <w:r>
                    <w:rPr>
                      <w:rFonts w:hint="default"/>
                      <w:b w:val="0"/>
                      <w:bCs w:val="0"/>
                      <w:color w:val="0000FF"/>
                      <w:sz w:val="21"/>
                      <w:szCs w:val="21"/>
                      <w:vertAlign w:val="baseline"/>
                      <w:lang w:val="en-US" w:eastAsia="zh-CN"/>
                    </w:rPr>
                    <w:t>2.</w:t>
                  </w:r>
                  <w:r>
                    <w:rPr>
                      <w:rFonts w:hint="eastAsia"/>
                      <w:b w:val="0"/>
                      <w:bCs w:val="0"/>
                      <w:color w:val="0000FF"/>
                      <w:sz w:val="21"/>
                      <w:szCs w:val="21"/>
                      <w:vertAlign w:val="baseline"/>
                      <w:lang w:val="en-US" w:eastAsia="zh-CN"/>
                    </w:rPr>
                    <w:t>持续开展</w:t>
                  </w:r>
                  <w:r>
                    <w:rPr>
                      <w:rFonts w:hint="default"/>
                      <w:b w:val="0"/>
                      <w:bCs w:val="0"/>
                      <w:color w:val="0000FF"/>
                      <w:sz w:val="21"/>
                      <w:szCs w:val="21"/>
                      <w:vertAlign w:val="baseline"/>
                      <w:lang w:val="en-US" w:eastAsia="zh-CN"/>
                    </w:rPr>
                    <w:t>“散乱污”企业专项执法检查。进一步压实管理责任，按照“发现一起、处置一起”的原则，实行“散乱污”企业动态清零，确保“散乱污”企业不复发。</w:t>
                  </w:r>
                </w:p>
              </w:tc>
              <w:tc>
                <w:tcPr>
                  <w:tcW w:w="18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b w:val="0"/>
                      <w:bCs w:val="0"/>
                      <w:color w:val="0000FF"/>
                      <w:sz w:val="21"/>
                      <w:szCs w:val="21"/>
                      <w:vertAlign w:val="baseline"/>
                      <w:lang w:val="en-US" w:eastAsia="zh-CN"/>
                    </w:rPr>
                  </w:pPr>
                  <w:r>
                    <w:rPr>
                      <w:rFonts w:hint="eastAsia" w:cs="Times New Roman"/>
                      <w:color w:val="0000FF"/>
                      <w:sz w:val="21"/>
                      <w:szCs w:val="21"/>
                      <w:lang w:eastAsia="zh-CN"/>
                    </w:rPr>
                    <w:t>项目不属于“散乱污”行业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3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line="360" w:lineRule="atLeast"/>
                    <w:ind w:left="0" w:leftChars="0" w:firstLine="0" w:firstLineChars="0"/>
                    <w:textAlignment w:val="auto"/>
                    <w:rPr>
                      <w:rFonts w:hint="default" w:ascii="Times New Roman" w:hAnsi="Times New Roman" w:eastAsia="宋体" w:cs="Times New Roman"/>
                      <w:b w:val="0"/>
                      <w:bCs w:val="0"/>
                      <w:color w:val="0000FF"/>
                      <w:kern w:val="2"/>
                      <w:sz w:val="21"/>
                      <w:szCs w:val="21"/>
                      <w:vertAlign w:val="baseline"/>
                      <w:lang w:val="en-US" w:eastAsia="zh-CN" w:bidi="ar-SA"/>
                    </w:rPr>
                  </w:pPr>
                  <w:r>
                    <w:rPr>
                      <w:rFonts w:hint="eastAsia" w:ascii="Times New Roman" w:hAnsi="Times New Roman" w:eastAsia="宋体" w:cs="Times New Roman"/>
                      <w:b w:val="0"/>
                      <w:bCs w:val="0"/>
                      <w:color w:val="0000FF"/>
                      <w:kern w:val="2"/>
                      <w:sz w:val="21"/>
                      <w:szCs w:val="21"/>
                      <w:vertAlign w:val="baseline"/>
                      <w:lang w:val="en-US" w:eastAsia="zh-CN" w:bidi="ar-SA"/>
                    </w:rPr>
                    <w:t>3.</w:t>
                  </w:r>
                  <w:r>
                    <w:rPr>
                      <w:rFonts w:hint="default" w:ascii="Times New Roman" w:hAnsi="Times New Roman" w:eastAsia="宋体" w:cs="Times New Roman"/>
                      <w:b w:val="0"/>
                      <w:bCs w:val="0"/>
                      <w:color w:val="0000FF"/>
                      <w:kern w:val="2"/>
                      <w:sz w:val="21"/>
                      <w:szCs w:val="21"/>
                      <w:vertAlign w:val="baseline"/>
                      <w:lang w:val="en-US" w:eastAsia="zh-CN" w:bidi="ar-SA"/>
                    </w:rPr>
                    <w:t>改造提升传统动能。推动重点行业完成限制类产能装备的升级改造。加强治理设施运行管控，确保燃煤机组、自备电站、锅炉企业污染排放稳定达到超低排放要求，开展水泥行业超低排放改造，实施玻璃、陶瓷、铸造等行业污染深度治理。推动生产、使用低（无）VOCs含量的工业涂料、油墨、胶粘剂、清洗剂等产品，从源头减少VOCs排放。</w:t>
                  </w:r>
                </w:p>
              </w:tc>
              <w:tc>
                <w:tcPr>
                  <w:tcW w:w="18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b w:val="0"/>
                      <w:bCs w:val="0"/>
                      <w:color w:val="0000FF"/>
                      <w:kern w:val="2"/>
                      <w:sz w:val="21"/>
                      <w:szCs w:val="21"/>
                      <w:vertAlign w:val="baseline"/>
                      <w:lang w:val="en-US" w:eastAsia="zh-CN" w:bidi="ar-SA"/>
                    </w:rPr>
                  </w:pPr>
                  <w:r>
                    <w:rPr>
                      <w:rFonts w:hint="eastAsia" w:cs="Times New Roman"/>
                      <w:b w:val="0"/>
                      <w:bCs w:val="0"/>
                      <w:color w:val="0000FF"/>
                      <w:kern w:val="2"/>
                      <w:sz w:val="21"/>
                      <w:szCs w:val="21"/>
                      <w:vertAlign w:val="baseline"/>
                      <w:lang w:val="en-US" w:eastAsia="zh-CN" w:bidi="ar-SA"/>
                    </w:rPr>
                    <w:t>本项目不涉及</w:t>
                  </w:r>
                  <w:r>
                    <w:rPr>
                      <w:rFonts w:hint="default" w:ascii="Times New Roman" w:hAnsi="Times New Roman" w:eastAsia="宋体" w:cs="Times New Roman"/>
                      <w:b w:val="0"/>
                      <w:bCs w:val="0"/>
                      <w:color w:val="0000FF"/>
                      <w:kern w:val="2"/>
                      <w:sz w:val="21"/>
                      <w:szCs w:val="21"/>
                      <w:vertAlign w:val="baseline"/>
                      <w:lang w:val="en-US" w:eastAsia="zh-CN" w:bidi="ar-SA"/>
                    </w:rPr>
                    <w:t>VOCs排放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9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b w:val="0"/>
                      <w:bCs w:val="0"/>
                      <w:color w:val="0000FF"/>
                      <w:sz w:val="21"/>
                      <w:szCs w:val="21"/>
                      <w:vertAlign w:val="baseline"/>
                      <w:lang w:val="en-US" w:eastAsia="zh-CN"/>
                    </w:rPr>
                  </w:pPr>
                  <w:r>
                    <w:rPr>
                      <w:rFonts w:hint="eastAsia" w:ascii="Times New Roman" w:hAnsi="Times New Roman" w:eastAsia="宋体" w:cs="Times New Roman"/>
                      <w:b w:val="0"/>
                      <w:bCs w:val="0"/>
                      <w:color w:val="0000FF"/>
                      <w:kern w:val="2"/>
                      <w:sz w:val="21"/>
                      <w:szCs w:val="21"/>
                      <w:vertAlign w:val="baseline"/>
                      <w:lang w:val="en-US" w:eastAsia="zh-CN" w:bidi="ar-SA"/>
                    </w:rPr>
                    <w:t>4.</w:t>
                  </w:r>
                  <w:r>
                    <w:rPr>
                      <w:rFonts w:hint="default" w:ascii="Times New Roman" w:hAnsi="Times New Roman" w:eastAsia="宋体" w:cs="Times New Roman"/>
                      <w:b w:val="0"/>
                      <w:bCs w:val="0"/>
                      <w:color w:val="0000FF"/>
                      <w:kern w:val="2"/>
                      <w:sz w:val="21"/>
                      <w:szCs w:val="21"/>
                      <w:vertAlign w:val="baseline"/>
                      <w:lang w:val="en-US" w:eastAsia="zh-CN" w:bidi="ar-SA"/>
                    </w:rPr>
                    <w:t>严控重点行业新增产能。重大项目建设，必须首先满足环境质量“只能更好，不能变坏”的底线，严格落实污染物排放“减量替代是原则，等量替代是例外”的总量控制刚性要求。</w:t>
                  </w:r>
                </w:p>
              </w:tc>
              <w:tc>
                <w:tcPr>
                  <w:tcW w:w="18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b w:val="0"/>
                      <w:bCs w:val="0"/>
                      <w:color w:val="0000FF"/>
                      <w:sz w:val="21"/>
                      <w:szCs w:val="21"/>
                      <w:vertAlign w:val="baseline"/>
                      <w:lang w:val="en-US" w:eastAsia="zh-CN"/>
                    </w:rPr>
                  </w:pPr>
                  <w:r>
                    <w:rPr>
                      <w:rFonts w:hint="eastAsia"/>
                      <w:b w:val="0"/>
                      <w:bCs w:val="0"/>
                      <w:color w:val="0000FF"/>
                      <w:sz w:val="21"/>
                      <w:szCs w:val="21"/>
                      <w:vertAlign w:val="baseline"/>
                      <w:lang w:val="en-US" w:eastAsia="zh-CN"/>
                    </w:rPr>
                    <w:t>本项目不属于重点行业，不新增产能</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color w:val="0000FF"/>
                <w:sz w:val="24"/>
                <w:szCs w:val="24"/>
                <w:lang w:eastAsia="zh-CN"/>
              </w:rPr>
            </w:pPr>
            <w:r>
              <w:rPr>
                <w:rFonts w:hint="eastAsia"/>
                <w:color w:val="0000FF"/>
                <w:sz w:val="24"/>
                <w:szCs w:val="24"/>
                <w:lang w:eastAsia="zh-CN"/>
              </w:rPr>
              <w:t>（</w:t>
            </w:r>
            <w:r>
              <w:rPr>
                <w:rFonts w:hint="eastAsia"/>
                <w:color w:val="0000FF"/>
                <w:sz w:val="24"/>
                <w:szCs w:val="24"/>
                <w:lang w:val="en-US" w:eastAsia="zh-CN"/>
              </w:rPr>
              <w:t>4</w:t>
            </w:r>
            <w:r>
              <w:rPr>
                <w:rFonts w:hint="eastAsia"/>
                <w:color w:val="0000FF"/>
                <w:sz w:val="24"/>
                <w:szCs w:val="24"/>
                <w:lang w:eastAsia="zh-CN"/>
              </w:rPr>
              <w:t>）本项目与《关于严格项目审批工作坚决防止新上“散乱污”项目的通知》符合性见下表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0000FF"/>
                <w:sz w:val="24"/>
                <w:szCs w:val="24"/>
                <w:vertAlign w:val="baseline"/>
                <w:lang w:val="en-US" w:eastAsia="zh-CN"/>
              </w:rPr>
            </w:pPr>
            <w:r>
              <w:rPr>
                <w:rFonts w:hint="eastAsia"/>
                <w:b/>
                <w:bCs/>
                <w:color w:val="0000FF"/>
                <w:sz w:val="24"/>
                <w:szCs w:val="24"/>
                <w:lang w:val="en-US" w:eastAsia="zh-CN"/>
              </w:rPr>
              <w:t>表11</w:t>
            </w:r>
            <w:r>
              <w:rPr>
                <w:rFonts w:hint="eastAsia"/>
                <w:b/>
                <w:bCs/>
                <w:color w:val="0000FF"/>
                <w:sz w:val="24"/>
                <w:szCs w:val="24"/>
                <w:lang w:eastAsia="zh-CN"/>
              </w:rPr>
              <w:t>项目与《关于严格项目审批工作坚决防止新上“散乱污”项目的通知》符合性一览表</w:t>
            </w:r>
          </w:p>
          <w:tbl>
            <w:tblPr>
              <w:tblStyle w:val="21"/>
              <w:tblW w:w="680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20"/>
              <w:gridCol w:w="18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9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b w:val="0"/>
                      <w:bCs w:val="0"/>
                      <w:color w:val="0000FF"/>
                      <w:sz w:val="21"/>
                      <w:szCs w:val="21"/>
                      <w:vertAlign w:val="baseline"/>
                      <w:lang w:val="en-US" w:eastAsia="zh-CN"/>
                    </w:rPr>
                  </w:pPr>
                  <w:r>
                    <w:rPr>
                      <w:rFonts w:hint="eastAsia"/>
                      <w:b w:val="0"/>
                      <w:bCs w:val="0"/>
                      <w:color w:val="0000FF"/>
                      <w:sz w:val="21"/>
                      <w:szCs w:val="21"/>
                      <w:vertAlign w:val="baseline"/>
                      <w:lang w:val="en-US" w:eastAsia="zh-CN"/>
                    </w:rPr>
                    <w:t>具体内容</w:t>
                  </w:r>
                </w:p>
              </w:tc>
              <w:tc>
                <w:tcPr>
                  <w:tcW w:w="18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b w:val="0"/>
                      <w:bCs w:val="0"/>
                      <w:color w:val="0000FF"/>
                      <w:sz w:val="21"/>
                      <w:szCs w:val="21"/>
                      <w:vertAlign w:val="baseline"/>
                      <w:lang w:val="en-US" w:eastAsia="zh-CN"/>
                    </w:rPr>
                  </w:pPr>
                  <w:r>
                    <w:rPr>
                      <w:rFonts w:hint="eastAsia"/>
                      <w:b w:val="0"/>
                      <w:bCs w:val="0"/>
                      <w:color w:val="0000FF"/>
                      <w:sz w:val="21"/>
                      <w:szCs w:val="21"/>
                      <w:vertAlign w:val="baseline"/>
                      <w:lang w:val="en-US" w:eastAsia="zh-CN"/>
                    </w:rPr>
                    <w:t>项目符合情况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9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b w:val="0"/>
                      <w:bCs w:val="0"/>
                      <w:color w:val="0000FF"/>
                      <w:sz w:val="21"/>
                      <w:szCs w:val="21"/>
                      <w:vertAlign w:val="baseline"/>
                      <w:lang w:val="en-US" w:eastAsia="zh-CN"/>
                    </w:rPr>
                  </w:pPr>
                  <w:r>
                    <w:rPr>
                      <w:rFonts w:hint="eastAsia"/>
                      <w:b w:val="0"/>
                      <w:bCs w:val="0"/>
                      <w:color w:val="0000FF"/>
                      <w:sz w:val="21"/>
                      <w:szCs w:val="21"/>
                      <w:vertAlign w:val="baseline"/>
                      <w:lang w:val="en-US" w:eastAsia="zh-CN"/>
                    </w:rPr>
                    <w:t>1.认真贯彻执行产业政策。新上项目必须符合国家产业政策要求，禁止采用国家公布的淘汰工艺和落后设备，不得引进耗能高、污染大、生产粗放、不符合国家产业政策的项目。</w:t>
                  </w:r>
                </w:p>
              </w:tc>
              <w:tc>
                <w:tcPr>
                  <w:tcW w:w="18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b w:val="0"/>
                      <w:bCs w:val="0"/>
                      <w:color w:val="0000FF"/>
                      <w:sz w:val="21"/>
                      <w:szCs w:val="21"/>
                      <w:vertAlign w:val="baseline"/>
                      <w:lang w:val="en-US" w:eastAsia="zh-CN"/>
                    </w:rPr>
                  </w:pPr>
                  <w:r>
                    <w:rPr>
                      <w:rFonts w:hint="eastAsia"/>
                      <w:b w:val="0"/>
                      <w:bCs w:val="0"/>
                      <w:color w:val="0000FF"/>
                      <w:sz w:val="21"/>
                      <w:szCs w:val="21"/>
                      <w:vertAlign w:val="baseline"/>
                      <w:lang w:val="en-US" w:eastAsia="zh-CN"/>
                    </w:rPr>
                    <w:t>本项目不属于能耗高、污染大、生产粗放、不符合国家产业政策的项目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9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b w:val="0"/>
                      <w:bCs w:val="0"/>
                      <w:color w:val="0000FF"/>
                      <w:sz w:val="21"/>
                      <w:szCs w:val="21"/>
                      <w:vertAlign w:val="baseline"/>
                      <w:lang w:val="en-US" w:eastAsia="zh-CN"/>
                    </w:rPr>
                  </w:pPr>
                  <w:r>
                    <w:rPr>
                      <w:rFonts w:hint="eastAsia"/>
                      <w:b w:val="0"/>
                      <w:bCs w:val="0"/>
                      <w:color w:val="0000FF"/>
                      <w:sz w:val="21"/>
                      <w:szCs w:val="21"/>
                      <w:vertAlign w:val="baseline"/>
                      <w:lang w:val="en-US" w:eastAsia="zh-CN"/>
                    </w:rPr>
                    <w:t>2.强化规划刚性约束。新上项目必须符合国土空间规划、产业发展规划等要求，积极引导产业园区外“散乱污”整治白浅改造企业进入产业园区或工业集聚区，并鼓励租赁标准厂房。</w:t>
                  </w:r>
                </w:p>
              </w:tc>
              <w:tc>
                <w:tcPr>
                  <w:tcW w:w="18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b w:val="0"/>
                      <w:bCs w:val="0"/>
                      <w:color w:val="0000FF"/>
                      <w:sz w:val="21"/>
                      <w:szCs w:val="21"/>
                      <w:vertAlign w:val="baseline"/>
                      <w:lang w:val="en-US" w:eastAsia="zh-CN"/>
                    </w:rPr>
                  </w:pPr>
                  <w:r>
                    <w:rPr>
                      <w:rFonts w:hint="eastAsia"/>
                      <w:b w:val="0"/>
                      <w:bCs w:val="0"/>
                      <w:color w:val="0000FF"/>
                      <w:sz w:val="21"/>
                      <w:szCs w:val="21"/>
                      <w:vertAlign w:val="baseline"/>
                      <w:lang w:val="en-US" w:eastAsia="zh-CN"/>
                    </w:rPr>
                    <w:t>本项目黄河龙现有厂区内建设，不新增用地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9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b w:val="0"/>
                      <w:bCs w:val="0"/>
                      <w:color w:val="0000FF"/>
                      <w:sz w:val="21"/>
                      <w:szCs w:val="21"/>
                      <w:vertAlign w:val="baseline"/>
                      <w:lang w:val="en-US" w:eastAsia="zh-CN"/>
                    </w:rPr>
                  </w:pPr>
                  <w:r>
                    <w:rPr>
                      <w:rFonts w:hint="eastAsia"/>
                      <w:b w:val="0"/>
                      <w:bCs w:val="0"/>
                      <w:color w:val="0000FF"/>
                      <w:sz w:val="21"/>
                      <w:szCs w:val="21"/>
                      <w:vertAlign w:val="baseline"/>
                      <w:lang w:val="en-US" w:eastAsia="zh-CN"/>
                    </w:rPr>
                    <w:t>3.科学把好项目选址关。新建有污染物排放的工业项目，除在安全生产等方面有特殊要求的以外，应当进入工业园区或工业聚集区。</w:t>
                  </w:r>
                </w:p>
              </w:tc>
              <w:tc>
                <w:tcPr>
                  <w:tcW w:w="18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b w:val="0"/>
                      <w:bCs w:val="0"/>
                      <w:color w:val="0000FF"/>
                      <w:sz w:val="21"/>
                      <w:szCs w:val="21"/>
                      <w:vertAlign w:val="baseline"/>
                      <w:lang w:val="en-US" w:eastAsia="zh-CN"/>
                    </w:rPr>
                  </w:pPr>
                  <w:r>
                    <w:rPr>
                      <w:rFonts w:hint="eastAsia"/>
                      <w:b w:val="0"/>
                      <w:bCs w:val="0"/>
                      <w:color w:val="0000FF"/>
                      <w:sz w:val="21"/>
                      <w:szCs w:val="21"/>
                      <w:vertAlign w:val="baseline"/>
                      <w:lang w:val="en-US" w:eastAsia="zh-CN"/>
                    </w:rPr>
                    <w:t>本项目位于桓台经济开发区</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color w:val="0000FF"/>
                <w:sz w:val="24"/>
                <w:szCs w:val="24"/>
                <w:lang w:eastAsia="zh-CN"/>
              </w:rPr>
            </w:pPr>
            <w:r>
              <w:rPr>
                <w:rFonts w:hint="eastAsia"/>
                <w:color w:val="0000FF"/>
                <w:sz w:val="24"/>
                <w:szCs w:val="24"/>
                <w:lang w:eastAsia="zh-CN"/>
              </w:rPr>
              <w:t>（</w:t>
            </w:r>
            <w:r>
              <w:rPr>
                <w:rFonts w:hint="eastAsia"/>
                <w:color w:val="0000FF"/>
                <w:sz w:val="24"/>
                <w:szCs w:val="24"/>
                <w:lang w:val="en-US" w:eastAsia="zh-CN"/>
              </w:rPr>
              <w:t>5</w:t>
            </w:r>
            <w:r>
              <w:rPr>
                <w:rFonts w:hint="eastAsia"/>
                <w:color w:val="0000FF"/>
                <w:sz w:val="24"/>
                <w:szCs w:val="24"/>
                <w:lang w:eastAsia="zh-CN"/>
              </w:rPr>
              <w:t>）本项目与《山东省深入打好蓝天保卫战行动计划（</w:t>
            </w:r>
            <w:r>
              <w:rPr>
                <w:rFonts w:hint="eastAsia"/>
                <w:color w:val="0000FF"/>
                <w:sz w:val="24"/>
                <w:szCs w:val="24"/>
                <w:lang w:val="en-US" w:eastAsia="zh-CN"/>
              </w:rPr>
              <w:t>2021-2025年</w:t>
            </w:r>
            <w:r>
              <w:rPr>
                <w:rFonts w:hint="eastAsia"/>
                <w:color w:val="0000FF"/>
                <w:sz w:val="24"/>
                <w:szCs w:val="24"/>
                <w:lang w:eastAsia="zh-CN"/>
              </w:rPr>
              <w:t>）》符合性具体见下表</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jc w:val="center"/>
              <w:textAlignment w:val="auto"/>
              <w:rPr>
                <w:rFonts w:hint="default" w:ascii="Times New Roman" w:hAnsi="Times New Roman" w:eastAsia="黑体" w:cs="Times New Roman"/>
                <w:b/>
                <w:bCs/>
                <w:color w:val="0000FF"/>
                <w:lang w:val="en-US" w:eastAsia="zh-CN"/>
              </w:rPr>
            </w:pPr>
            <w:r>
              <w:rPr>
                <w:rFonts w:hint="default" w:ascii="Times New Roman" w:hAnsi="Times New Roman" w:eastAsia="黑体" w:cs="Times New Roman"/>
                <w:b/>
                <w:bCs/>
                <w:color w:val="0000FF"/>
                <w:lang w:eastAsia="zh-CN"/>
              </w:rPr>
              <w:t>表</w:t>
            </w:r>
            <w:r>
              <w:rPr>
                <w:rFonts w:hint="eastAsia" w:eastAsia="黑体" w:cs="Times New Roman"/>
                <w:b/>
                <w:bCs/>
                <w:color w:val="0000FF"/>
                <w:lang w:val="en-US" w:eastAsia="zh-CN"/>
              </w:rPr>
              <w:t>12</w:t>
            </w:r>
            <w:r>
              <w:rPr>
                <w:rFonts w:hint="default" w:ascii="Times New Roman" w:hAnsi="Times New Roman" w:eastAsia="黑体" w:cs="Times New Roman"/>
                <w:b/>
                <w:bCs/>
                <w:color w:val="0000FF"/>
                <w:lang w:val="en-US" w:eastAsia="zh-CN"/>
              </w:rPr>
              <w:t>项目与《山东省深入打好蓝天保卫战行动计划（2021-2025年）》符合性一览表</w:t>
            </w:r>
          </w:p>
          <w:tbl>
            <w:tblPr>
              <w:tblStyle w:val="21"/>
              <w:tblW w:w="680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17"/>
              <w:gridCol w:w="17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具体内容</w:t>
                  </w:r>
                </w:p>
              </w:tc>
              <w:tc>
                <w:tcPr>
                  <w:tcW w:w="17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项目符合情况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b w:val="0"/>
                      <w:bCs w:val="0"/>
                      <w:color w:val="0000FF"/>
                      <w:sz w:val="21"/>
                      <w:szCs w:val="21"/>
                      <w:vertAlign w:val="baseline"/>
                      <w:lang w:val="en-US" w:eastAsia="zh-CN"/>
                    </w:rPr>
                  </w:pPr>
                  <w:r>
                    <w:rPr>
                      <w:rFonts w:hint="eastAsia"/>
                      <w:b w:val="0"/>
                      <w:bCs w:val="0"/>
                      <w:color w:val="0000FF"/>
                      <w:sz w:val="21"/>
                      <w:szCs w:val="21"/>
                      <w:vertAlign w:val="baseline"/>
                      <w:lang w:val="en-US" w:eastAsia="zh-CN"/>
                    </w:rPr>
                    <w:t>1.淘汰低效落后产能。聚焦钢铁、地炼、焦化、煤电、水泥、轮胎、煤炭、化工 8 个重点行业，加快淘汰低后产能。严格执行质量、环保、能耗、安全等法规标准，按照《产业结构调整指导目录》，对“淘汰类”落后生产工艺装备和落后产品全部淘汰出清。</w:t>
                  </w:r>
                </w:p>
              </w:tc>
              <w:tc>
                <w:tcPr>
                  <w:tcW w:w="17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b w:val="0"/>
                      <w:bCs w:val="0"/>
                      <w:color w:val="0000FF"/>
                      <w:sz w:val="21"/>
                      <w:szCs w:val="21"/>
                      <w:vertAlign w:val="baseline"/>
                      <w:lang w:val="en-US" w:eastAsia="zh-CN"/>
                    </w:rPr>
                  </w:pPr>
                  <w:r>
                    <w:rPr>
                      <w:rFonts w:hint="eastAsia"/>
                      <w:b w:val="0"/>
                      <w:bCs w:val="0"/>
                      <w:color w:val="0000FF"/>
                      <w:sz w:val="21"/>
                      <w:szCs w:val="21"/>
                      <w:vertAlign w:val="baseline"/>
                      <w:lang w:val="en-US" w:eastAsia="zh-CN"/>
                    </w:rPr>
                    <w:t>本项目不属于低效落后产能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eastAsia" w:eastAsia="宋体"/>
                      <w:b w:val="0"/>
                      <w:bCs w:val="0"/>
                      <w:color w:val="0000FF"/>
                      <w:sz w:val="21"/>
                      <w:szCs w:val="21"/>
                      <w:vertAlign w:val="baseline"/>
                      <w:lang w:val="en-US" w:eastAsia="zh-CN"/>
                    </w:rPr>
                  </w:pPr>
                  <w:r>
                    <w:rPr>
                      <w:rFonts w:hint="eastAsia"/>
                      <w:b w:val="0"/>
                      <w:bCs w:val="0"/>
                      <w:color w:val="0000FF"/>
                      <w:sz w:val="21"/>
                      <w:szCs w:val="21"/>
                      <w:vertAlign w:val="baseline"/>
                      <w:lang w:val="en-US" w:eastAsia="zh-CN"/>
                    </w:rPr>
                    <w:t>2.强化工业源NO</w:t>
                  </w:r>
                  <w:r>
                    <w:rPr>
                      <w:rFonts w:hint="eastAsia"/>
                      <w:b w:val="0"/>
                      <w:bCs w:val="0"/>
                      <w:color w:val="0000FF"/>
                      <w:sz w:val="21"/>
                      <w:szCs w:val="21"/>
                      <w:vertAlign w:val="subscript"/>
                      <w:lang w:val="en-US" w:eastAsia="zh-CN"/>
                    </w:rPr>
                    <w:t>X</w:t>
                  </w:r>
                  <w:r>
                    <w:rPr>
                      <w:rFonts w:hint="eastAsia"/>
                      <w:b w:val="0"/>
                      <w:bCs w:val="0"/>
                      <w:color w:val="0000FF"/>
                      <w:sz w:val="21"/>
                      <w:szCs w:val="21"/>
                      <w:vertAlign w:val="baseline"/>
                      <w:lang w:val="en-US" w:eastAsia="zh-CN"/>
                    </w:rPr>
                    <w:t>深度治理。严格治理设施运行监管，燃煤机组、锅炉、钢铁企业污染排放稳定达到超低排放要求。</w:t>
                  </w:r>
                </w:p>
              </w:tc>
              <w:tc>
                <w:tcPr>
                  <w:tcW w:w="17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b w:val="0"/>
                      <w:bCs w:val="0"/>
                      <w:color w:val="0000FF"/>
                      <w:sz w:val="21"/>
                      <w:szCs w:val="21"/>
                      <w:vertAlign w:val="baseline"/>
                      <w:lang w:val="en-US" w:eastAsia="zh-CN"/>
                    </w:rPr>
                  </w:pPr>
                  <w:r>
                    <w:rPr>
                      <w:rFonts w:hint="eastAsia"/>
                      <w:b w:val="0"/>
                      <w:bCs w:val="0"/>
                      <w:color w:val="0000FF"/>
                      <w:sz w:val="21"/>
                      <w:szCs w:val="21"/>
                      <w:vertAlign w:val="baseline"/>
                      <w:lang w:val="en-US" w:eastAsia="zh-CN"/>
                    </w:rPr>
                    <w:t>本项目配套低氮燃烧器，污染物排放均能达到相关标准要求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b w:val="0"/>
                      <w:bCs w:val="0"/>
                      <w:color w:val="0000FF"/>
                      <w:sz w:val="21"/>
                      <w:szCs w:val="21"/>
                      <w:vertAlign w:val="baseline"/>
                      <w:lang w:val="en-US" w:eastAsia="zh-CN"/>
                    </w:rPr>
                  </w:pPr>
                  <w:r>
                    <w:rPr>
                      <w:rFonts w:hint="eastAsia"/>
                      <w:b w:val="0"/>
                      <w:bCs w:val="0"/>
                      <w:color w:val="0000FF"/>
                      <w:sz w:val="21"/>
                      <w:szCs w:val="21"/>
                      <w:vertAlign w:val="baseline"/>
                      <w:lang w:val="en-US" w:eastAsia="zh-CN"/>
                    </w:rPr>
                    <w:t xml:space="preserve"> 3.加强大气环境监管。坚持依法治污，综合运用按日连续处罚、查封扣押、限产停产、移送拘留等手段，依法从严处罚环境违法行为。加大省级生态环境保护督查力度。建立对重点排放源监测或检测结果的全程留痕、信息可追溯机制。严厉打击不正常运行废气治理设施等环境违法违规行为。</w:t>
                  </w:r>
                </w:p>
              </w:tc>
              <w:tc>
                <w:tcPr>
                  <w:tcW w:w="17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b w:val="0"/>
                      <w:bCs w:val="0"/>
                      <w:color w:val="0000FF"/>
                      <w:sz w:val="21"/>
                      <w:szCs w:val="21"/>
                      <w:vertAlign w:val="baseline"/>
                      <w:lang w:val="en-US" w:eastAsia="zh-CN"/>
                    </w:rPr>
                  </w:pPr>
                  <w:r>
                    <w:rPr>
                      <w:rFonts w:hint="eastAsia"/>
                      <w:b w:val="0"/>
                      <w:bCs w:val="0"/>
                      <w:color w:val="0000FF"/>
                      <w:sz w:val="21"/>
                      <w:szCs w:val="21"/>
                      <w:vertAlign w:val="baseline"/>
                      <w:lang w:val="en-US" w:eastAsia="zh-CN"/>
                    </w:rPr>
                    <w:t>本项目废气治理措施符合要求</w:t>
                  </w:r>
                </w:p>
              </w:tc>
            </w:tr>
          </w:tbl>
          <w:p>
            <w:pPr>
              <w:keepNext w:val="0"/>
              <w:keepLines w:val="0"/>
              <w:pageBreakBefore w:val="0"/>
              <w:kinsoku/>
              <w:wordWrap/>
              <w:overflowPunct/>
              <w:topLinePunct w:val="0"/>
              <w:bidi w:val="0"/>
              <w:spacing w:line="360" w:lineRule="auto"/>
              <w:ind w:firstLine="482"/>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3.选址符合性分析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zh-CN"/>
              </w:rPr>
              <w:t>根据淄博市规划及本项目对周边综合环境的要求，将建设地点选定在</w:t>
            </w:r>
            <w:r>
              <w:rPr>
                <w:rFonts w:hint="default" w:ascii="Times New Roman" w:hAnsi="Times New Roman" w:eastAsia="宋体" w:cs="Times New Roman"/>
                <w:color w:val="auto"/>
                <w:sz w:val="24"/>
                <w:szCs w:val="24"/>
              </w:rPr>
              <w:t>山东省淄博市</w:t>
            </w:r>
            <w:r>
              <w:rPr>
                <w:rFonts w:hint="default" w:ascii="Times New Roman" w:hAnsi="Times New Roman" w:eastAsia="宋体" w:cs="Times New Roman"/>
                <w:color w:val="auto"/>
                <w:kern w:val="0"/>
                <w:sz w:val="24"/>
                <w:szCs w:val="24"/>
              </w:rPr>
              <w:t>桓台县</w:t>
            </w:r>
            <w:r>
              <w:rPr>
                <w:rFonts w:hint="default" w:ascii="Times New Roman" w:hAnsi="Times New Roman" w:eastAsia="宋体" w:cs="Times New Roman"/>
                <w:color w:val="auto"/>
                <w:sz w:val="24"/>
                <w:szCs w:val="24"/>
              </w:rPr>
              <w:t>果里镇张北路201号山东黄河龙集团有限公司现有厂区内</w:t>
            </w:r>
            <w:r>
              <w:rPr>
                <w:rFonts w:hint="default" w:ascii="Times New Roman" w:hAnsi="Times New Roman" w:eastAsia="宋体" w:cs="Times New Roman"/>
                <w:color w:val="auto"/>
                <w:sz w:val="24"/>
                <w:szCs w:val="24"/>
                <w:lang w:val="zh-CN"/>
              </w:rPr>
              <w:t>。厂区北面为陆海联运公司，西</w:t>
            </w:r>
            <w:r>
              <w:rPr>
                <w:rFonts w:hint="eastAsia" w:cs="Times New Roman"/>
                <w:color w:val="auto"/>
                <w:sz w:val="24"/>
                <w:szCs w:val="24"/>
                <w:lang w:val="zh-CN"/>
              </w:rPr>
              <w:t>南</w:t>
            </w:r>
            <w:r>
              <w:rPr>
                <w:rFonts w:hint="default" w:ascii="Times New Roman" w:hAnsi="Times New Roman" w:eastAsia="宋体" w:cs="Times New Roman"/>
                <w:color w:val="auto"/>
                <w:sz w:val="24"/>
                <w:szCs w:val="24"/>
                <w:lang w:val="zh-CN"/>
              </w:rPr>
              <w:t>为</w:t>
            </w:r>
            <w:r>
              <w:rPr>
                <w:rFonts w:hint="eastAsia" w:cs="Times New Roman"/>
                <w:color w:val="auto"/>
                <w:sz w:val="24"/>
                <w:szCs w:val="24"/>
                <w:lang w:val="zh-CN"/>
              </w:rPr>
              <w:t>山东海奥斯生物科技股份有限公司</w:t>
            </w:r>
            <w:r>
              <w:rPr>
                <w:rFonts w:hint="default" w:ascii="Times New Roman" w:hAnsi="Times New Roman" w:eastAsia="宋体" w:cs="Times New Roman"/>
                <w:color w:val="auto"/>
                <w:sz w:val="24"/>
                <w:szCs w:val="24"/>
                <w:lang w:val="zh-CN"/>
              </w:rPr>
              <w:t>，东侧为道路，西侧为空地，周边企业不会对本项目造成影响。厂区</w:t>
            </w:r>
            <w:r>
              <w:rPr>
                <w:rFonts w:hint="default" w:ascii="Times New Roman" w:hAnsi="Times New Roman" w:eastAsia="宋体" w:cs="Times New Roman"/>
                <w:color w:val="auto"/>
                <w:sz w:val="24"/>
                <w:szCs w:val="24"/>
              </w:rPr>
              <w:t>地势平坦，地质构造简单，场地稳定性良好。土地利用类型为工业用地，符合用地规划要求。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color w:val="auto"/>
                <w:sz w:val="24"/>
                <w:szCs w:val="24"/>
              </w:rPr>
              <w:t>选址合理性分析见下表：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b/>
                <w:color w:val="auto"/>
                <w:sz w:val="24"/>
                <w:szCs w:val="24"/>
                <w:lang w:val="en-US" w:eastAsia="zh-CN"/>
              </w:rPr>
            </w:pPr>
            <w:r>
              <w:rPr>
                <w:rFonts w:hint="eastAsia" w:ascii="黑体" w:hAnsi="黑体" w:eastAsia="黑体" w:cs="黑体"/>
                <w:b/>
                <w:color w:val="auto"/>
                <w:sz w:val="24"/>
                <w:szCs w:val="24"/>
                <w:lang w:val="en-US" w:eastAsia="zh-CN"/>
              </w:rPr>
              <w:t>表13 厂址选择合理性分析一览表</w:t>
            </w:r>
          </w:p>
          <w:tbl>
            <w:tblPr>
              <w:tblStyle w:val="20"/>
              <w:tblW w:w="680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20"/>
              <w:gridCol w:w="46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项目分析</w:t>
                  </w:r>
                </w:p>
              </w:tc>
              <w:tc>
                <w:tcPr>
                  <w:tcW w:w="468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结论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土地利用符合性</w:t>
                  </w:r>
                </w:p>
              </w:tc>
              <w:tc>
                <w:tcPr>
                  <w:tcW w:w="468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项目用地符合相关法律法规要求及县市用地要求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供水、供电</w:t>
                  </w:r>
                </w:p>
              </w:tc>
              <w:tc>
                <w:tcPr>
                  <w:tcW w:w="468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项目供水、供电设施齐全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交通运输</w:t>
                  </w:r>
                </w:p>
              </w:tc>
              <w:tc>
                <w:tcPr>
                  <w:tcW w:w="468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r>
                    <w:rPr>
                      <w:rFonts w:hint="default" w:ascii="Times New Roman" w:hAnsi="Times New Roman" w:eastAsia="宋体" w:cs="Times New Roman"/>
                      <w:color w:val="auto"/>
                      <w:sz w:val="21"/>
                      <w:szCs w:val="21"/>
                      <w:lang w:eastAsia="zh-CN"/>
                    </w:rPr>
                    <w:t>位于</w:t>
                  </w:r>
                  <w:r>
                    <w:rPr>
                      <w:rFonts w:hint="default" w:ascii="Times New Roman" w:hAnsi="Times New Roman" w:eastAsia="宋体" w:cs="Times New Roman"/>
                      <w:color w:val="auto"/>
                      <w:sz w:val="21"/>
                      <w:szCs w:val="21"/>
                      <w:lang w:val="en-US" w:eastAsia="zh-CN"/>
                    </w:rPr>
                    <w:t>山东省淄博市淄</w:t>
                  </w:r>
                  <w:r>
                    <w:rPr>
                      <w:rFonts w:hint="default" w:ascii="Times New Roman" w:hAnsi="Times New Roman" w:eastAsia="宋体" w:cs="Times New Roman"/>
                      <w:color w:val="auto"/>
                      <w:sz w:val="21"/>
                      <w:szCs w:val="21"/>
                    </w:rPr>
                    <w:t>桓台县果里镇张北路201号（黄河龙集团院内），交通运输条件便利，地理位置比较优越。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外界环境对项目影响</w:t>
                  </w:r>
                </w:p>
              </w:tc>
              <w:tc>
                <w:tcPr>
                  <w:tcW w:w="468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项目周围主要为</w:t>
                  </w:r>
                  <w:r>
                    <w:rPr>
                      <w:rFonts w:hint="default" w:ascii="Times New Roman" w:hAnsi="Times New Roman" w:eastAsia="宋体" w:cs="Times New Roman"/>
                      <w:color w:val="auto"/>
                      <w:sz w:val="21"/>
                      <w:szCs w:val="21"/>
                      <w:lang w:eastAsia="zh-CN"/>
                    </w:rPr>
                    <w:t>其他生产</w:t>
                  </w:r>
                  <w:r>
                    <w:rPr>
                      <w:rFonts w:hint="default" w:ascii="Times New Roman" w:hAnsi="Times New Roman" w:eastAsia="宋体" w:cs="Times New Roman"/>
                      <w:color w:val="auto"/>
                      <w:sz w:val="21"/>
                      <w:szCs w:val="21"/>
                    </w:rPr>
                    <w:t>企业</w:t>
                  </w:r>
                  <w:r>
                    <w:rPr>
                      <w:rFonts w:hint="default" w:ascii="Times New Roman" w:hAnsi="Times New Roman" w:eastAsia="宋体" w:cs="Times New Roman"/>
                      <w:color w:val="auto"/>
                      <w:sz w:val="21"/>
                      <w:szCs w:val="21"/>
                      <w:lang w:eastAsia="zh-CN"/>
                    </w:rPr>
                    <w:t>、公路</w:t>
                  </w:r>
                  <w:r>
                    <w:rPr>
                      <w:rFonts w:hint="default" w:ascii="Times New Roman" w:hAnsi="Times New Roman" w:eastAsia="宋体" w:cs="Times New Roman"/>
                      <w:color w:val="auto"/>
                      <w:sz w:val="21"/>
                      <w:szCs w:val="21"/>
                    </w:rPr>
                    <w:t>等，本项目对外界环境要求不高。因此，周围环境对项目影响不大</w:t>
                  </w:r>
                  <w:r>
                    <w:rPr>
                      <w:rFonts w:hint="default" w:ascii="Times New Roman" w:hAnsi="Times New Roman" w:eastAsia="宋体" w:cs="Times New Roman"/>
                      <w:color w:val="auto"/>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项目对外界环境影响</w:t>
                  </w:r>
                </w:p>
              </w:tc>
              <w:tc>
                <w:tcPr>
                  <w:tcW w:w="468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项目营运期间</w:t>
                  </w:r>
                  <w:r>
                    <w:rPr>
                      <w:rFonts w:hint="default" w:ascii="Times New Roman" w:hAnsi="Times New Roman" w:eastAsia="宋体" w:cs="Times New Roman"/>
                      <w:color w:val="auto"/>
                      <w:sz w:val="21"/>
                      <w:szCs w:val="21"/>
                      <w:lang w:eastAsia="zh-CN"/>
                    </w:rPr>
                    <w:t>废水</w:t>
                  </w:r>
                  <w:r>
                    <w:rPr>
                      <w:rFonts w:hint="default" w:ascii="Times New Roman" w:hAnsi="Times New Roman" w:eastAsia="宋体" w:cs="Times New Roman"/>
                      <w:color w:val="auto"/>
                      <w:sz w:val="21"/>
                      <w:szCs w:val="21"/>
                    </w:rPr>
                    <w:t>采取相应措施后均可达标排放；固体废物均可得到妥善处理，因此，对周围环境影响不大。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对风景名胜区的影响</w:t>
                  </w:r>
                </w:p>
              </w:tc>
              <w:tc>
                <w:tcPr>
                  <w:tcW w:w="468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项目周围无风景名胜区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79" w:hRule="atLeast"/>
                <w:jc w:val="center"/>
              </w:trPr>
              <w:tc>
                <w:tcPr>
                  <w:tcW w:w="212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环境敏感点</w:t>
                  </w:r>
                </w:p>
              </w:tc>
              <w:tc>
                <w:tcPr>
                  <w:tcW w:w="468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距拟建项目建成后，全厂卫生防护距离范围基本不变，在此范围内无敏感点存在，项目满足卫生防护距离要求。项目厂区有重大危险源，采取风险防范措施较为完备，项目风险是可以接受的。</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黑体" w:hAnsi="黑体" w:eastAsia="黑体" w:cs="黑体"/>
                <w:b/>
                <w:bCs/>
                <w:color w:val="auto"/>
                <w:sz w:val="24"/>
                <w:szCs w:val="24"/>
              </w:rPr>
            </w:pPr>
            <w:r>
              <w:rPr>
                <w:rFonts w:hint="eastAsia" w:ascii="黑体" w:hAnsi="黑体" w:eastAsia="黑体" w:cs="黑体"/>
                <w:b/>
                <w:bCs/>
                <w:color w:val="auto"/>
                <w:sz w:val="24"/>
                <w:szCs w:val="24"/>
              </w:rPr>
              <w:t>4.厂区平面布置合理性分析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拟建项目位于</w:t>
            </w:r>
            <w:r>
              <w:rPr>
                <w:rFonts w:hint="default" w:ascii="Times New Roman" w:hAnsi="Times New Roman" w:eastAsia="宋体" w:cs="Times New Roman"/>
                <w:color w:val="auto"/>
                <w:spacing w:val="0"/>
                <w:position w:val="0"/>
                <w:sz w:val="24"/>
                <w:szCs w:val="24"/>
                <w:lang w:val="en-US" w:eastAsia="zh-CN"/>
              </w:rPr>
              <w:t>山东省淄博市</w:t>
            </w:r>
            <w:r>
              <w:rPr>
                <w:rFonts w:hint="default" w:ascii="Times New Roman" w:hAnsi="Times New Roman" w:eastAsia="宋体" w:cs="Times New Roman"/>
                <w:color w:val="auto"/>
                <w:sz w:val="24"/>
                <w:szCs w:val="24"/>
              </w:rPr>
              <w:t>桓台县果里镇张北路201号（黄河龙集团院内），主要</w:t>
            </w:r>
            <w:r>
              <w:rPr>
                <w:rFonts w:hint="default" w:ascii="Times New Roman" w:hAnsi="Times New Roman" w:eastAsia="宋体" w:cs="Times New Roman"/>
                <w:color w:val="auto"/>
                <w:sz w:val="24"/>
                <w:szCs w:val="24"/>
                <w:lang w:eastAsia="zh-CN"/>
              </w:rPr>
              <w:t>建设</w:t>
            </w:r>
            <w:r>
              <w:rPr>
                <w:rFonts w:hint="default" w:ascii="Times New Roman" w:hAnsi="Times New Roman" w:eastAsia="宋体" w:cs="Times New Roman"/>
                <w:color w:val="auto"/>
                <w:sz w:val="24"/>
                <w:szCs w:val="24"/>
                <w:lang w:val="en-US" w:eastAsia="zh-CN"/>
              </w:rPr>
              <w:t>锅炉房一座。</w:t>
            </w:r>
            <w:r>
              <w:rPr>
                <w:rFonts w:hint="default" w:ascii="Times New Roman" w:hAnsi="Times New Roman" w:eastAsia="宋体" w:cs="Times New Roman"/>
                <w:color w:val="auto"/>
                <w:sz w:val="24"/>
                <w:szCs w:val="24"/>
              </w:rPr>
              <w:t>项目平面布置详见</w:t>
            </w:r>
            <w:r>
              <w:rPr>
                <w:rFonts w:hint="default" w:ascii="Times New Roman" w:hAnsi="Times New Roman" w:eastAsia="宋体" w:cs="Times New Roman"/>
                <w:color w:val="auto"/>
                <w:sz w:val="24"/>
                <w:szCs w:val="24"/>
                <w:lang w:eastAsia="zh-CN"/>
              </w:rPr>
              <w:t>附图</w:t>
            </w:r>
            <w:r>
              <w:rPr>
                <w:rFonts w:hint="eastAsia" w:cs="Times New Roman"/>
                <w:color w:val="auto"/>
                <w:sz w:val="24"/>
                <w:szCs w:val="24"/>
                <w:lang w:eastAsia="zh-CN"/>
              </w:rPr>
              <w:t>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拟建项目建筑布局层次分明，生产、功能区划分清楚，便于组织生产和管理，根据环保、施工等要求，结合厂区地址地形、气象等自然条件，因地制宜地对建构筑物、运输线路等进行总平面布置，力求生产装置紧凑，辅助装置服务到位，有利于生产、安全管理，保护环境。</w:t>
            </w:r>
            <w:r>
              <w:rPr>
                <w:rFonts w:hint="default" w:ascii="Times New Roman" w:hAnsi="Times New Roman" w:eastAsia="宋体" w:cs="Times New Roman"/>
                <w:color w:val="auto"/>
                <w:sz w:val="24"/>
                <w:szCs w:val="24"/>
                <w:lang w:val="en-US" w:eastAsia="zh-CN"/>
              </w:rPr>
              <w:t>本项目位于厂区西南角。</w:t>
            </w:r>
            <w:r>
              <w:rPr>
                <w:rFonts w:hint="default" w:ascii="Times New Roman" w:hAnsi="Times New Roman" w:eastAsia="宋体" w:cs="Times New Roman"/>
                <w:color w:val="auto"/>
                <w:sz w:val="24"/>
                <w:szCs w:val="24"/>
              </w:rPr>
              <w:t>综上，本项目厂址的选址较为合理，</w:t>
            </w:r>
            <w:r>
              <w:rPr>
                <w:rFonts w:hint="default" w:ascii="Times New Roman" w:hAnsi="Times New Roman" w:eastAsia="宋体" w:cs="Times New Roman"/>
                <w:color w:val="auto"/>
                <w:sz w:val="24"/>
                <w:szCs w:val="24"/>
                <w:lang w:eastAsia="zh-CN"/>
              </w:rPr>
              <w:t>平面布置较为合理。</w:t>
            </w:r>
          </w:p>
        </w:tc>
      </w:tr>
    </w:tbl>
    <w:p>
      <w:pPr>
        <w:rPr>
          <w:rFonts w:hint="default"/>
          <w:color w:val="auto"/>
        </w:rPr>
      </w:pPr>
      <w:r>
        <w:rPr>
          <w:rFonts w:hint="default"/>
          <w:color w:val="auto"/>
        </w:rPr>
        <w:br w:type="page"/>
      </w:r>
    </w:p>
    <w:p>
      <w:pPr>
        <w:pStyle w:val="7"/>
        <w:bidi w:val="0"/>
        <w:jc w:val="center"/>
        <w:rPr>
          <w:rFonts w:hint="default" w:ascii="Times New Roman" w:hAnsi="Times New Roman" w:cs="Times New Roman"/>
          <w:color w:val="auto"/>
        </w:rPr>
      </w:pPr>
      <w:r>
        <w:rPr>
          <w:rFonts w:hint="default" w:ascii="Times New Roman" w:hAnsi="Times New Roman" w:cs="Times New Roman"/>
          <w:color w:val="auto"/>
        </w:rPr>
        <w:t>二、建设项目工程分析</w:t>
      </w:r>
    </w:p>
    <w:tbl>
      <w:tblPr>
        <w:tblStyle w:val="20"/>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7"/>
        <w:gridCol w:w="86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6" w:hRule="atLeast"/>
          <w:jc w:val="center"/>
        </w:trPr>
        <w:tc>
          <w:tcPr>
            <w:tcW w:w="427" w:type="dxa"/>
            <w:tcBorders>
              <w:tl2br w:val="nil"/>
              <w:tr2bl w:val="nil"/>
            </w:tcBorders>
            <w:noWrap w:val="0"/>
            <w:vAlign w:val="center"/>
          </w:tcPr>
          <w:p>
            <w:pPr>
              <w:pStyle w:val="19"/>
              <w:keepNext w:val="0"/>
              <w:keepLines w:val="0"/>
              <w:pageBreakBefore w:val="0"/>
              <w:kinsoku/>
              <w:wordWrap/>
              <w:overflowPunct/>
              <w:topLinePunct w:val="0"/>
              <w:autoSpaceDE/>
              <w:autoSpaceDN/>
              <w:bidi w:val="0"/>
              <w:adjustRightInd w:val="0"/>
              <w:snapToGrid w:val="0"/>
              <w:spacing w:before="0" w:beforeAutospacing="0" w:after="0" w:afterAutospacing="0"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建设内容</w:t>
            </w:r>
          </w:p>
        </w:tc>
        <w:tc>
          <w:tcPr>
            <w:tcW w:w="8644"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2.1项目概况</w:t>
            </w:r>
          </w:p>
          <w:p>
            <w:pPr>
              <w:pStyle w:val="2"/>
              <w:ind w:left="0" w:leftChars="0" w:firstLine="0" w:firstLineChars="0"/>
              <w:rPr>
                <w:rFonts w:hint="eastAsia"/>
                <w:color w:val="0000FF"/>
                <w:sz w:val="24"/>
                <w:szCs w:val="24"/>
                <w:lang w:val="en-US" w:eastAsia="zh-CN"/>
              </w:rPr>
            </w:pPr>
            <w:r>
              <w:rPr>
                <w:rFonts w:hint="eastAsia"/>
                <w:color w:val="0000FF"/>
                <w:sz w:val="24"/>
                <w:szCs w:val="24"/>
                <w:lang w:val="en-US" w:eastAsia="zh-CN"/>
              </w:rPr>
              <w:t>2.1.1项目由来</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0000FF"/>
                <w:sz w:val="24"/>
                <w:szCs w:val="24"/>
                <w:lang w:val="en-US" w:eastAsia="zh-CN"/>
              </w:rPr>
            </w:pPr>
            <w:r>
              <w:rPr>
                <w:rFonts w:hint="default" w:ascii="Times New Roman" w:hAnsi="Times New Roman" w:eastAsia="宋体" w:cs="Times New Roman"/>
                <w:color w:val="0000FF"/>
                <w:sz w:val="24"/>
                <w:szCs w:val="24"/>
                <w:lang w:val="en-US" w:eastAsia="zh-CN"/>
              </w:rPr>
              <w:t>山东黄河龙集团有限公司与山东海奥斯生物科技股份有限公司同属于山东艺林财务咨询有限公司</w:t>
            </w:r>
            <w:r>
              <w:rPr>
                <w:rFonts w:hint="eastAsia" w:cs="Times New Roman"/>
                <w:color w:val="0000FF"/>
                <w:sz w:val="24"/>
                <w:szCs w:val="24"/>
                <w:lang w:val="en-US" w:eastAsia="zh-CN"/>
              </w:rPr>
              <w:t>（大股东）</w:t>
            </w:r>
            <w:r>
              <w:rPr>
                <w:rFonts w:hint="default" w:ascii="Times New Roman" w:hAnsi="Times New Roman" w:eastAsia="宋体" w:cs="Times New Roman"/>
                <w:color w:val="0000FF"/>
                <w:sz w:val="24"/>
                <w:szCs w:val="24"/>
                <w:lang w:val="en-US" w:eastAsia="zh-CN"/>
              </w:rPr>
              <w:t>投资建设（详见附件</w:t>
            </w:r>
            <w:r>
              <w:rPr>
                <w:rFonts w:hint="eastAsia" w:cs="Times New Roman"/>
                <w:color w:val="0000FF"/>
                <w:sz w:val="24"/>
                <w:szCs w:val="24"/>
                <w:lang w:val="en-US" w:eastAsia="zh-CN"/>
              </w:rPr>
              <w:t>七</w:t>
            </w:r>
            <w:r>
              <w:rPr>
                <w:rFonts w:hint="default" w:ascii="Times New Roman" w:hAnsi="Times New Roman" w:eastAsia="宋体" w:cs="Times New Roman"/>
                <w:color w:val="0000FF"/>
                <w:sz w:val="24"/>
                <w:szCs w:val="24"/>
                <w:lang w:val="en-US" w:eastAsia="zh-CN"/>
              </w:rPr>
              <w:t>）</w:t>
            </w:r>
            <w:r>
              <w:rPr>
                <w:rFonts w:hint="eastAsia" w:cs="Times New Roman"/>
                <w:color w:val="0000FF"/>
                <w:sz w:val="24"/>
                <w:szCs w:val="24"/>
                <w:lang w:val="en-US" w:eastAsia="zh-CN"/>
              </w:rPr>
              <w:t>，厂区紧邻，共用办公楼、食堂等辅助设施</w:t>
            </w:r>
            <w:r>
              <w:rPr>
                <w:rFonts w:hint="default" w:ascii="Times New Roman" w:hAnsi="Times New Roman" w:eastAsia="宋体" w:cs="Times New Roman"/>
                <w:color w:val="0000FF"/>
                <w:sz w:val="24"/>
                <w:szCs w:val="24"/>
                <w:lang w:val="en-US" w:eastAsia="zh-CN"/>
              </w:rPr>
              <w:t>。山东海奥斯生物科技股份有限公司厂区外供蒸汽由桓台经济开发区热力有限公司提供。</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0000FF"/>
                <w:sz w:val="24"/>
                <w:szCs w:val="24"/>
                <w:lang w:val="en-US" w:eastAsia="zh-CN"/>
              </w:rPr>
            </w:pPr>
            <w:r>
              <w:rPr>
                <w:rFonts w:hint="default" w:ascii="Times New Roman" w:hAnsi="Times New Roman" w:eastAsia="宋体" w:cs="Times New Roman"/>
                <w:color w:val="0000FF"/>
                <w:sz w:val="24"/>
                <w:szCs w:val="24"/>
                <w:lang w:val="en-US" w:eastAsia="zh-CN"/>
              </w:rPr>
              <w:t>桓台经济开发区热力有限公司成立于2012年，是山东汇丰石化集团有限公司的全资子公司，公司现有现有1台280t/h、2台75t/h和3台130t/h循环流化床锅炉主要为汇丰石化及开发区其他工业企业提供工业蒸汽，并承担着桓台县中心城区及开发区办公、居民采暖供热任务。</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cs="Times New Roman"/>
                <w:color w:val="0000FF"/>
                <w:sz w:val="24"/>
                <w:szCs w:val="24"/>
                <w:lang w:val="en-US" w:eastAsia="zh-CN"/>
              </w:rPr>
            </w:pPr>
            <w:r>
              <w:rPr>
                <w:rFonts w:hint="default" w:ascii="Times New Roman" w:hAnsi="Times New Roman" w:eastAsia="宋体" w:cs="Times New Roman"/>
                <w:color w:val="0000FF"/>
                <w:sz w:val="24"/>
                <w:szCs w:val="24"/>
                <w:lang w:val="en-US" w:eastAsia="zh-CN"/>
              </w:rPr>
              <w:t>根据桓台经济开发区热力有限公司《供热锅炉节能减排技术改造项目环境影响报告书》（山东海美侬项目咨询有限公司编制）分析，该公司于2019年6月14日至2023年12月31日计划新建2台280t/h循环流化床锅炉（一备一用），并拆除1台130t/h以及2台75t/h锅炉，项目建成后新建的</w:t>
            </w:r>
            <w:r>
              <w:rPr>
                <w:rFonts w:hint="eastAsia" w:cs="Times New Roman"/>
                <w:color w:val="0000FF"/>
                <w:sz w:val="24"/>
                <w:szCs w:val="24"/>
                <w:lang w:val="en-US" w:eastAsia="zh-CN"/>
              </w:rPr>
              <w:t>一</w:t>
            </w:r>
            <w:r>
              <w:rPr>
                <w:rFonts w:hint="default" w:ascii="Times New Roman" w:hAnsi="Times New Roman" w:eastAsia="宋体" w:cs="Times New Roman"/>
                <w:color w:val="0000FF"/>
                <w:sz w:val="24"/>
                <w:szCs w:val="24"/>
                <w:lang w:val="en-US" w:eastAsia="zh-CN"/>
              </w:rPr>
              <w:t>台280t/h锅炉全年运行，原有</w:t>
            </w:r>
            <w:r>
              <w:rPr>
                <w:rFonts w:hint="eastAsia" w:cs="Times New Roman"/>
                <w:color w:val="0000FF"/>
                <w:sz w:val="24"/>
                <w:szCs w:val="24"/>
                <w:lang w:val="en-US" w:eastAsia="zh-CN"/>
              </w:rPr>
              <w:t>两台</w:t>
            </w:r>
            <w:r>
              <w:rPr>
                <w:rFonts w:hint="default" w:ascii="Times New Roman" w:hAnsi="Times New Roman" w:eastAsia="宋体" w:cs="Times New Roman"/>
                <w:color w:val="0000FF"/>
                <w:sz w:val="24"/>
                <w:szCs w:val="24"/>
                <w:lang w:val="en-US" w:eastAsia="zh-CN"/>
              </w:rPr>
              <w:t>130t/h锅炉采暖季运行，另一台280t/h锅炉备用。项目建成后热负荷不发生变化。</w:t>
            </w:r>
            <w:r>
              <w:rPr>
                <w:rFonts w:hint="eastAsia" w:cs="Times New Roman"/>
                <w:color w:val="0000FF"/>
                <w:sz w:val="24"/>
                <w:szCs w:val="24"/>
                <w:lang w:val="en-US" w:eastAsia="zh-CN"/>
              </w:rPr>
              <w:t>热负荷情况如下表：</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eastAsia="黑体" w:cs="Times New Roman"/>
                <w:b/>
                <w:bCs/>
                <w:color w:val="0000FF"/>
                <w:sz w:val="24"/>
                <w:szCs w:val="24"/>
                <w:vertAlign w:val="baseline"/>
                <w:lang w:val="en-US" w:eastAsia="zh-CN"/>
              </w:rPr>
            </w:pPr>
            <w:r>
              <w:rPr>
                <w:rFonts w:hint="default" w:ascii="Times New Roman" w:hAnsi="Times New Roman" w:eastAsia="黑体" w:cs="Times New Roman"/>
                <w:b/>
                <w:bCs/>
                <w:color w:val="0000FF"/>
                <w:sz w:val="24"/>
                <w:szCs w:val="24"/>
                <w:lang w:val="en-US" w:eastAsia="zh-CN"/>
              </w:rPr>
              <w:t>表14 现有工业热负荷情况</w:t>
            </w:r>
          </w:p>
          <w:tbl>
            <w:tblPr>
              <w:tblStyle w:val="21"/>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9"/>
              <w:gridCol w:w="3012"/>
              <w:gridCol w:w="1538"/>
              <w:gridCol w:w="1287"/>
              <w:gridCol w:w="13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6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s="Times New Roman"/>
                      <w:color w:val="0000FF"/>
                      <w:sz w:val="21"/>
                      <w:szCs w:val="21"/>
                      <w:vertAlign w:val="baseline"/>
                      <w:lang w:val="en-US" w:eastAsia="zh-CN"/>
                    </w:rPr>
                  </w:pPr>
                  <w:r>
                    <w:rPr>
                      <w:rFonts w:hint="eastAsia" w:cs="Times New Roman"/>
                      <w:color w:val="0000FF"/>
                      <w:sz w:val="21"/>
                      <w:szCs w:val="21"/>
                      <w:vertAlign w:val="baseline"/>
                      <w:lang w:val="en-US" w:eastAsia="zh-CN"/>
                    </w:rPr>
                    <w:t>序号</w:t>
                  </w:r>
                </w:p>
              </w:tc>
              <w:tc>
                <w:tcPr>
                  <w:tcW w:w="301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s="Times New Roman"/>
                      <w:color w:val="0000FF"/>
                      <w:sz w:val="21"/>
                      <w:szCs w:val="21"/>
                      <w:vertAlign w:val="baseline"/>
                      <w:lang w:val="en-US" w:eastAsia="zh-CN"/>
                    </w:rPr>
                  </w:pPr>
                  <w:r>
                    <w:rPr>
                      <w:rFonts w:hint="eastAsia" w:cs="Times New Roman"/>
                      <w:color w:val="0000FF"/>
                      <w:sz w:val="21"/>
                      <w:szCs w:val="21"/>
                      <w:vertAlign w:val="baseline"/>
                      <w:lang w:val="en-US" w:eastAsia="zh-CN"/>
                    </w:rPr>
                    <w:t>用户名称</w:t>
                  </w:r>
                </w:p>
              </w:tc>
              <w:tc>
                <w:tcPr>
                  <w:tcW w:w="153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s="Times New Roman"/>
                      <w:color w:val="0000FF"/>
                      <w:sz w:val="21"/>
                      <w:szCs w:val="21"/>
                      <w:vertAlign w:val="baseline"/>
                      <w:lang w:val="en-US" w:eastAsia="zh-CN"/>
                    </w:rPr>
                  </w:pPr>
                  <w:r>
                    <w:rPr>
                      <w:rFonts w:hint="eastAsia" w:cs="Times New Roman"/>
                      <w:color w:val="0000FF"/>
                      <w:sz w:val="21"/>
                      <w:szCs w:val="21"/>
                      <w:vertAlign w:val="baseline"/>
                      <w:lang w:val="en-US" w:eastAsia="zh-CN"/>
                    </w:rPr>
                    <w:t>用气压力MPa</w:t>
                  </w:r>
                </w:p>
              </w:tc>
              <w:tc>
                <w:tcPr>
                  <w:tcW w:w="128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s="Times New Roman"/>
                      <w:color w:val="0000FF"/>
                      <w:sz w:val="21"/>
                      <w:szCs w:val="21"/>
                      <w:vertAlign w:val="baseline"/>
                      <w:lang w:val="en-US" w:eastAsia="zh-CN"/>
                    </w:rPr>
                  </w:pPr>
                  <w:r>
                    <w:rPr>
                      <w:rFonts w:hint="default" w:ascii="Times New Roman" w:hAnsi="Times New Roman" w:eastAsia="宋体" w:cs="Times New Roman"/>
                      <w:color w:val="0000FF"/>
                      <w:sz w:val="21"/>
                      <w:szCs w:val="21"/>
                      <w:vertAlign w:val="baseline"/>
                      <w:lang w:val="en-US" w:eastAsia="zh-CN"/>
                    </w:rPr>
                    <w:t>用气温度</w:t>
                  </w:r>
                  <w:r>
                    <w:rPr>
                      <w:rFonts w:hint="default" w:ascii="Times New Roman" w:hAnsi="Times New Roman" w:eastAsia="宋体" w:cs="Times New Roman"/>
                      <w:color w:val="0000FF"/>
                      <w:sz w:val="21"/>
                      <w:szCs w:val="21"/>
                      <w:lang w:val="en-US" w:eastAsia="zh-CN"/>
                    </w:rPr>
                    <w:t>℃</w:t>
                  </w:r>
                </w:p>
              </w:tc>
              <w:tc>
                <w:tcPr>
                  <w:tcW w:w="13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s="Times New Roman"/>
                      <w:color w:val="0000FF"/>
                      <w:sz w:val="21"/>
                      <w:szCs w:val="21"/>
                      <w:vertAlign w:val="baseline"/>
                      <w:lang w:val="en-US" w:eastAsia="zh-CN"/>
                    </w:rPr>
                  </w:pPr>
                  <w:r>
                    <w:rPr>
                      <w:rFonts w:hint="eastAsia" w:cs="Times New Roman"/>
                      <w:color w:val="0000FF"/>
                      <w:sz w:val="21"/>
                      <w:szCs w:val="21"/>
                      <w:vertAlign w:val="baseline"/>
                      <w:lang w:val="en-US" w:eastAsia="zh-CN"/>
                    </w:rPr>
                    <w:t>热负荷t/h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69"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s="Times New Roman"/>
                      <w:color w:val="0000FF"/>
                      <w:sz w:val="21"/>
                      <w:szCs w:val="21"/>
                      <w:vertAlign w:val="baseline"/>
                      <w:lang w:val="en-US" w:eastAsia="zh-CN"/>
                    </w:rPr>
                  </w:pPr>
                  <w:r>
                    <w:rPr>
                      <w:rFonts w:hint="eastAsia" w:cs="Times New Roman"/>
                      <w:color w:val="0000FF"/>
                      <w:sz w:val="21"/>
                      <w:szCs w:val="21"/>
                      <w:vertAlign w:val="baseline"/>
                      <w:lang w:val="en-US" w:eastAsia="zh-CN"/>
                    </w:rPr>
                    <w:t>1</w:t>
                  </w:r>
                </w:p>
              </w:tc>
              <w:tc>
                <w:tcPr>
                  <w:tcW w:w="3012"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s="Times New Roman"/>
                      <w:color w:val="0000FF"/>
                      <w:sz w:val="21"/>
                      <w:szCs w:val="21"/>
                      <w:vertAlign w:val="baseline"/>
                      <w:lang w:val="en-US" w:eastAsia="zh-CN"/>
                    </w:rPr>
                  </w:pPr>
                  <w:r>
                    <w:rPr>
                      <w:rFonts w:hint="eastAsia" w:cs="Times New Roman"/>
                      <w:color w:val="0000FF"/>
                      <w:sz w:val="21"/>
                      <w:szCs w:val="21"/>
                      <w:vertAlign w:val="baseline"/>
                      <w:lang w:val="en-US" w:eastAsia="zh-CN"/>
                    </w:rPr>
                    <w:t>山东汇丰石化集团有限公司</w:t>
                  </w:r>
                </w:p>
              </w:tc>
              <w:tc>
                <w:tcPr>
                  <w:tcW w:w="153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s="Times New Roman"/>
                      <w:color w:val="0000FF"/>
                      <w:sz w:val="21"/>
                      <w:szCs w:val="21"/>
                      <w:vertAlign w:val="baseline"/>
                      <w:lang w:val="en-US" w:eastAsia="zh-CN"/>
                    </w:rPr>
                  </w:pPr>
                  <w:r>
                    <w:rPr>
                      <w:rFonts w:hint="eastAsia" w:cs="Times New Roman"/>
                      <w:color w:val="0000FF"/>
                      <w:sz w:val="21"/>
                      <w:szCs w:val="21"/>
                      <w:vertAlign w:val="baseline"/>
                      <w:lang w:val="en-US" w:eastAsia="zh-CN"/>
                    </w:rPr>
                    <w:t>8.83</w:t>
                  </w:r>
                </w:p>
              </w:tc>
              <w:tc>
                <w:tcPr>
                  <w:tcW w:w="128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s="Times New Roman"/>
                      <w:color w:val="0000FF"/>
                      <w:sz w:val="21"/>
                      <w:szCs w:val="21"/>
                      <w:vertAlign w:val="baseline"/>
                      <w:lang w:val="en-US" w:eastAsia="zh-CN"/>
                    </w:rPr>
                  </w:pPr>
                  <w:r>
                    <w:rPr>
                      <w:rFonts w:hint="eastAsia" w:cs="Times New Roman"/>
                      <w:color w:val="0000FF"/>
                      <w:sz w:val="21"/>
                      <w:szCs w:val="21"/>
                      <w:vertAlign w:val="baseline"/>
                      <w:lang w:val="en-US" w:eastAsia="zh-CN"/>
                    </w:rPr>
                    <w:t>535</w:t>
                  </w:r>
                </w:p>
              </w:tc>
              <w:tc>
                <w:tcPr>
                  <w:tcW w:w="13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s="Times New Roman"/>
                      <w:color w:val="0000FF"/>
                      <w:sz w:val="21"/>
                      <w:szCs w:val="21"/>
                      <w:vertAlign w:val="baseline"/>
                      <w:lang w:val="en-US" w:eastAsia="zh-CN"/>
                    </w:rPr>
                  </w:pPr>
                  <w:r>
                    <w:rPr>
                      <w:rFonts w:hint="eastAsia" w:cs="Times New Roman"/>
                      <w:color w:val="0000FF"/>
                      <w:sz w:val="21"/>
                      <w:szCs w:val="21"/>
                      <w:vertAlign w:val="baseline"/>
                      <w:lang w:val="en-US" w:eastAsia="zh-CN"/>
                    </w:rPr>
                    <w:t>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769"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eastAsia" w:cs="Times New Roman"/>
                      <w:color w:val="0000FF"/>
                      <w:sz w:val="21"/>
                      <w:szCs w:val="21"/>
                      <w:vertAlign w:val="baseline"/>
                      <w:lang w:val="en-US" w:eastAsia="zh-CN"/>
                    </w:rPr>
                  </w:pPr>
                </w:p>
              </w:tc>
              <w:tc>
                <w:tcPr>
                  <w:tcW w:w="3012"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s="Times New Roman"/>
                      <w:color w:val="0000FF"/>
                      <w:sz w:val="21"/>
                      <w:szCs w:val="21"/>
                      <w:vertAlign w:val="baseline"/>
                      <w:lang w:val="en-US" w:eastAsia="zh-CN"/>
                    </w:rPr>
                  </w:pPr>
                </w:p>
              </w:tc>
              <w:tc>
                <w:tcPr>
                  <w:tcW w:w="153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s="Times New Roman"/>
                      <w:color w:val="0000FF"/>
                      <w:sz w:val="21"/>
                      <w:szCs w:val="21"/>
                      <w:vertAlign w:val="baseline"/>
                      <w:lang w:val="en-US" w:eastAsia="zh-CN"/>
                    </w:rPr>
                  </w:pPr>
                  <w:r>
                    <w:rPr>
                      <w:rFonts w:hint="eastAsia" w:cs="Times New Roman"/>
                      <w:color w:val="0000FF"/>
                      <w:sz w:val="21"/>
                      <w:szCs w:val="21"/>
                      <w:vertAlign w:val="baseline"/>
                      <w:lang w:val="en-US" w:eastAsia="zh-CN"/>
                    </w:rPr>
                    <w:t>3.8</w:t>
                  </w:r>
                </w:p>
              </w:tc>
              <w:tc>
                <w:tcPr>
                  <w:tcW w:w="128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s="Times New Roman"/>
                      <w:color w:val="0000FF"/>
                      <w:sz w:val="21"/>
                      <w:szCs w:val="21"/>
                      <w:vertAlign w:val="baseline"/>
                      <w:lang w:val="en-US" w:eastAsia="zh-CN"/>
                    </w:rPr>
                  </w:pPr>
                  <w:r>
                    <w:rPr>
                      <w:rFonts w:hint="eastAsia" w:cs="Times New Roman"/>
                      <w:color w:val="0000FF"/>
                      <w:sz w:val="21"/>
                      <w:szCs w:val="21"/>
                      <w:vertAlign w:val="baseline"/>
                      <w:lang w:val="en-US" w:eastAsia="zh-CN"/>
                    </w:rPr>
                    <w:t>450</w:t>
                  </w:r>
                </w:p>
              </w:tc>
              <w:tc>
                <w:tcPr>
                  <w:tcW w:w="13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s="Times New Roman"/>
                      <w:color w:val="0000FF"/>
                      <w:sz w:val="21"/>
                      <w:szCs w:val="21"/>
                      <w:vertAlign w:val="baseline"/>
                      <w:lang w:val="en-US" w:eastAsia="zh-CN"/>
                    </w:rPr>
                  </w:pPr>
                  <w:r>
                    <w:rPr>
                      <w:rFonts w:hint="eastAsia" w:cs="Times New Roman"/>
                      <w:color w:val="0000FF"/>
                      <w:sz w:val="21"/>
                      <w:szCs w:val="21"/>
                      <w:vertAlign w:val="baseline"/>
                      <w:lang w:val="en-US" w:eastAsia="zh-CN"/>
                    </w:rPr>
                    <w:t>156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769"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s="Times New Roman"/>
                      <w:color w:val="0000FF"/>
                      <w:sz w:val="21"/>
                      <w:szCs w:val="21"/>
                      <w:vertAlign w:val="baseline"/>
                      <w:lang w:val="en-US" w:eastAsia="zh-CN"/>
                    </w:rPr>
                  </w:pPr>
                </w:p>
              </w:tc>
              <w:tc>
                <w:tcPr>
                  <w:tcW w:w="3012"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s="Times New Roman"/>
                      <w:color w:val="0000FF"/>
                      <w:sz w:val="21"/>
                      <w:szCs w:val="21"/>
                      <w:vertAlign w:val="baseline"/>
                      <w:lang w:val="en-US" w:eastAsia="zh-CN"/>
                    </w:rPr>
                  </w:pPr>
                </w:p>
              </w:tc>
              <w:tc>
                <w:tcPr>
                  <w:tcW w:w="153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s="Times New Roman"/>
                      <w:color w:val="0000FF"/>
                      <w:sz w:val="21"/>
                      <w:szCs w:val="21"/>
                      <w:vertAlign w:val="baseline"/>
                      <w:lang w:val="en-US" w:eastAsia="zh-CN"/>
                    </w:rPr>
                  </w:pPr>
                  <w:r>
                    <w:rPr>
                      <w:rFonts w:hint="eastAsia" w:cs="Times New Roman"/>
                      <w:color w:val="0000FF"/>
                      <w:sz w:val="21"/>
                      <w:szCs w:val="21"/>
                      <w:vertAlign w:val="baseline"/>
                      <w:lang w:val="en-US" w:eastAsia="zh-CN"/>
                    </w:rPr>
                    <w:t>0.981</w:t>
                  </w:r>
                </w:p>
              </w:tc>
              <w:tc>
                <w:tcPr>
                  <w:tcW w:w="128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s="Times New Roman"/>
                      <w:color w:val="0000FF"/>
                      <w:sz w:val="21"/>
                      <w:szCs w:val="21"/>
                      <w:vertAlign w:val="baseline"/>
                      <w:lang w:val="en-US" w:eastAsia="zh-CN"/>
                    </w:rPr>
                  </w:pPr>
                  <w:r>
                    <w:rPr>
                      <w:rFonts w:hint="eastAsia" w:cs="Times New Roman"/>
                      <w:color w:val="0000FF"/>
                      <w:sz w:val="21"/>
                      <w:szCs w:val="21"/>
                      <w:vertAlign w:val="baseline"/>
                      <w:lang w:val="en-US" w:eastAsia="zh-CN"/>
                    </w:rPr>
                    <w:t>283</w:t>
                  </w:r>
                </w:p>
              </w:tc>
              <w:tc>
                <w:tcPr>
                  <w:tcW w:w="13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s="Times New Roman"/>
                      <w:color w:val="0000FF"/>
                      <w:sz w:val="21"/>
                      <w:szCs w:val="21"/>
                      <w:vertAlign w:val="baseline"/>
                      <w:lang w:val="en-US" w:eastAsia="zh-CN"/>
                    </w:rPr>
                  </w:pPr>
                  <w:r>
                    <w:rPr>
                      <w:rFonts w:hint="eastAsia" w:cs="Times New Roman"/>
                      <w:color w:val="0000FF"/>
                      <w:sz w:val="21"/>
                      <w:szCs w:val="21"/>
                      <w:vertAlign w:val="baseline"/>
                      <w:lang w:val="en-US" w:eastAsia="zh-CN"/>
                    </w:rPr>
                    <w:t>27.5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69"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s="Times New Roman"/>
                      <w:color w:val="0000FF"/>
                      <w:sz w:val="21"/>
                      <w:szCs w:val="21"/>
                      <w:vertAlign w:val="baseline"/>
                      <w:lang w:val="en-US" w:eastAsia="zh-CN"/>
                    </w:rPr>
                  </w:pPr>
                  <w:r>
                    <w:rPr>
                      <w:rFonts w:hint="eastAsia" w:cs="Times New Roman"/>
                      <w:color w:val="0000FF"/>
                      <w:sz w:val="21"/>
                      <w:szCs w:val="21"/>
                      <w:vertAlign w:val="baseline"/>
                      <w:lang w:val="en-US" w:eastAsia="zh-CN"/>
                    </w:rPr>
                    <w:t>2</w:t>
                  </w:r>
                </w:p>
              </w:tc>
              <w:tc>
                <w:tcPr>
                  <w:tcW w:w="3012"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s="Times New Roman"/>
                      <w:color w:val="0000FF"/>
                      <w:sz w:val="21"/>
                      <w:szCs w:val="21"/>
                      <w:vertAlign w:val="baseline"/>
                      <w:lang w:val="en-US" w:eastAsia="zh-CN"/>
                    </w:rPr>
                  </w:pPr>
                  <w:r>
                    <w:rPr>
                      <w:rFonts w:hint="eastAsia" w:cs="Times New Roman"/>
                      <w:color w:val="0000FF"/>
                      <w:sz w:val="21"/>
                      <w:szCs w:val="21"/>
                      <w:vertAlign w:val="baseline"/>
                      <w:lang w:val="en-US" w:eastAsia="zh-CN"/>
                    </w:rPr>
                    <w:t>淄博海益精细化工有限公司</w:t>
                  </w:r>
                </w:p>
              </w:tc>
              <w:tc>
                <w:tcPr>
                  <w:tcW w:w="153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color w:val="0000FF"/>
                      <w:kern w:val="0"/>
                      <w:sz w:val="21"/>
                      <w:szCs w:val="21"/>
                      <w:vertAlign w:val="baseline"/>
                      <w:lang w:val="en-US" w:eastAsia="zh-CN" w:bidi="ar-SA"/>
                    </w:rPr>
                  </w:pPr>
                  <w:r>
                    <w:rPr>
                      <w:rFonts w:hint="eastAsia" w:cs="Times New Roman"/>
                      <w:color w:val="0000FF"/>
                      <w:sz w:val="21"/>
                      <w:szCs w:val="21"/>
                      <w:vertAlign w:val="baseline"/>
                      <w:lang w:val="en-US" w:eastAsia="zh-CN"/>
                    </w:rPr>
                    <w:t>8.83</w:t>
                  </w:r>
                </w:p>
              </w:tc>
              <w:tc>
                <w:tcPr>
                  <w:tcW w:w="128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color w:val="0000FF"/>
                      <w:kern w:val="0"/>
                      <w:sz w:val="21"/>
                      <w:szCs w:val="21"/>
                      <w:vertAlign w:val="baseline"/>
                      <w:lang w:val="en-US" w:eastAsia="zh-CN" w:bidi="ar-SA"/>
                    </w:rPr>
                  </w:pPr>
                  <w:r>
                    <w:rPr>
                      <w:rFonts w:hint="eastAsia" w:cs="Times New Roman"/>
                      <w:color w:val="0000FF"/>
                      <w:sz w:val="21"/>
                      <w:szCs w:val="21"/>
                      <w:vertAlign w:val="baseline"/>
                      <w:lang w:val="en-US" w:eastAsia="zh-CN"/>
                    </w:rPr>
                    <w:t>535</w:t>
                  </w:r>
                </w:p>
              </w:tc>
              <w:tc>
                <w:tcPr>
                  <w:tcW w:w="13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s="Times New Roman"/>
                      <w:color w:val="0000FF"/>
                      <w:sz w:val="21"/>
                      <w:szCs w:val="21"/>
                      <w:vertAlign w:val="baseline"/>
                      <w:lang w:val="en-US" w:eastAsia="zh-CN"/>
                    </w:rPr>
                  </w:pPr>
                  <w:r>
                    <w:rPr>
                      <w:rFonts w:hint="eastAsia" w:cs="Times New Roman"/>
                      <w:color w:val="0000FF"/>
                      <w:sz w:val="21"/>
                      <w:szCs w:val="21"/>
                      <w:vertAlign w:val="baseline"/>
                      <w:lang w:val="en-US" w:eastAsia="zh-CN"/>
                    </w:rPr>
                    <w:t>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769"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eastAsia" w:cs="Times New Roman"/>
                      <w:color w:val="0000FF"/>
                      <w:sz w:val="21"/>
                      <w:szCs w:val="21"/>
                      <w:vertAlign w:val="baseline"/>
                      <w:lang w:val="en-US" w:eastAsia="zh-CN"/>
                    </w:rPr>
                  </w:pPr>
                </w:p>
              </w:tc>
              <w:tc>
                <w:tcPr>
                  <w:tcW w:w="3012"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s="Times New Roman"/>
                      <w:color w:val="0000FF"/>
                      <w:sz w:val="21"/>
                      <w:szCs w:val="21"/>
                      <w:vertAlign w:val="baseline"/>
                      <w:lang w:val="en-US" w:eastAsia="zh-CN"/>
                    </w:rPr>
                  </w:pPr>
                </w:p>
              </w:tc>
              <w:tc>
                <w:tcPr>
                  <w:tcW w:w="153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color w:val="0000FF"/>
                      <w:kern w:val="0"/>
                      <w:sz w:val="21"/>
                      <w:szCs w:val="21"/>
                      <w:vertAlign w:val="baseline"/>
                      <w:lang w:val="en-US" w:eastAsia="zh-CN" w:bidi="ar-SA"/>
                    </w:rPr>
                  </w:pPr>
                  <w:r>
                    <w:rPr>
                      <w:rFonts w:hint="eastAsia" w:cs="Times New Roman"/>
                      <w:color w:val="0000FF"/>
                      <w:sz w:val="21"/>
                      <w:szCs w:val="21"/>
                      <w:vertAlign w:val="baseline"/>
                      <w:lang w:val="en-US" w:eastAsia="zh-CN"/>
                    </w:rPr>
                    <w:t>3.8</w:t>
                  </w:r>
                </w:p>
              </w:tc>
              <w:tc>
                <w:tcPr>
                  <w:tcW w:w="128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color w:val="0000FF"/>
                      <w:kern w:val="0"/>
                      <w:sz w:val="21"/>
                      <w:szCs w:val="21"/>
                      <w:vertAlign w:val="baseline"/>
                      <w:lang w:val="en-US" w:eastAsia="zh-CN" w:bidi="ar-SA"/>
                    </w:rPr>
                  </w:pPr>
                  <w:r>
                    <w:rPr>
                      <w:rFonts w:hint="eastAsia" w:cs="Times New Roman"/>
                      <w:color w:val="0000FF"/>
                      <w:sz w:val="21"/>
                      <w:szCs w:val="21"/>
                      <w:vertAlign w:val="baseline"/>
                      <w:lang w:val="en-US" w:eastAsia="zh-CN"/>
                    </w:rPr>
                    <w:t>450</w:t>
                  </w:r>
                </w:p>
              </w:tc>
              <w:tc>
                <w:tcPr>
                  <w:tcW w:w="13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s="Times New Roman"/>
                      <w:color w:val="0000FF"/>
                      <w:sz w:val="21"/>
                      <w:szCs w:val="21"/>
                      <w:vertAlign w:val="baseline"/>
                      <w:lang w:val="en-US" w:eastAsia="zh-CN"/>
                    </w:rPr>
                  </w:pPr>
                  <w:r>
                    <w:rPr>
                      <w:rFonts w:hint="eastAsia" w:cs="Times New Roman"/>
                      <w:color w:val="0000FF"/>
                      <w:sz w:val="21"/>
                      <w:szCs w:val="21"/>
                      <w:vertAlign w:val="baseline"/>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69"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eastAsia" w:cs="Times New Roman"/>
                      <w:color w:val="0000FF"/>
                      <w:sz w:val="21"/>
                      <w:szCs w:val="21"/>
                      <w:vertAlign w:val="baseline"/>
                      <w:lang w:val="en-US" w:eastAsia="zh-CN"/>
                    </w:rPr>
                  </w:pPr>
                </w:p>
              </w:tc>
              <w:tc>
                <w:tcPr>
                  <w:tcW w:w="3012"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s="Times New Roman"/>
                      <w:color w:val="0000FF"/>
                      <w:sz w:val="21"/>
                      <w:szCs w:val="21"/>
                      <w:vertAlign w:val="baseline"/>
                      <w:lang w:val="en-US" w:eastAsia="zh-CN"/>
                    </w:rPr>
                  </w:pPr>
                </w:p>
              </w:tc>
              <w:tc>
                <w:tcPr>
                  <w:tcW w:w="153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color w:val="0000FF"/>
                      <w:kern w:val="0"/>
                      <w:sz w:val="21"/>
                      <w:szCs w:val="21"/>
                      <w:vertAlign w:val="baseline"/>
                      <w:lang w:val="en-US" w:eastAsia="zh-CN" w:bidi="ar-SA"/>
                    </w:rPr>
                  </w:pPr>
                  <w:r>
                    <w:rPr>
                      <w:rFonts w:hint="eastAsia" w:cs="Times New Roman"/>
                      <w:color w:val="0000FF"/>
                      <w:sz w:val="21"/>
                      <w:szCs w:val="21"/>
                      <w:vertAlign w:val="baseline"/>
                      <w:lang w:val="en-US" w:eastAsia="zh-CN"/>
                    </w:rPr>
                    <w:t>0.981</w:t>
                  </w:r>
                </w:p>
              </w:tc>
              <w:tc>
                <w:tcPr>
                  <w:tcW w:w="128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color w:val="0000FF"/>
                      <w:kern w:val="0"/>
                      <w:sz w:val="21"/>
                      <w:szCs w:val="21"/>
                      <w:vertAlign w:val="baseline"/>
                      <w:lang w:val="en-US" w:eastAsia="zh-CN" w:bidi="ar-SA"/>
                    </w:rPr>
                  </w:pPr>
                  <w:r>
                    <w:rPr>
                      <w:rFonts w:hint="eastAsia" w:cs="Times New Roman"/>
                      <w:color w:val="0000FF"/>
                      <w:sz w:val="21"/>
                      <w:szCs w:val="21"/>
                      <w:vertAlign w:val="baseline"/>
                      <w:lang w:val="en-US" w:eastAsia="zh-CN"/>
                    </w:rPr>
                    <w:t>283</w:t>
                  </w:r>
                </w:p>
              </w:tc>
              <w:tc>
                <w:tcPr>
                  <w:tcW w:w="13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s="Times New Roman"/>
                      <w:color w:val="0000FF"/>
                      <w:sz w:val="21"/>
                      <w:szCs w:val="21"/>
                      <w:vertAlign w:val="baseline"/>
                      <w:lang w:val="en-US" w:eastAsia="zh-CN"/>
                    </w:rPr>
                  </w:pPr>
                  <w:r>
                    <w:rPr>
                      <w:rFonts w:hint="eastAsia" w:cs="Times New Roman"/>
                      <w:color w:val="0000FF"/>
                      <w:sz w:val="21"/>
                      <w:szCs w:val="21"/>
                      <w:vertAlign w:val="baseline"/>
                      <w:lang w:val="en-US" w:eastAsia="zh-CN"/>
                    </w:rPr>
                    <w:t>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76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s="Times New Roman"/>
                      <w:color w:val="0000FF"/>
                      <w:sz w:val="21"/>
                      <w:szCs w:val="21"/>
                      <w:vertAlign w:val="baseline"/>
                      <w:lang w:val="en-US" w:eastAsia="zh-CN"/>
                    </w:rPr>
                  </w:pPr>
                  <w:r>
                    <w:rPr>
                      <w:rFonts w:hint="eastAsia" w:cs="Times New Roman"/>
                      <w:color w:val="0000FF"/>
                      <w:sz w:val="21"/>
                      <w:szCs w:val="21"/>
                      <w:vertAlign w:val="baseline"/>
                      <w:lang w:val="en-US" w:eastAsia="zh-CN"/>
                    </w:rPr>
                    <w:t>3</w:t>
                  </w:r>
                </w:p>
              </w:tc>
              <w:tc>
                <w:tcPr>
                  <w:tcW w:w="301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s="Times New Roman"/>
                      <w:color w:val="0000FF"/>
                      <w:sz w:val="21"/>
                      <w:szCs w:val="21"/>
                      <w:vertAlign w:val="baseline"/>
                      <w:lang w:val="en-US" w:eastAsia="zh-CN"/>
                    </w:rPr>
                  </w:pPr>
                  <w:r>
                    <w:rPr>
                      <w:rFonts w:hint="eastAsia" w:cs="Times New Roman"/>
                      <w:color w:val="0000FF"/>
                      <w:sz w:val="21"/>
                      <w:szCs w:val="21"/>
                      <w:vertAlign w:val="baseline"/>
                      <w:lang w:val="en-US" w:eastAsia="zh-CN"/>
                    </w:rPr>
                    <w:t>山东公路重交沥青有限公司</w:t>
                  </w:r>
                </w:p>
              </w:tc>
              <w:tc>
                <w:tcPr>
                  <w:tcW w:w="153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color w:val="0000FF"/>
                      <w:kern w:val="0"/>
                      <w:sz w:val="21"/>
                      <w:szCs w:val="21"/>
                      <w:vertAlign w:val="baseline"/>
                      <w:lang w:val="en-US" w:eastAsia="zh-CN" w:bidi="ar-SA"/>
                    </w:rPr>
                  </w:pPr>
                  <w:r>
                    <w:rPr>
                      <w:rFonts w:hint="eastAsia" w:cs="Times New Roman"/>
                      <w:color w:val="0000FF"/>
                      <w:sz w:val="21"/>
                      <w:szCs w:val="21"/>
                      <w:vertAlign w:val="baseline"/>
                      <w:lang w:val="en-US" w:eastAsia="zh-CN"/>
                    </w:rPr>
                    <w:t>0.981</w:t>
                  </w:r>
                </w:p>
              </w:tc>
              <w:tc>
                <w:tcPr>
                  <w:tcW w:w="128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color w:val="0000FF"/>
                      <w:kern w:val="0"/>
                      <w:sz w:val="21"/>
                      <w:szCs w:val="21"/>
                      <w:vertAlign w:val="baseline"/>
                      <w:lang w:val="en-US" w:eastAsia="zh-CN" w:bidi="ar-SA"/>
                    </w:rPr>
                  </w:pPr>
                  <w:r>
                    <w:rPr>
                      <w:rFonts w:hint="eastAsia" w:cs="Times New Roman"/>
                      <w:color w:val="0000FF"/>
                      <w:sz w:val="21"/>
                      <w:szCs w:val="21"/>
                      <w:vertAlign w:val="baseline"/>
                      <w:lang w:val="en-US" w:eastAsia="zh-CN"/>
                    </w:rPr>
                    <w:t>283</w:t>
                  </w:r>
                </w:p>
              </w:tc>
              <w:tc>
                <w:tcPr>
                  <w:tcW w:w="13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s="Times New Roman"/>
                      <w:color w:val="0000FF"/>
                      <w:sz w:val="21"/>
                      <w:szCs w:val="21"/>
                      <w:vertAlign w:val="baseline"/>
                      <w:lang w:val="en-US" w:eastAsia="zh-CN"/>
                    </w:rPr>
                  </w:pPr>
                  <w:r>
                    <w:rPr>
                      <w:rFonts w:hint="eastAsia" w:cs="Times New Roman"/>
                      <w:color w:val="0000FF"/>
                      <w:sz w:val="21"/>
                      <w:szCs w:val="21"/>
                      <w:vertAlign w:val="baseli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6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s="Times New Roman"/>
                      <w:color w:val="0000FF"/>
                      <w:sz w:val="21"/>
                      <w:szCs w:val="21"/>
                      <w:vertAlign w:val="baseline"/>
                      <w:lang w:val="en-US" w:eastAsia="zh-CN"/>
                    </w:rPr>
                  </w:pPr>
                  <w:r>
                    <w:rPr>
                      <w:rFonts w:hint="eastAsia" w:cs="Times New Roman"/>
                      <w:color w:val="0000FF"/>
                      <w:sz w:val="21"/>
                      <w:szCs w:val="21"/>
                      <w:vertAlign w:val="baseline"/>
                      <w:lang w:val="en-US" w:eastAsia="zh-CN"/>
                    </w:rPr>
                    <w:t>4</w:t>
                  </w:r>
                </w:p>
              </w:tc>
              <w:tc>
                <w:tcPr>
                  <w:tcW w:w="301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s="Times New Roman"/>
                      <w:color w:val="0000FF"/>
                      <w:sz w:val="21"/>
                      <w:szCs w:val="21"/>
                      <w:vertAlign w:val="baseline"/>
                      <w:lang w:val="en-US" w:eastAsia="zh-CN"/>
                    </w:rPr>
                  </w:pPr>
                  <w:r>
                    <w:rPr>
                      <w:rFonts w:hint="eastAsia" w:cs="Times New Roman"/>
                      <w:color w:val="0000FF"/>
                      <w:sz w:val="21"/>
                      <w:szCs w:val="21"/>
                      <w:vertAlign w:val="baseline"/>
                      <w:lang w:val="en-US" w:eastAsia="zh-CN"/>
                    </w:rPr>
                    <w:t>山东博丰利众化工</w:t>
                  </w:r>
                </w:p>
              </w:tc>
              <w:tc>
                <w:tcPr>
                  <w:tcW w:w="153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color w:val="0000FF"/>
                      <w:kern w:val="0"/>
                      <w:sz w:val="21"/>
                      <w:szCs w:val="21"/>
                      <w:vertAlign w:val="baseline"/>
                      <w:lang w:val="en-US" w:eastAsia="zh-CN" w:bidi="ar-SA"/>
                    </w:rPr>
                  </w:pPr>
                  <w:r>
                    <w:rPr>
                      <w:rFonts w:hint="eastAsia" w:cs="Times New Roman"/>
                      <w:color w:val="0000FF"/>
                      <w:sz w:val="21"/>
                      <w:szCs w:val="21"/>
                      <w:vertAlign w:val="baseline"/>
                      <w:lang w:val="en-US" w:eastAsia="zh-CN"/>
                    </w:rPr>
                    <w:t>0.981</w:t>
                  </w:r>
                </w:p>
              </w:tc>
              <w:tc>
                <w:tcPr>
                  <w:tcW w:w="128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color w:val="0000FF"/>
                      <w:kern w:val="0"/>
                      <w:sz w:val="21"/>
                      <w:szCs w:val="21"/>
                      <w:vertAlign w:val="baseline"/>
                      <w:lang w:val="en-US" w:eastAsia="zh-CN" w:bidi="ar-SA"/>
                    </w:rPr>
                  </w:pPr>
                  <w:r>
                    <w:rPr>
                      <w:rFonts w:hint="eastAsia" w:cs="Times New Roman"/>
                      <w:color w:val="0000FF"/>
                      <w:sz w:val="21"/>
                      <w:szCs w:val="21"/>
                      <w:vertAlign w:val="baseline"/>
                      <w:lang w:val="en-US" w:eastAsia="zh-CN"/>
                    </w:rPr>
                    <w:t>283</w:t>
                  </w:r>
                </w:p>
              </w:tc>
              <w:tc>
                <w:tcPr>
                  <w:tcW w:w="13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s="Times New Roman"/>
                      <w:color w:val="0000FF"/>
                      <w:sz w:val="21"/>
                      <w:szCs w:val="21"/>
                      <w:vertAlign w:val="baseline"/>
                      <w:lang w:val="en-US" w:eastAsia="zh-CN"/>
                    </w:rPr>
                  </w:pPr>
                  <w:r>
                    <w:rPr>
                      <w:rFonts w:hint="eastAsia" w:cs="Times New Roman"/>
                      <w:color w:val="0000FF"/>
                      <w:sz w:val="21"/>
                      <w:szCs w:val="21"/>
                      <w:vertAlign w:val="baseline"/>
                      <w:lang w:val="en-US" w:eastAsia="zh-CN"/>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6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s="Times New Roman"/>
                      <w:color w:val="0000FF"/>
                      <w:sz w:val="21"/>
                      <w:szCs w:val="21"/>
                      <w:vertAlign w:val="baseline"/>
                      <w:lang w:val="en-US" w:eastAsia="zh-CN"/>
                    </w:rPr>
                  </w:pPr>
                  <w:r>
                    <w:rPr>
                      <w:rFonts w:hint="eastAsia" w:cs="Times New Roman"/>
                      <w:color w:val="0000FF"/>
                      <w:sz w:val="21"/>
                      <w:szCs w:val="21"/>
                      <w:vertAlign w:val="baseline"/>
                      <w:lang w:val="en-US" w:eastAsia="zh-CN"/>
                    </w:rPr>
                    <w:t>5</w:t>
                  </w:r>
                </w:p>
              </w:tc>
              <w:tc>
                <w:tcPr>
                  <w:tcW w:w="301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s="Times New Roman"/>
                      <w:color w:val="0000FF"/>
                      <w:sz w:val="21"/>
                      <w:szCs w:val="21"/>
                      <w:vertAlign w:val="baseline"/>
                      <w:lang w:val="en-US" w:eastAsia="zh-CN"/>
                    </w:rPr>
                  </w:pPr>
                  <w:r>
                    <w:rPr>
                      <w:rFonts w:hint="eastAsia" w:cs="Times New Roman"/>
                      <w:color w:val="0000FF"/>
                      <w:sz w:val="21"/>
                      <w:szCs w:val="21"/>
                      <w:vertAlign w:val="baseline"/>
                      <w:lang w:val="en-US" w:eastAsia="zh-CN"/>
                    </w:rPr>
                    <w:t>山东太极工业搪瓷</w:t>
                  </w:r>
                </w:p>
              </w:tc>
              <w:tc>
                <w:tcPr>
                  <w:tcW w:w="153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color w:val="0000FF"/>
                      <w:kern w:val="0"/>
                      <w:sz w:val="21"/>
                      <w:szCs w:val="21"/>
                      <w:vertAlign w:val="baseline"/>
                      <w:lang w:val="en-US" w:eastAsia="zh-CN" w:bidi="ar-SA"/>
                    </w:rPr>
                  </w:pPr>
                  <w:r>
                    <w:rPr>
                      <w:rFonts w:hint="eastAsia" w:cs="Times New Roman"/>
                      <w:color w:val="0000FF"/>
                      <w:sz w:val="21"/>
                      <w:szCs w:val="21"/>
                      <w:vertAlign w:val="baseline"/>
                      <w:lang w:val="en-US" w:eastAsia="zh-CN"/>
                    </w:rPr>
                    <w:t>0.981</w:t>
                  </w:r>
                </w:p>
              </w:tc>
              <w:tc>
                <w:tcPr>
                  <w:tcW w:w="128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color w:val="0000FF"/>
                      <w:kern w:val="0"/>
                      <w:sz w:val="21"/>
                      <w:szCs w:val="21"/>
                      <w:vertAlign w:val="baseline"/>
                      <w:lang w:val="en-US" w:eastAsia="zh-CN" w:bidi="ar-SA"/>
                    </w:rPr>
                  </w:pPr>
                  <w:r>
                    <w:rPr>
                      <w:rFonts w:hint="eastAsia" w:cs="Times New Roman"/>
                      <w:color w:val="0000FF"/>
                      <w:sz w:val="21"/>
                      <w:szCs w:val="21"/>
                      <w:vertAlign w:val="baseline"/>
                      <w:lang w:val="en-US" w:eastAsia="zh-CN"/>
                    </w:rPr>
                    <w:t>283</w:t>
                  </w:r>
                </w:p>
              </w:tc>
              <w:tc>
                <w:tcPr>
                  <w:tcW w:w="13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s="Times New Roman"/>
                      <w:color w:val="0000FF"/>
                      <w:sz w:val="21"/>
                      <w:szCs w:val="21"/>
                      <w:vertAlign w:val="baseline"/>
                      <w:lang w:val="en-US" w:eastAsia="zh-CN"/>
                    </w:rPr>
                  </w:pPr>
                  <w:r>
                    <w:rPr>
                      <w:rFonts w:hint="eastAsia" w:cs="Times New Roman"/>
                      <w:color w:val="0000FF"/>
                      <w:sz w:val="21"/>
                      <w:szCs w:val="21"/>
                      <w:vertAlign w:val="baseline"/>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6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s="Times New Roman"/>
                      <w:color w:val="0000FF"/>
                      <w:sz w:val="21"/>
                      <w:szCs w:val="21"/>
                      <w:vertAlign w:val="baseline"/>
                      <w:lang w:val="en-US" w:eastAsia="zh-CN"/>
                    </w:rPr>
                  </w:pPr>
                  <w:r>
                    <w:rPr>
                      <w:rFonts w:hint="eastAsia" w:cs="Times New Roman"/>
                      <w:color w:val="0000FF"/>
                      <w:sz w:val="21"/>
                      <w:szCs w:val="21"/>
                      <w:vertAlign w:val="baseline"/>
                      <w:lang w:val="en-US" w:eastAsia="zh-CN"/>
                    </w:rPr>
                    <w:t>6</w:t>
                  </w:r>
                </w:p>
              </w:tc>
              <w:tc>
                <w:tcPr>
                  <w:tcW w:w="301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s="Times New Roman"/>
                      <w:color w:val="0000FF"/>
                      <w:sz w:val="21"/>
                      <w:szCs w:val="21"/>
                      <w:vertAlign w:val="baseline"/>
                      <w:lang w:val="en-US" w:eastAsia="zh-CN"/>
                    </w:rPr>
                  </w:pPr>
                  <w:r>
                    <w:rPr>
                      <w:rFonts w:hint="eastAsia" w:cs="Times New Roman"/>
                      <w:color w:val="0000FF"/>
                      <w:sz w:val="21"/>
                      <w:szCs w:val="21"/>
                      <w:vertAlign w:val="baseline"/>
                      <w:lang w:val="en-US" w:eastAsia="zh-CN"/>
                    </w:rPr>
                    <w:t>淄博科丰化工</w:t>
                  </w:r>
                </w:p>
              </w:tc>
              <w:tc>
                <w:tcPr>
                  <w:tcW w:w="153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color w:val="0000FF"/>
                      <w:kern w:val="0"/>
                      <w:sz w:val="21"/>
                      <w:szCs w:val="21"/>
                      <w:vertAlign w:val="baseline"/>
                      <w:lang w:val="en-US" w:eastAsia="zh-CN" w:bidi="ar-SA"/>
                    </w:rPr>
                  </w:pPr>
                  <w:r>
                    <w:rPr>
                      <w:rFonts w:hint="eastAsia" w:cs="Times New Roman"/>
                      <w:color w:val="0000FF"/>
                      <w:sz w:val="21"/>
                      <w:szCs w:val="21"/>
                      <w:vertAlign w:val="baseline"/>
                      <w:lang w:val="en-US" w:eastAsia="zh-CN"/>
                    </w:rPr>
                    <w:t>0.981</w:t>
                  </w:r>
                </w:p>
              </w:tc>
              <w:tc>
                <w:tcPr>
                  <w:tcW w:w="128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color w:val="0000FF"/>
                      <w:kern w:val="0"/>
                      <w:sz w:val="21"/>
                      <w:szCs w:val="21"/>
                      <w:vertAlign w:val="baseline"/>
                      <w:lang w:val="en-US" w:eastAsia="zh-CN" w:bidi="ar-SA"/>
                    </w:rPr>
                  </w:pPr>
                  <w:r>
                    <w:rPr>
                      <w:rFonts w:hint="eastAsia" w:cs="Times New Roman"/>
                      <w:color w:val="0000FF"/>
                      <w:sz w:val="21"/>
                      <w:szCs w:val="21"/>
                      <w:vertAlign w:val="baseline"/>
                      <w:lang w:val="en-US" w:eastAsia="zh-CN"/>
                    </w:rPr>
                    <w:t>283</w:t>
                  </w:r>
                </w:p>
              </w:tc>
              <w:tc>
                <w:tcPr>
                  <w:tcW w:w="13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s="Times New Roman"/>
                      <w:color w:val="0000FF"/>
                      <w:sz w:val="21"/>
                      <w:szCs w:val="21"/>
                      <w:vertAlign w:val="baseline"/>
                      <w:lang w:val="en-US" w:eastAsia="zh-CN"/>
                    </w:rPr>
                  </w:pPr>
                  <w:r>
                    <w:rPr>
                      <w:rFonts w:hint="eastAsia" w:cs="Times New Roman"/>
                      <w:color w:val="0000FF"/>
                      <w:sz w:val="21"/>
                      <w:szCs w:val="21"/>
                      <w:vertAlign w:val="baseli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6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s="Times New Roman"/>
                      <w:color w:val="0000FF"/>
                      <w:sz w:val="21"/>
                      <w:szCs w:val="21"/>
                      <w:vertAlign w:val="baseline"/>
                      <w:lang w:val="en-US" w:eastAsia="zh-CN"/>
                    </w:rPr>
                  </w:pPr>
                  <w:r>
                    <w:rPr>
                      <w:rFonts w:hint="eastAsia" w:cs="Times New Roman"/>
                      <w:color w:val="0000FF"/>
                      <w:sz w:val="21"/>
                      <w:szCs w:val="21"/>
                      <w:vertAlign w:val="baseline"/>
                      <w:lang w:val="en-US" w:eastAsia="zh-CN"/>
                    </w:rPr>
                    <w:t>7</w:t>
                  </w:r>
                </w:p>
              </w:tc>
              <w:tc>
                <w:tcPr>
                  <w:tcW w:w="301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s="Times New Roman"/>
                      <w:color w:val="0000FF"/>
                      <w:sz w:val="21"/>
                      <w:szCs w:val="21"/>
                      <w:vertAlign w:val="baseline"/>
                      <w:lang w:val="en-US" w:eastAsia="zh-CN"/>
                    </w:rPr>
                  </w:pPr>
                  <w:r>
                    <w:rPr>
                      <w:rFonts w:hint="eastAsia" w:cs="Times New Roman"/>
                      <w:color w:val="0000FF"/>
                      <w:sz w:val="21"/>
                      <w:szCs w:val="21"/>
                      <w:vertAlign w:val="baseline"/>
                      <w:lang w:val="en-US" w:eastAsia="zh-CN"/>
                    </w:rPr>
                    <w:t>淄博德信联邦化学工业</w:t>
                  </w:r>
                </w:p>
              </w:tc>
              <w:tc>
                <w:tcPr>
                  <w:tcW w:w="153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color w:val="0000FF"/>
                      <w:kern w:val="0"/>
                      <w:sz w:val="21"/>
                      <w:szCs w:val="21"/>
                      <w:vertAlign w:val="baseline"/>
                      <w:lang w:val="en-US" w:eastAsia="zh-CN" w:bidi="ar-SA"/>
                    </w:rPr>
                  </w:pPr>
                  <w:r>
                    <w:rPr>
                      <w:rFonts w:hint="eastAsia" w:cs="Times New Roman"/>
                      <w:color w:val="0000FF"/>
                      <w:sz w:val="21"/>
                      <w:szCs w:val="21"/>
                      <w:vertAlign w:val="baseline"/>
                      <w:lang w:val="en-US" w:eastAsia="zh-CN"/>
                    </w:rPr>
                    <w:t>0.981</w:t>
                  </w:r>
                </w:p>
              </w:tc>
              <w:tc>
                <w:tcPr>
                  <w:tcW w:w="128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color w:val="0000FF"/>
                      <w:kern w:val="0"/>
                      <w:sz w:val="21"/>
                      <w:szCs w:val="21"/>
                      <w:vertAlign w:val="baseline"/>
                      <w:lang w:val="en-US" w:eastAsia="zh-CN" w:bidi="ar-SA"/>
                    </w:rPr>
                  </w:pPr>
                  <w:r>
                    <w:rPr>
                      <w:rFonts w:hint="eastAsia" w:cs="Times New Roman"/>
                      <w:color w:val="0000FF"/>
                      <w:sz w:val="21"/>
                      <w:szCs w:val="21"/>
                      <w:vertAlign w:val="baseline"/>
                      <w:lang w:val="en-US" w:eastAsia="zh-CN"/>
                    </w:rPr>
                    <w:t>283</w:t>
                  </w:r>
                </w:p>
              </w:tc>
              <w:tc>
                <w:tcPr>
                  <w:tcW w:w="13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s="Times New Roman"/>
                      <w:color w:val="0000FF"/>
                      <w:sz w:val="21"/>
                      <w:szCs w:val="21"/>
                      <w:vertAlign w:val="baseline"/>
                      <w:lang w:val="en-US" w:eastAsia="zh-CN"/>
                    </w:rPr>
                  </w:pPr>
                  <w:r>
                    <w:rPr>
                      <w:rFonts w:hint="eastAsia" w:cs="Times New Roman"/>
                      <w:color w:val="0000FF"/>
                      <w:sz w:val="21"/>
                      <w:szCs w:val="21"/>
                      <w:vertAlign w:val="baseline"/>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3781" w:type="dxa"/>
                  <w:gridSpan w:val="2"/>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eastAsia" w:cs="Times New Roman"/>
                      <w:color w:val="0000FF"/>
                      <w:sz w:val="21"/>
                      <w:szCs w:val="21"/>
                      <w:vertAlign w:val="baseline"/>
                      <w:lang w:val="en-US" w:eastAsia="zh-CN"/>
                    </w:rPr>
                  </w:pPr>
                  <w:r>
                    <w:rPr>
                      <w:rFonts w:hint="eastAsia" w:cs="Times New Roman"/>
                      <w:color w:val="0000FF"/>
                      <w:sz w:val="21"/>
                      <w:szCs w:val="21"/>
                      <w:vertAlign w:val="baseline"/>
                      <w:lang w:val="en-US" w:eastAsia="zh-CN"/>
                    </w:rPr>
                    <w:t>合计</w:t>
                  </w:r>
                </w:p>
              </w:tc>
              <w:tc>
                <w:tcPr>
                  <w:tcW w:w="153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color w:val="0000FF"/>
                      <w:kern w:val="0"/>
                      <w:sz w:val="21"/>
                      <w:szCs w:val="21"/>
                      <w:vertAlign w:val="baseline"/>
                      <w:lang w:val="en-US" w:eastAsia="zh-CN" w:bidi="ar-SA"/>
                    </w:rPr>
                  </w:pPr>
                  <w:r>
                    <w:rPr>
                      <w:rFonts w:hint="eastAsia" w:cs="Times New Roman"/>
                      <w:color w:val="0000FF"/>
                      <w:sz w:val="21"/>
                      <w:szCs w:val="21"/>
                      <w:vertAlign w:val="baseline"/>
                      <w:lang w:val="en-US" w:eastAsia="zh-CN"/>
                    </w:rPr>
                    <w:t>3.8</w:t>
                  </w:r>
                </w:p>
              </w:tc>
              <w:tc>
                <w:tcPr>
                  <w:tcW w:w="128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color w:val="0000FF"/>
                      <w:kern w:val="0"/>
                      <w:sz w:val="21"/>
                      <w:szCs w:val="21"/>
                      <w:vertAlign w:val="baseline"/>
                      <w:lang w:val="en-US" w:eastAsia="zh-CN" w:bidi="ar-SA"/>
                    </w:rPr>
                  </w:pPr>
                  <w:r>
                    <w:rPr>
                      <w:rFonts w:hint="eastAsia" w:cs="Times New Roman"/>
                      <w:color w:val="0000FF"/>
                      <w:sz w:val="21"/>
                      <w:szCs w:val="21"/>
                      <w:vertAlign w:val="baseline"/>
                      <w:lang w:val="en-US" w:eastAsia="zh-CN"/>
                    </w:rPr>
                    <w:t>450</w:t>
                  </w:r>
                </w:p>
              </w:tc>
              <w:tc>
                <w:tcPr>
                  <w:tcW w:w="13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s="Times New Roman"/>
                      <w:color w:val="0000FF"/>
                      <w:sz w:val="21"/>
                      <w:szCs w:val="21"/>
                      <w:vertAlign w:val="baseline"/>
                      <w:lang w:val="en-US" w:eastAsia="zh-CN"/>
                    </w:rPr>
                  </w:pPr>
                  <w:r>
                    <w:rPr>
                      <w:rFonts w:hint="eastAsia" w:cs="Times New Roman"/>
                      <w:color w:val="0000FF"/>
                      <w:sz w:val="21"/>
                      <w:szCs w:val="21"/>
                      <w:vertAlign w:val="baseline"/>
                      <w:lang w:val="en-US" w:eastAsia="zh-CN"/>
                    </w:rPr>
                    <w:t>34.3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3781" w:type="dxa"/>
                  <w:gridSpan w:val="2"/>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eastAsia" w:cs="Times New Roman"/>
                      <w:color w:val="0000FF"/>
                      <w:sz w:val="21"/>
                      <w:szCs w:val="21"/>
                      <w:vertAlign w:val="baseline"/>
                      <w:lang w:val="en-US" w:eastAsia="zh-CN"/>
                    </w:rPr>
                  </w:pPr>
                </w:p>
              </w:tc>
              <w:tc>
                <w:tcPr>
                  <w:tcW w:w="153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color w:val="0000FF"/>
                      <w:kern w:val="0"/>
                      <w:sz w:val="21"/>
                      <w:szCs w:val="21"/>
                      <w:vertAlign w:val="baseline"/>
                      <w:lang w:val="en-US" w:eastAsia="zh-CN" w:bidi="ar-SA"/>
                    </w:rPr>
                  </w:pPr>
                  <w:r>
                    <w:rPr>
                      <w:rFonts w:hint="eastAsia" w:cs="Times New Roman"/>
                      <w:color w:val="0000FF"/>
                      <w:sz w:val="21"/>
                      <w:szCs w:val="21"/>
                      <w:vertAlign w:val="baseline"/>
                      <w:lang w:val="en-US" w:eastAsia="zh-CN"/>
                    </w:rPr>
                    <w:t>0.981</w:t>
                  </w:r>
                </w:p>
              </w:tc>
              <w:tc>
                <w:tcPr>
                  <w:tcW w:w="128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color w:val="0000FF"/>
                      <w:kern w:val="0"/>
                      <w:sz w:val="21"/>
                      <w:szCs w:val="21"/>
                      <w:vertAlign w:val="baseline"/>
                      <w:lang w:val="en-US" w:eastAsia="zh-CN" w:bidi="ar-SA"/>
                    </w:rPr>
                  </w:pPr>
                  <w:r>
                    <w:rPr>
                      <w:rFonts w:hint="eastAsia" w:cs="Times New Roman"/>
                      <w:color w:val="0000FF"/>
                      <w:sz w:val="21"/>
                      <w:szCs w:val="21"/>
                      <w:vertAlign w:val="baseline"/>
                      <w:lang w:val="en-US" w:eastAsia="zh-CN"/>
                    </w:rPr>
                    <w:t>283</w:t>
                  </w:r>
                </w:p>
              </w:tc>
              <w:tc>
                <w:tcPr>
                  <w:tcW w:w="13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s="Times New Roman"/>
                      <w:color w:val="0000FF"/>
                      <w:sz w:val="21"/>
                      <w:szCs w:val="21"/>
                      <w:vertAlign w:val="baseline"/>
                      <w:lang w:val="en-US" w:eastAsia="zh-CN"/>
                    </w:rPr>
                  </w:pPr>
                  <w:r>
                    <w:rPr>
                      <w:rFonts w:hint="eastAsia" w:cs="Times New Roman"/>
                      <w:color w:val="0000FF"/>
                      <w:sz w:val="21"/>
                      <w:szCs w:val="21"/>
                      <w:vertAlign w:val="baseline"/>
                      <w:lang w:val="en-US" w:eastAsia="zh-CN"/>
                    </w:rPr>
                    <w:t>176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3781" w:type="dxa"/>
                  <w:gridSpan w:val="2"/>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eastAsia" w:cs="Times New Roman"/>
                      <w:color w:val="0000FF"/>
                      <w:sz w:val="21"/>
                      <w:szCs w:val="21"/>
                      <w:vertAlign w:val="baseline"/>
                      <w:lang w:val="en-US" w:eastAsia="zh-CN"/>
                    </w:rPr>
                  </w:pPr>
                </w:p>
              </w:tc>
              <w:tc>
                <w:tcPr>
                  <w:tcW w:w="153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color w:val="0000FF"/>
                      <w:kern w:val="0"/>
                      <w:sz w:val="21"/>
                      <w:szCs w:val="21"/>
                      <w:vertAlign w:val="baseline"/>
                      <w:lang w:val="en-US" w:eastAsia="zh-CN" w:bidi="ar-SA"/>
                    </w:rPr>
                  </w:pPr>
                  <w:r>
                    <w:rPr>
                      <w:rFonts w:hint="eastAsia" w:cs="Times New Roman"/>
                      <w:color w:val="0000FF"/>
                      <w:sz w:val="21"/>
                      <w:szCs w:val="21"/>
                      <w:vertAlign w:val="baseline"/>
                      <w:lang w:val="en-US" w:eastAsia="zh-CN"/>
                    </w:rPr>
                    <w:t>0.981</w:t>
                  </w:r>
                </w:p>
              </w:tc>
              <w:tc>
                <w:tcPr>
                  <w:tcW w:w="128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color w:val="0000FF"/>
                      <w:kern w:val="0"/>
                      <w:sz w:val="21"/>
                      <w:szCs w:val="21"/>
                      <w:vertAlign w:val="baseline"/>
                      <w:lang w:val="en-US" w:eastAsia="zh-CN" w:bidi="ar-SA"/>
                    </w:rPr>
                  </w:pPr>
                  <w:r>
                    <w:rPr>
                      <w:rFonts w:hint="eastAsia" w:cs="Times New Roman"/>
                      <w:color w:val="0000FF"/>
                      <w:sz w:val="21"/>
                      <w:szCs w:val="21"/>
                      <w:vertAlign w:val="baseline"/>
                      <w:lang w:val="en-US" w:eastAsia="zh-CN"/>
                    </w:rPr>
                    <w:t>283</w:t>
                  </w:r>
                </w:p>
              </w:tc>
              <w:tc>
                <w:tcPr>
                  <w:tcW w:w="13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s="Times New Roman"/>
                      <w:color w:val="0000FF"/>
                      <w:sz w:val="21"/>
                      <w:szCs w:val="21"/>
                      <w:vertAlign w:val="baseline"/>
                      <w:lang w:val="en-US" w:eastAsia="zh-CN"/>
                    </w:rPr>
                  </w:pPr>
                  <w:r>
                    <w:rPr>
                      <w:rFonts w:hint="eastAsia" w:cs="Times New Roman"/>
                      <w:color w:val="0000FF"/>
                      <w:sz w:val="21"/>
                      <w:szCs w:val="21"/>
                      <w:vertAlign w:val="baseline"/>
                      <w:lang w:val="en-US" w:eastAsia="zh-CN"/>
                    </w:rPr>
                    <w:t>93.5</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eastAsia="黑体" w:cs="Times New Roman"/>
                <w:b/>
                <w:bCs/>
                <w:color w:val="0000FF"/>
                <w:sz w:val="24"/>
                <w:szCs w:val="24"/>
                <w:vertAlign w:val="baseline"/>
                <w:lang w:val="en-US" w:eastAsia="zh-CN"/>
              </w:rPr>
            </w:pPr>
            <w:r>
              <w:rPr>
                <w:rFonts w:hint="default" w:ascii="Times New Roman" w:hAnsi="Times New Roman" w:eastAsia="黑体" w:cs="Times New Roman"/>
                <w:b/>
                <w:bCs/>
                <w:color w:val="0000FF"/>
                <w:sz w:val="24"/>
                <w:szCs w:val="24"/>
                <w:lang w:val="en-US" w:eastAsia="zh-CN"/>
              </w:rPr>
              <w:t>表15采暖热负荷情况</w:t>
            </w:r>
          </w:p>
          <w:tbl>
            <w:tblPr>
              <w:tblStyle w:val="21"/>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1"/>
              <w:gridCol w:w="1813"/>
              <w:gridCol w:w="932"/>
              <w:gridCol w:w="932"/>
              <w:gridCol w:w="932"/>
              <w:gridCol w:w="932"/>
              <w:gridCol w:w="932"/>
              <w:gridCol w:w="9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序号</w:t>
                  </w:r>
                </w:p>
              </w:tc>
              <w:tc>
                <w:tcPr>
                  <w:tcW w:w="1813"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单位</w:t>
                  </w:r>
                </w:p>
              </w:tc>
              <w:tc>
                <w:tcPr>
                  <w:tcW w:w="2796"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建筑面积万m</w:t>
                  </w:r>
                  <w:r>
                    <w:rPr>
                      <w:rFonts w:hint="default" w:ascii="Times New Roman" w:hAnsi="Times New Roman" w:eastAsia="宋体" w:cs="Times New Roman"/>
                      <w:b w:val="0"/>
                      <w:bCs w:val="0"/>
                      <w:color w:val="0000FF"/>
                      <w:sz w:val="21"/>
                      <w:szCs w:val="21"/>
                      <w:vertAlign w:val="superscript"/>
                      <w:lang w:val="en-US" w:eastAsia="zh-CN"/>
                    </w:rPr>
                    <w:t>2</w:t>
                  </w:r>
                </w:p>
              </w:tc>
              <w:tc>
                <w:tcPr>
                  <w:tcW w:w="2797" w:type="dxa"/>
                  <w:gridSpan w:val="3"/>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热负荷MW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p>
              </w:tc>
              <w:tc>
                <w:tcPr>
                  <w:tcW w:w="1813"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住宅</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公建</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合计</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住宅</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公建</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合计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中医院</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6.23</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2.32</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8.55</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3.115</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1.624</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4.379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锦秋</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32.93</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5.77</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38.7-</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16.465</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4.039</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20.504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3</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机关一区</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5.26</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1.02</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6.28</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2.63</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0.714</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3.344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4</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宝发</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6.72</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0.43</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7.15</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3.36</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0.301</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3.661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5</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槐荫</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4.86</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0.05</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4.91</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2.43</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0.035</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2.465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6</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桓台宾馆</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0.32</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1.8</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2.12</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0.16</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1.26</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7</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宝发2#</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6.93</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0.03</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6.96</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3.465</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0.021</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3.486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8</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职业中专</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2.52</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2.9</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5.42</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1.26</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color w:val="0000FF"/>
                      <w:sz w:val="21"/>
                      <w:szCs w:val="21"/>
                    </w:rPr>
                    <w:t>2.03</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3.29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9</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工商局</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0.49</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0.49</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0.343</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0.343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10</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实验中学</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0.7</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11</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轴承厂</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3.61</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0.08</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3.69</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1.805</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0.056</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1.861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12</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阳光花园</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6.35</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0.2</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6.55</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3.175</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0.14</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3.315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13</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邮政局</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0.38</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0.29</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0.67</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0.19</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0.203</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0.393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14</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桓台二中</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0.9</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2.4</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3.3</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0.45</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1.68</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15</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五里西区</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2.82</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2.82</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1.41</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16</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天煜星河</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8.37</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0.09</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8.46</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4.185</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0.063</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4.248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17</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兰香园</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12.78</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0.34</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13.12</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6.39</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0.238</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6.628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18</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橡树湾</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5.81</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0.01</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5.82</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2.905</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0.007</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2.912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19</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文体中心</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3</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3</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2.1</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20</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金洲</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4.05</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0.16</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4.21</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2.025</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0.112</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2.137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21</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少海医院</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0.7</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0.55</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1.25</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0.35</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0.385</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0.735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22</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羿景</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12.42</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1.48</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13.9</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6.21</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1.036</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7.246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23</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五里东区</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3.78</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0.18</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3.96</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1.89</w:t>
                  </w:r>
                </w:p>
              </w:tc>
              <w:tc>
                <w:tcPr>
                  <w:tcW w:w="932" w:type="dxa"/>
                  <w:tcBorders>
                    <w:tl2br w:val="nil"/>
                    <w:tr2bl w:val="nil"/>
                  </w:tcBorders>
                  <w:vAlign w:val="center"/>
                </w:tcPr>
                <w:p>
                  <w:pPr>
                    <w:pStyle w:val="2"/>
                    <w:keepNext w:val="0"/>
                    <w:keepLines w:val="0"/>
                    <w:pageBreakBefore w:val="0"/>
                    <w:widowControl w:val="0"/>
                    <w:tabs>
                      <w:tab w:val="left" w:pos="526"/>
                    </w:tabs>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0.126</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24</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金太阳酒店</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0.78</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0.78</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0.545</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0.545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25</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金太阳</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1.04</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0.02</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1.06</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0.52</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0.012</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0.532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26</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国税</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1.48</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0.08</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1.49</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0.74</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0.057</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0.799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27</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海圣</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4.31</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0.03</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4.34</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2.16</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0.018</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2.175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28</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赵家</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2.89</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2.89</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1.447</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1.447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29</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云涛</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14.64</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1.77</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16.41</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7.32</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1.237</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8.558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30</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人民医院（生活）</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2.54</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0.15</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2.68</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1.27</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0.102</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1.371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31</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人民医院（工作）</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2.84</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2.84</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1.987</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1.987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32</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淄博信誉楼</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0.43</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0.69</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1.13</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0.22</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0.485</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0.702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33</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都市丽舍</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0.27</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0.27</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0.135</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0.135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34</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建设局</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1.59</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2.59</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0.5</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1.111</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1.612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35</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格林</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1.35</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0.22</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1.57</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0.67</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0.157</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0.829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36</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兴华</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1.31</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0.21</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1.52</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0.65</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0.147</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0.801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37</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水务局</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0.26</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0.27</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0.13</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0.003</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0.134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38</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宝龙大厦</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0.93</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0.93</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0.464</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0.464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39</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银座广场</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0.65</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0.65</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0.452</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0.452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40</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北辛</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2.7</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0.01</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2.72</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1.35</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0.009</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1.361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41</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永和村</w:t>
                  </w:r>
                </w:p>
              </w:tc>
              <w:tc>
                <w:tcPr>
                  <w:tcW w:w="932" w:type="dxa"/>
                  <w:tcBorders>
                    <w:tl2br w:val="nil"/>
                    <w:tr2bl w:val="nil"/>
                  </w:tcBorders>
                  <w:vAlign w:val="center"/>
                </w:tcPr>
                <w:p>
                  <w:pPr>
                    <w:pStyle w:val="2"/>
                    <w:keepNext w:val="0"/>
                    <w:keepLines w:val="0"/>
                    <w:pageBreakBefore w:val="0"/>
                    <w:widowControl w:val="0"/>
                    <w:tabs>
                      <w:tab w:val="left" w:pos="354"/>
                    </w:tabs>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1.51</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0.01</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1.51</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0.75</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0.006</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0.759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42</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世纪中学</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1.21</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0.52</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1.73</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0.61</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0.361</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0.968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43</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永安生活区</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168.56</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0.15</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168.71</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84.28</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0.105</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84.385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44</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星河瑞园</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4.89</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0.08</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4.97</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2.44</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0.057</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2.502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45</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富丽花园</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0.75</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0.75</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0.376</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0.376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46</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黄河龙</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1.68</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0.06</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1.74</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0.84</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0.039</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47</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建国</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5.31</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1.39</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6.7</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2.65</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0.972</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3.625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48</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花园</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2.38</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0.1</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2.48</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1.19</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0.069</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1.258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49</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绿圣林</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0.26</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0.26</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0.184</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0.184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50</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花园2#</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0.22</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0.22</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0.157</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0.157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51</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东岳国际</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12.576</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7.544</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12.576</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6.288</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5.2808</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11.5688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52</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紫悦城</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12.8</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7.68</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20.48</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6.4</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5.376</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11.776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53</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妇幼保健院</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2.92</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17.6</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2.92</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1.46</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12.32</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13.78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54</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橡树玫瑰园</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12</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7.2</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12</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6</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5.04</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11.04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55</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城南学校</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6</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3.6</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6</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3</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2.52</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5.52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56</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城南学校居住</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3</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1.8</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3</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1.5</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1.26</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57</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金洲花园</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8</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4.8</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8</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4</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3.36</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7.36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58</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富丽花园</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4.8</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1.992</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4.8</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2.4</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1.3944</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3.7944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59</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永和小区</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8</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sz w:val="21"/>
                      <w:szCs w:val="21"/>
                      <w:vertAlign w:val="baseline"/>
                      <w:lang w:val="en-US" w:eastAsia="zh-CN"/>
                    </w:rPr>
                    <w:t>4.8</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sz w:val="21"/>
                      <w:szCs w:val="21"/>
                      <w:vertAlign w:val="baseline"/>
                      <w:lang w:val="en-US" w:eastAsia="zh-CN"/>
                    </w:rPr>
                    <w:t>8</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sz w:val="21"/>
                      <w:szCs w:val="21"/>
                      <w:vertAlign w:val="baseline"/>
                      <w:lang w:val="en-US" w:eastAsia="zh-CN"/>
                    </w:rPr>
                    <w:t>4</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sz w:val="21"/>
                      <w:szCs w:val="21"/>
                      <w:vertAlign w:val="baseline"/>
                      <w:lang w:val="en-US" w:eastAsia="zh-CN"/>
                    </w:rPr>
                    <w:t>3.36</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default" w:ascii="Times New Roman" w:hAnsi="Times New Roman" w:eastAsia="宋体" w:cs="Times New Roman"/>
                      <w:b w:val="0"/>
                      <w:bCs w:val="0"/>
                      <w:color w:val="0000FF"/>
                      <w:sz w:val="21"/>
                      <w:szCs w:val="21"/>
                      <w:vertAlign w:val="baseline"/>
                      <w:lang w:val="en-US" w:eastAsia="zh-CN"/>
                    </w:rPr>
                    <w:t>7.36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60</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老城区北区</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4</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2.4</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4</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2</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1.68</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3.68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61</w:t>
                  </w:r>
                </w:p>
              </w:tc>
              <w:tc>
                <w:tcPr>
                  <w:tcW w:w="181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碧海蓝郡</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1.76</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0.904</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1.76</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0.88</w:t>
                  </w:r>
                </w:p>
              </w:tc>
              <w:tc>
                <w:tcPr>
                  <w:tcW w:w="93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0.6328</w:t>
                  </w:r>
                </w:p>
              </w:tc>
              <w:tc>
                <w:tcPr>
                  <w:tcW w:w="93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1.5128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344" w:type="dxa"/>
                  <w:gridSpan w:val="2"/>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b w:val="0"/>
                      <w:bCs w:val="0"/>
                      <w:color w:val="0000FF"/>
                      <w:sz w:val="21"/>
                      <w:szCs w:val="21"/>
                      <w:vertAlign w:val="baseline"/>
                      <w:lang w:val="en-US" w:eastAsia="zh-CN"/>
                    </w:rPr>
                    <w:t>合计蒸汽量</w:t>
                  </w:r>
                </w:p>
              </w:tc>
              <w:tc>
                <w:tcPr>
                  <w:tcW w:w="5593" w:type="dxa"/>
                  <w:gridSpan w:val="6"/>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b w:val="0"/>
                      <w:bCs w:val="0"/>
                      <w:color w:val="0000FF"/>
                      <w:sz w:val="21"/>
                      <w:szCs w:val="21"/>
                      <w:vertAlign w:val="baseline"/>
                      <w:lang w:val="en-US" w:eastAsia="zh-CN"/>
                    </w:rPr>
                  </w:pPr>
                  <w:r>
                    <w:rPr>
                      <w:rFonts w:hint="default" w:ascii="Times New Roman" w:hAnsi="Times New Roman" w:eastAsia="宋体" w:cs="Times New Roman"/>
                      <w:color w:val="0000FF"/>
                      <w:kern w:val="0"/>
                      <w:sz w:val="21"/>
                      <w:szCs w:val="21"/>
                      <w:lang w:val="en-US" w:eastAsia="zh-CN" w:bidi="ar"/>
                    </w:rPr>
                    <w:t>305.3t/h</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default" w:ascii="Times New Roman" w:hAnsi="Times New Roman" w:eastAsia="宋体" w:cs="Times New Roman"/>
                <w:color w:val="C00000"/>
                <w:sz w:val="24"/>
                <w:szCs w:val="24"/>
                <w:lang w:val="en-US" w:eastAsia="zh-CN"/>
              </w:rPr>
            </w:pPr>
            <w:r>
              <w:rPr>
                <w:rFonts w:hint="eastAsia" w:cs="Times New Roman"/>
                <w:color w:val="0000FF"/>
                <w:sz w:val="24"/>
                <w:szCs w:val="24"/>
                <w:lang w:val="en-US" w:eastAsia="zh-CN"/>
              </w:rPr>
              <w:t>综上，</w:t>
            </w:r>
            <w:r>
              <w:rPr>
                <w:rFonts w:hint="default" w:ascii="Times New Roman" w:hAnsi="Times New Roman" w:eastAsia="宋体" w:cs="Times New Roman"/>
                <w:color w:val="0000FF"/>
                <w:sz w:val="24"/>
                <w:szCs w:val="24"/>
                <w:lang w:val="en-US" w:eastAsia="zh-CN"/>
              </w:rPr>
              <w:t>外供高压蒸汽（8.83MPa，535℃）34.3t/h、中压蒸汽（3.8MPa，452℃）70t/h、低压工业用汽（0.981MPa，283℃）93.5t/h、城区采暖用汽（0.981MPa，283℃）305.3t/h。</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0000FF"/>
                <w:sz w:val="24"/>
                <w:szCs w:val="24"/>
                <w:lang w:val="en-US" w:eastAsia="zh-CN"/>
              </w:rPr>
            </w:pPr>
            <w:r>
              <w:rPr>
                <w:rFonts w:hint="default" w:ascii="Times New Roman" w:hAnsi="Times New Roman" w:eastAsia="宋体" w:cs="Times New Roman"/>
                <w:color w:val="0000FF"/>
                <w:sz w:val="24"/>
                <w:szCs w:val="24"/>
                <w:lang w:val="en-US" w:eastAsia="zh-CN"/>
              </w:rPr>
              <w:t>根据《桓台县中心城区热力规划（2013～2020）》，桓台县中心城区热源点有5处</w:t>
            </w:r>
            <w:r>
              <w:rPr>
                <w:rFonts w:hint="eastAsia" w:cs="Times New Roman"/>
                <w:color w:val="0000FF"/>
                <w:sz w:val="24"/>
                <w:szCs w:val="24"/>
                <w:lang w:val="en-US" w:eastAsia="zh-CN"/>
              </w:rPr>
              <w:t>，目前区域热源点及供热范围发生了调整，</w:t>
            </w:r>
            <w:r>
              <w:rPr>
                <w:rFonts w:hint="default" w:ascii="Times New Roman" w:hAnsi="Times New Roman" w:eastAsia="宋体" w:cs="Times New Roman"/>
                <w:color w:val="0000FF"/>
                <w:sz w:val="24"/>
                <w:szCs w:val="24"/>
                <w:lang w:val="en-US" w:eastAsia="zh-CN"/>
              </w:rPr>
              <w:t>其中花园热电原有采暖热负荷及春源热力原有热负荷将全部由桓台经济开发区热力有限公司接管。桓台经济开发区热力有限公司距山东海奥斯生物科技股份有限公司距离约4.5公里，根据经验蒸汽参数损失情况为每公里温度下降10℃，压力下降0.1MPa，外供低压工业蒸汽压力为0.981MPa，海奥斯厂区所需蒸汽压力为0.65MPa。</w:t>
            </w:r>
            <w:r>
              <w:rPr>
                <w:rFonts w:hint="eastAsia" w:cs="Times New Roman"/>
                <w:color w:val="0000FF"/>
                <w:sz w:val="24"/>
                <w:szCs w:val="24"/>
                <w:lang w:val="en-US" w:eastAsia="zh-CN"/>
              </w:rPr>
              <w:t>近年来</w:t>
            </w:r>
            <w:r>
              <w:rPr>
                <w:rFonts w:hint="default" w:ascii="Times New Roman" w:hAnsi="Times New Roman" w:eastAsia="宋体" w:cs="Times New Roman"/>
                <w:color w:val="0000FF"/>
                <w:sz w:val="24"/>
                <w:szCs w:val="24"/>
                <w:lang w:val="en-US" w:eastAsia="zh-CN"/>
              </w:rPr>
              <w:t>桓台经济开发区热力有限公司</w:t>
            </w:r>
            <w:r>
              <w:rPr>
                <w:rFonts w:hint="eastAsia" w:cs="Times New Roman"/>
                <w:color w:val="0000FF"/>
                <w:sz w:val="24"/>
                <w:szCs w:val="24"/>
                <w:lang w:val="en-US" w:eastAsia="zh-CN"/>
              </w:rPr>
              <w:t>肩负的供热面积不断增大，因其“保外不保内，保民生不保效”的观念口号，在对</w:t>
            </w:r>
            <w:r>
              <w:rPr>
                <w:rFonts w:hint="default" w:ascii="Times New Roman" w:hAnsi="Times New Roman" w:eastAsia="宋体" w:cs="Times New Roman"/>
                <w:color w:val="0000FF"/>
                <w:sz w:val="24"/>
                <w:szCs w:val="24"/>
                <w:lang w:val="en-US" w:eastAsia="zh-CN"/>
              </w:rPr>
              <w:t>山东海奥斯生物科技股份有限公司厂区</w:t>
            </w:r>
            <w:r>
              <w:rPr>
                <w:rFonts w:hint="eastAsia" w:cs="Times New Roman"/>
                <w:color w:val="0000FF"/>
                <w:sz w:val="24"/>
                <w:szCs w:val="24"/>
                <w:lang w:val="en-US" w:eastAsia="zh-CN"/>
              </w:rPr>
              <w:t>蒸汽输送方面具有很大的程度的影响，不能满足海奥斯厂区</w:t>
            </w:r>
            <w:r>
              <w:rPr>
                <w:rFonts w:hint="default" w:ascii="Times New Roman" w:hAnsi="Times New Roman" w:eastAsia="宋体" w:cs="Times New Roman"/>
                <w:color w:val="0000FF"/>
                <w:sz w:val="24"/>
                <w:szCs w:val="24"/>
                <w:lang w:val="en-US" w:eastAsia="zh-CN"/>
              </w:rPr>
              <w:t>的正常生产需求。</w:t>
            </w:r>
            <w:r>
              <w:rPr>
                <w:rFonts w:hint="eastAsia" w:cs="Times New Roman"/>
                <w:color w:val="0000FF"/>
                <w:sz w:val="24"/>
                <w:szCs w:val="24"/>
                <w:lang w:val="en-US" w:eastAsia="zh-CN"/>
              </w:rPr>
              <w:t>桓台经济开发区热力有限公司于2022年12月1日发布通知，即将于2022年12月31日正式停用至山东海奥斯股份有限公司方向管线（详见附件十二）。</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3A3AFF"/>
                <w:sz w:val="24"/>
                <w:szCs w:val="24"/>
                <w:lang w:val="en-US" w:eastAsia="zh-CN"/>
              </w:rPr>
            </w:pPr>
            <w:r>
              <w:rPr>
                <w:rFonts w:hint="eastAsia" w:cs="Times New Roman"/>
                <w:color w:val="0000FF"/>
                <w:sz w:val="24"/>
                <w:szCs w:val="24"/>
                <w:lang w:val="en-US" w:eastAsia="zh-CN"/>
              </w:rPr>
              <w:t>由于海奥斯厂区内没有可用空地，根据国土资源管理局相关要求锅炉项目不能单独租地建设，只能作为配套项目建设，故</w:t>
            </w:r>
            <w:r>
              <w:rPr>
                <w:rFonts w:hint="default" w:ascii="Times New Roman" w:hAnsi="Times New Roman" w:eastAsia="宋体" w:cs="Times New Roman"/>
                <w:color w:val="0000FF"/>
                <w:sz w:val="24"/>
                <w:szCs w:val="24"/>
                <w:lang w:val="en-US" w:eastAsia="zh-CN"/>
              </w:rPr>
              <w:t>黄河龙集团拟建设本项目替代原有海奥斯外购蒸汽</w:t>
            </w:r>
            <w:r>
              <w:rPr>
                <w:rFonts w:hint="eastAsia" w:cs="Times New Roman"/>
                <w:color w:val="0000FF"/>
                <w:sz w:val="24"/>
                <w:szCs w:val="24"/>
                <w:lang w:val="en-US" w:eastAsia="zh-CN"/>
              </w:rPr>
              <w:t>（供用合同详见附件十三）</w:t>
            </w:r>
            <w:r>
              <w:rPr>
                <w:rFonts w:hint="default" w:ascii="Times New Roman" w:hAnsi="Times New Roman" w:eastAsia="宋体" w:cs="Times New Roman"/>
                <w:color w:val="0000FF"/>
                <w:sz w:val="24"/>
                <w:szCs w:val="24"/>
                <w:lang w:val="en-US" w:eastAsia="zh-CN"/>
              </w:rPr>
              <w:t>，新建20t/h蒸汽锅炉一座（</w:t>
            </w:r>
            <w:r>
              <w:rPr>
                <w:rFonts w:hint="eastAsia" w:cs="Times New Roman"/>
                <w:color w:val="0000FF"/>
                <w:sz w:val="24"/>
                <w:szCs w:val="24"/>
                <w:lang w:val="en-US" w:eastAsia="zh-CN"/>
              </w:rPr>
              <w:t>运行负荷</w:t>
            </w:r>
            <w:r>
              <w:rPr>
                <w:rFonts w:hint="default" w:ascii="Times New Roman" w:hAnsi="Times New Roman" w:eastAsia="宋体" w:cs="Times New Roman"/>
                <w:color w:val="0000FF"/>
                <w:sz w:val="24"/>
                <w:szCs w:val="24"/>
                <w:lang w:val="en-US" w:eastAsia="zh-CN"/>
              </w:rPr>
              <w:t>为60%），年最大运行时间为300天，其中供给海奥斯厂区蒸汽用量为86400t/a，可以满足海奥斯厂区的蒸汽需求。</w:t>
            </w:r>
          </w:p>
          <w:p>
            <w:pPr>
              <w:pStyle w:val="2"/>
              <w:ind w:left="0" w:leftChars="0" w:firstLine="0" w:firstLineChars="0"/>
              <w:rPr>
                <w:rFonts w:hint="default"/>
                <w:lang w:val="en-US" w:eastAsia="zh-CN"/>
              </w:rPr>
            </w:pPr>
            <w:r>
              <w:rPr>
                <w:rFonts w:hint="eastAsia"/>
                <w:sz w:val="24"/>
                <w:szCs w:val="24"/>
                <w:lang w:val="en-US" w:eastAsia="zh-CN"/>
              </w:rPr>
              <w:t>2.1.2建设内容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default"/>
                <w:sz w:val="24"/>
                <w:szCs w:val="24"/>
                <w:lang w:val="en-US" w:eastAsia="zh-CN"/>
              </w:rPr>
              <w:t>本项目占地面积为667m</w:t>
            </w:r>
            <w:r>
              <w:rPr>
                <w:rFonts w:hint="default"/>
                <w:sz w:val="24"/>
                <w:szCs w:val="24"/>
                <w:vertAlign w:val="superscript"/>
                <w:lang w:val="en-US" w:eastAsia="zh-CN"/>
              </w:rPr>
              <w:t>2</w:t>
            </w:r>
            <w:r>
              <w:rPr>
                <w:rFonts w:hint="default"/>
                <w:sz w:val="24"/>
                <w:szCs w:val="24"/>
                <w:lang w:val="en-US" w:eastAsia="zh-CN"/>
              </w:rPr>
              <w:t>，主要建设锅炉房一座包含一台20t/h蒸汽锅炉</w:t>
            </w:r>
            <w:r>
              <w:rPr>
                <w:rFonts w:hint="eastAsia"/>
                <w:sz w:val="24"/>
                <w:szCs w:val="24"/>
                <w:lang w:eastAsia="zh-CN"/>
              </w:rPr>
              <w:t>，</w:t>
            </w:r>
            <w:r>
              <w:rPr>
                <w:rFonts w:hint="eastAsia"/>
                <w:color w:val="0000FF"/>
                <w:sz w:val="24"/>
                <w:szCs w:val="24"/>
                <w:lang w:eastAsia="zh-CN"/>
              </w:rPr>
              <w:t>所产蒸汽供给山东海奥斯生物科技股份有限公司使用</w:t>
            </w:r>
            <w:r>
              <w:rPr>
                <w:rFonts w:hint="default"/>
                <w:sz w:val="24"/>
                <w:szCs w:val="24"/>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sz w:val="24"/>
                <w:szCs w:val="24"/>
              </w:rPr>
            </w:pPr>
            <w:r>
              <w:rPr>
                <w:rFonts w:hint="eastAsia"/>
                <w:sz w:val="24"/>
                <w:szCs w:val="24"/>
              </w:rPr>
              <w:t>2.2项目基本组成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default"/>
                <w:sz w:val="24"/>
                <w:szCs w:val="24"/>
                <w:lang w:val="en-US" w:eastAsia="zh-CN"/>
              </w:rPr>
              <w:t>项目按主体工程、</w:t>
            </w:r>
            <w:r>
              <w:rPr>
                <w:rFonts w:hint="eastAsia"/>
                <w:sz w:val="24"/>
                <w:szCs w:val="24"/>
                <w:lang w:val="en-US" w:eastAsia="zh-CN"/>
              </w:rPr>
              <w:t>辅助工程、</w:t>
            </w:r>
            <w:r>
              <w:rPr>
                <w:rFonts w:hint="default"/>
                <w:sz w:val="24"/>
                <w:szCs w:val="24"/>
                <w:lang w:val="en-US" w:eastAsia="zh-CN"/>
              </w:rPr>
              <w:t>公用工程、环保工程</w:t>
            </w:r>
            <w:r>
              <w:rPr>
                <w:rFonts w:hint="eastAsia"/>
                <w:sz w:val="24"/>
                <w:szCs w:val="24"/>
                <w:lang w:val="en-US" w:eastAsia="zh-CN"/>
              </w:rPr>
              <w:t>、储运工程</w:t>
            </w:r>
            <w:r>
              <w:rPr>
                <w:rFonts w:hint="default"/>
                <w:sz w:val="24"/>
                <w:szCs w:val="24"/>
                <w:lang w:val="en-US" w:eastAsia="zh-CN"/>
              </w:rPr>
              <w:t>进行分类，分类如下表所示：</w:t>
            </w:r>
          </w:p>
          <w:p>
            <w:pPr>
              <w:pStyle w:val="2"/>
              <w:rPr>
                <w:rFonts w:hint="default"/>
                <w:sz w:val="24"/>
                <w:szCs w:val="24"/>
                <w:lang w:val="en-US" w:eastAsia="zh-CN"/>
              </w:rPr>
            </w:pPr>
          </w:p>
          <w:p>
            <w:pPr>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sz w:val="24"/>
                <w:szCs w:val="24"/>
                <w:lang w:val="en-US" w:eastAsia="zh-CN"/>
              </w:rPr>
            </w:pPr>
            <w:r>
              <w:rPr>
                <w:rFonts w:hint="eastAsia"/>
                <w:b/>
                <w:bCs/>
                <w:sz w:val="24"/>
                <w:szCs w:val="24"/>
                <w:lang w:val="en-US" w:eastAsia="zh-CN"/>
              </w:rPr>
              <w:t>表16 项目组成一览表</w:t>
            </w:r>
          </w:p>
          <w:tbl>
            <w:tblPr>
              <w:tblStyle w:val="20"/>
              <w:tblW w:w="793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4"/>
              <w:gridCol w:w="1313"/>
              <w:gridCol w:w="4113"/>
              <w:gridCol w:w="15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4" w:type="dxa"/>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rPr>
                  </w:pPr>
                  <w:r>
                    <w:rPr>
                      <w:rFonts w:hint="default"/>
                    </w:rPr>
                    <w:t>工程</w:t>
                  </w:r>
                </w:p>
              </w:tc>
              <w:tc>
                <w:tcPr>
                  <w:tcW w:w="1313" w:type="dxa"/>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rPr>
                  </w:pPr>
                  <w:r>
                    <w:rPr>
                      <w:rFonts w:hint="default"/>
                    </w:rPr>
                    <w:t>组成</w:t>
                  </w:r>
                </w:p>
              </w:tc>
              <w:tc>
                <w:tcPr>
                  <w:tcW w:w="4113" w:type="dxa"/>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rPr>
                  </w:pPr>
                  <w:r>
                    <w:rPr>
                      <w:rFonts w:hint="default"/>
                    </w:rPr>
                    <w:t>建设内容</w:t>
                  </w:r>
                </w:p>
              </w:tc>
              <w:tc>
                <w:tcPr>
                  <w:tcW w:w="1587" w:type="dxa"/>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rPr>
                  </w:pPr>
                  <w:r>
                    <w:rPr>
                      <w:rFonts w:hint="default"/>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4" w:type="dxa"/>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rPr>
                  </w:pPr>
                  <w:r>
                    <w:rPr>
                      <w:rFonts w:hint="default"/>
                    </w:rPr>
                    <w:t>主体</w:t>
                  </w:r>
                </w:p>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rPr>
                  </w:pPr>
                  <w:r>
                    <w:rPr>
                      <w:rFonts w:hint="default"/>
                    </w:rPr>
                    <w:t>工程</w:t>
                  </w:r>
                </w:p>
              </w:tc>
              <w:tc>
                <w:tcPr>
                  <w:tcW w:w="1313" w:type="dxa"/>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lang w:eastAsia="zh-CN"/>
                    </w:rPr>
                  </w:pPr>
                  <w:r>
                    <w:rPr>
                      <w:rFonts w:hint="default"/>
                      <w:lang w:val="en-US" w:eastAsia="zh-CN"/>
                    </w:rPr>
                    <w:t>锅炉房</w:t>
                  </w:r>
                </w:p>
              </w:tc>
              <w:tc>
                <w:tcPr>
                  <w:tcW w:w="411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auto"/>
                    <w:rPr>
                      <w:rFonts w:hint="default"/>
                      <w:lang w:val="en-US" w:eastAsia="zh-CN"/>
                    </w:rPr>
                  </w:pPr>
                  <w:r>
                    <w:rPr>
                      <w:rFonts w:hint="default"/>
                      <w:lang w:val="en-US" w:eastAsia="zh-CN"/>
                    </w:rPr>
                    <w:t>一层，一</w:t>
                  </w:r>
                  <w:r>
                    <w:rPr>
                      <w:rFonts w:hint="eastAsia"/>
                      <w:lang w:val="en-US" w:eastAsia="zh-CN"/>
                    </w:rPr>
                    <w:t>台</w:t>
                  </w:r>
                  <w:r>
                    <w:rPr>
                      <w:rFonts w:hint="default"/>
                      <w:lang w:val="en-US" w:eastAsia="zh-CN"/>
                    </w:rPr>
                    <w:t>20t/h蒸汽锅炉，占地667m</w:t>
                  </w:r>
                  <w:r>
                    <w:rPr>
                      <w:rFonts w:hint="default"/>
                      <w:vertAlign w:val="superscript"/>
                      <w:lang w:val="en-US" w:eastAsia="zh-CN"/>
                    </w:rPr>
                    <w:t>2</w:t>
                  </w:r>
                </w:p>
              </w:tc>
              <w:tc>
                <w:tcPr>
                  <w:tcW w:w="1587" w:type="dxa"/>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lang w:eastAsia="zh-CN"/>
                    </w:rPr>
                  </w:pPr>
                  <w:r>
                    <w:rPr>
                      <w:rFonts w:hint="default"/>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4" w:type="dxa"/>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eastAsia" w:eastAsia="宋体"/>
                      <w:color w:val="0000FF"/>
                      <w:lang w:eastAsia="zh-CN"/>
                    </w:rPr>
                  </w:pPr>
                  <w:r>
                    <w:rPr>
                      <w:rFonts w:hint="eastAsia"/>
                      <w:color w:val="0000FF"/>
                      <w:lang w:eastAsia="zh-CN"/>
                    </w:rPr>
                    <w:t>辅助</w:t>
                  </w:r>
                  <w:r>
                    <w:rPr>
                      <w:rFonts w:hint="eastAsia"/>
                      <w:color w:val="0000FF"/>
                      <w:lang w:val="en-US" w:eastAsia="zh-CN"/>
                    </w:rPr>
                    <w:t xml:space="preserve">  </w:t>
                  </w:r>
                  <w:r>
                    <w:rPr>
                      <w:rFonts w:hint="eastAsia"/>
                      <w:color w:val="0000FF"/>
                      <w:lang w:eastAsia="zh-CN"/>
                    </w:rPr>
                    <w:t>工程</w:t>
                  </w:r>
                </w:p>
              </w:tc>
              <w:tc>
                <w:tcPr>
                  <w:tcW w:w="1313" w:type="dxa"/>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color w:val="0000FF"/>
                      <w:lang w:val="en-US" w:eastAsia="zh-CN"/>
                    </w:rPr>
                  </w:pPr>
                  <w:r>
                    <w:rPr>
                      <w:rFonts w:hint="eastAsia"/>
                      <w:color w:val="0000FF"/>
                      <w:lang w:val="en-US" w:eastAsia="zh-CN"/>
                    </w:rPr>
                    <w:t>办公楼</w:t>
                  </w:r>
                </w:p>
              </w:tc>
              <w:tc>
                <w:tcPr>
                  <w:tcW w:w="4113" w:type="dxa"/>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color w:val="0000FF"/>
                      <w:lang w:val="en-US" w:eastAsia="zh-CN"/>
                    </w:rPr>
                  </w:pPr>
                  <w:r>
                    <w:rPr>
                      <w:rFonts w:hint="eastAsia"/>
                      <w:color w:val="0000FF"/>
                      <w:lang w:val="en-US" w:eastAsia="zh-CN"/>
                    </w:rPr>
                    <w:t>三层办公楼，占地面积1600m</w:t>
                  </w:r>
                  <w:r>
                    <w:rPr>
                      <w:rFonts w:hint="eastAsia"/>
                      <w:color w:val="0000FF"/>
                      <w:vertAlign w:val="superscript"/>
                      <w:lang w:val="en-US" w:eastAsia="zh-CN"/>
                    </w:rPr>
                    <w:t>2</w:t>
                  </w:r>
                </w:p>
              </w:tc>
              <w:tc>
                <w:tcPr>
                  <w:tcW w:w="1587" w:type="dxa"/>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color w:val="0000FF"/>
                      <w:lang w:val="en-US" w:eastAsia="zh-CN"/>
                    </w:rPr>
                  </w:pPr>
                  <w:r>
                    <w:rPr>
                      <w:rFonts w:hint="eastAsia"/>
                      <w:color w:val="0000FF"/>
                      <w:lang w:val="en-US" w:eastAsia="zh-CN"/>
                    </w:rPr>
                    <w:t>依托现有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4" w:type="dxa"/>
                  <w:vMerge w:val="restart"/>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rPr>
                  </w:pPr>
                  <w:r>
                    <w:rPr>
                      <w:rFonts w:hint="default"/>
                    </w:rPr>
                    <w:t>公用</w:t>
                  </w:r>
                </w:p>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rPr>
                  </w:pPr>
                  <w:r>
                    <w:rPr>
                      <w:rFonts w:hint="default"/>
                    </w:rPr>
                    <w:t>工程</w:t>
                  </w:r>
                </w:p>
              </w:tc>
              <w:tc>
                <w:tcPr>
                  <w:tcW w:w="1313" w:type="dxa"/>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lang w:val="en-US" w:eastAsia="zh-CN"/>
                    </w:rPr>
                  </w:pPr>
                  <w:r>
                    <w:rPr>
                      <w:rFonts w:hint="default"/>
                      <w:lang w:val="en-US" w:eastAsia="zh-CN"/>
                    </w:rPr>
                    <w:t>软化水制备</w:t>
                  </w:r>
                </w:p>
              </w:tc>
              <w:tc>
                <w:tcPr>
                  <w:tcW w:w="4113" w:type="dxa"/>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lang w:val="en-US" w:eastAsia="zh-CN"/>
                    </w:rPr>
                  </w:pPr>
                  <w:r>
                    <w:rPr>
                      <w:rFonts w:hint="default"/>
                      <w:lang w:val="en-US" w:eastAsia="zh-CN"/>
                    </w:rPr>
                    <w:t>依托</w:t>
                  </w:r>
                  <w:r>
                    <w:rPr>
                      <w:rFonts w:hint="eastAsia"/>
                      <w:color w:val="0000FF"/>
                      <w:lang w:val="en-US" w:eastAsia="zh-CN"/>
                    </w:rPr>
                    <w:t>海奥斯厂区</w:t>
                  </w:r>
                  <w:r>
                    <w:rPr>
                      <w:rFonts w:hint="default"/>
                      <w:lang w:val="en-US" w:eastAsia="zh-CN"/>
                    </w:rPr>
                    <w:t>现有项目软化水制备设备。</w:t>
                  </w:r>
                </w:p>
              </w:tc>
              <w:tc>
                <w:tcPr>
                  <w:tcW w:w="1587" w:type="dxa"/>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lang w:eastAsia="zh-CN"/>
                    </w:rPr>
                  </w:pPr>
                  <w:r>
                    <w:rPr>
                      <w:rFonts w:hint="default"/>
                      <w:color w:val="0000FF"/>
                      <w:lang w:eastAsia="zh-CN"/>
                    </w:rPr>
                    <w:t>依托</w:t>
                  </w:r>
                  <w:r>
                    <w:rPr>
                      <w:rFonts w:hint="eastAsia"/>
                      <w:color w:val="0000FF"/>
                      <w:lang w:eastAsia="zh-CN"/>
                    </w:rPr>
                    <w:t>海奥斯厂区</w:t>
                  </w:r>
                  <w:r>
                    <w:rPr>
                      <w:rFonts w:hint="default"/>
                      <w:color w:val="0000FF"/>
                      <w:lang w:eastAsia="zh-CN"/>
                    </w:rPr>
                    <w:t>现有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7" w:hRule="atLeast"/>
                <w:jc w:val="center"/>
              </w:trPr>
              <w:tc>
                <w:tcPr>
                  <w:tcW w:w="924"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rPr>
                  </w:pPr>
                </w:p>
              </w:tc>
              <w:tc>
                <w:tcPr>
                  <w:tcW w:w="1313" w:type="dxa"/>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rPr>
                  </w:pPr>
                  <w:r>
                    <w:rPr>
                      <w:rFonts w:hint="default"/>
                    </w:rPr>
                    <w:t>供水</w:t>
                  </w:r>
                </w:p>
              </w:tc>
              <w:tc>
                <w:tcPr>
                  <w:tcW w:w="4113" w:type="dxa"/>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lang w:val="en-US" w:eastAsia="zh-CN"/>
                    </w:rPr>
                  </w:pPr>
                  <w:r>
                    <w:rPr>
                      <w:rFonts w:hint="default"/>
                    </w:rPr>
                    <w:t>供水由黄河龙集团厂区现有供水管网供给</w:t>
                  </w:r>
                </w:p>
              </w:tc>
              <w:tc>
                <w:tcPr>
                  <w:tcW w:w="1587" w:type="dxa"/>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lang w:eastAsia="zh-CN"/>
                    </w:rPr>
                  </w:pPr>
                  <w:r>
                    <w:rPr>
                      <w:rFonts w:hint="default"/>
                      <w:lang w:eastAsia="zh-CN"/>
                    </w:rPr>
                    <w:t>依托现有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4"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rPr>
                  </w:pPr>
                </w:p>
              </w:tc>
              <w:tc>
                <w:tcPr>
                  <w:tcW w:w="1313" w:type="dxa"/>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rPr>
                  </w:pPr>
                  <w:r>
                    <w:rPr>
                      <w:rFonts w:hint="default"/>
                    </w:rPr>
                    <w:t>供电</w:t>
                  </w:r>
                </w:p>
              </w:tc>
              <w:tc>
                <w:tcPr>
                  <w:tcW w:w="4113" w:type="dxa"/>
                  <w:noWrap w:val="0"/>
                  <w:vAlign w:val="center"/>
                </w:tcPr>
                <w:p>
                  <w:pPr>
                    <w:pStyle w:val="34"/>
                    <w:keepNext w:val="0"/>
                    <w:keepLines w:val="0"/>
                    <w:pageBreakBefore w:val="0"/>
                    <w:kinsoku/>
                    <w:wordWrap/>
                    <w:overflowPunct/>
                    <w:topLinePunct w:val="0"/>
                    <w:autoSpaceDE/>
                    <w:autoSpaceDN/>
                    <w:bidi w:val="0"/>
                    <w:adjustRightInd/>
                    <w:snapToGrid/>
                    <w:spacing w:line="360" w:lineRule="atLeast"/>
                    <w:jc w:val="center"/>
                    <w:textAlignment w:val="auto"/>
                    <w:rPr>
                      <w:rFonts w:hint="default"/>
                      <w:lang w:val="zh-CN" w:eastAsia="zh-CN"/>
                    </w:rPr>
                  </w:pPr>
                  <w:r>
                    <w:rPr>
                      <w:rFonts w:hint="default"/>
                    </w:rPr>
                    <w:t>依托公司现有供电线路供电</w:t>
                  </w:r>
                </w:p>
              </w:tc>
              <w:tc>
                <w:tcPr>
                  <w:tcW w:w="1587" w:type="dxa"/>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rPr>
                  </w:pPr>
                  <w:r>
                    <w:rPr>
                      <w:rFonts w:hint="default"/>
                    </w:rPr>
                    <w:t>市政电网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4"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rPr>
                  </w:pPr>
                </w:p>
              </w:tc>
              <w:tc>
                <w:tcPr>
                  <w:tcW w:w="1313" w:type="dxa"/>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lang w:val="en-US" w:eastAsia="zh-CN"/>
                    </w:rPr>
                  </w:pPr>
                  <w:r>
                    <w:rPr>
                      <w:rFonts w:hint="default"/>
                      <w:lang w:val="en-US" w:eastAsia="zh-CN"/>
                    </w:rPr>
                    <w:t>排水</w:t>
                  </w:r>
                </w:p>
              </w:tc>
              <w:tc>
                <w:tcPr>
                  <w:tcW w:w="4113" w:type="dxa"/>
                  <w:noWrap w:val="0"/>
                  <w:vAlign w:val="center"/>
                </w:tcPr>
                <w:p>
                  <w:pPr>
                    <w:pStyle w:val="34"/>
                    <w:keepNext w:val="0"/>
                    <w:keepLines w:val="0"/>
                    <w:pageBreakBefore w:val="0"/>
                    <w:kinsoku/>
                    <w:wordWrap/>
                    <w:overflowPunct/>
                    <w:topLinePunct w:val="0"/>
                    <w:autoSpaceDE/>
                    <w:autoSpaceDN/>
                    <w:bidi w:val="0"/>
                    <w:adjustRightInd/>
                    <w:snapToGrid/>
                    <w:spacing w:line="360" w:lineRule="atLeast"/>
                    <w:jc w:val="center"/>
                    <w:textAlignment w:val="auto"/>
                    <w:rPr>
                      <w:rFonts w:hint="default"/>
                      <w:lang w:val="en-US" w:eastAsia="zh-CN"/>
                    </w:rPr>
                  </w:pPr>
                  <w:r>
                    <w:rPr>
                      <w:rFonts w:hint="default"/>
                      <w:lang w:val="en-US" w:eastAsia="zh-CN"/>
                    </w:rPr>
                    <w:t>软水制备废水及锅炉废水经</w:t>
                  </w:r>
                  <w:r>
                    <w:rPr>
                      <w:rFonts w:hint="eastAsia"/>
                      <w:lang w:val="en-US" w:eastAsia="zh-CN"/>
                    </w:rPr>
                    <w:t>山东海奥斯生物科技股份有限公司</w:t>
                  </w:r>
                  <w:r>
                    <w:rPr>
                      <w:rFonts w:hint="default"/>
                      <w:lang w:val="en-US" w:eastAsia="zh-CN"/>
                    </w:rPr>
                    <w:t>污水处理站处理后经管网排入光大水务（淄博）有限公司水质净化三分厂进行集中处理，达标后在排入东猪龙河</w:t>
                  </w:r>
                </w:p>
              </w:tc>
              <w:tc>
                <w:tcPr>
                  <w:tcW w:w="1587" w:type="dxa"/>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lang w:val="en-US" w:eastAsia="zh-CN"/>
                    </w:rPr>
                  </w:pPr>
                  <w:r>
                    <w:rPr>
                      <w:rFonts w:hint="default"/>
                      <w:color w:val="0000FF"/>
                      <w:lang w:eastAsia="zh-CN"/>
                    </w:rPr>
                    <w:t>依托</w:t>
                  </w:r>
                  <w:r>
                    <w:rPr>
                      <w:rFonts w:hint="eastAsia"/>
                      <w:color w:val="0000FF"/>
                      <w:lang w:eastAsia="zh-CN"/>
                    </w:rPr>
                    <w:t>海奥斯厂区</w:t>
                  </w:r>
                  <w:r>
                    <w:rPr>
                      <w:rFonts w:hint="default"/>
                      <w:color w:val="0000FF"/>
                      <w:lang w:eastAsia="zh-CN"/>
                    </w:rPr>
                    <w:t>现有</w:t>
                  </w:r>
                  <w:r>
                    <w:rPr>
                      <w:rFonts w:hint="eastAsia"/>
                      <w:color w:val="0000FF"/>
                      <w:lang w:eastAsia="zh-CN"/>
                    </w:rPr>
                    <w:t>污水处理站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4" w:type="dxa"/>
                  <w:vMerge w:val="restart"/>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rPr>
                  </w:pPr>
                  <w:r>
                    <w:rPr>
                      <w:rFonts w:hint="default"/>
                    </w:rPr>
                    <w:t>环保</w:t>
                  </w:r>
                </w:p>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rPr>
                  </w:pPr>
                  <w:r>
                    <w:rPr>
                      <w:rFonts w:hint="default"/>
                    </w:rPr>
                    <w:t>工程</w:t>
                  </w:r>
                </w:p>
              </w:tc>
              <w:tc>
                <w:tcPr>
                  <w:tcW w:w="1313" w:type="dxa"/>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rPr>
                  </w:pPr>
                  <w:r>
                    <w:rPr>
                      <w:rFonts w:hint="default"/>
                    </w:rPr>
                    <w:t>废气</w:t>
                  </w:r>
                </w:p>
              </w:tc>
              <w:tc>
                <w:tcPr>
                  <w:tcW w:w="4113" w:type="dxa"/>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lang w:val="en-US" w:eastAsia="zh-CN"/>
                    </w:rPr>
                  </w:pPr>
                  <w:r>
                    <w:rPr>
                      <w:rFonts w:hint="default"/>
                      <w:lang w:val="en-US" w:eastAsia="zh-CN"/>
                    </w:rPr>
                    <w:t>锅炉建有低氮燃烧器1套，燃烧废气经1根</w:t>
                  </w:r>
                  <w:r>
                    <w:rPr>
                      <w:rFonts w:hint="eastAsia"/>
                      <w:lang w:val="en-US" w:eastAsia="zh-CN"/>
                    </w:rPr>
                    <w:t>20米高</w:t>
                  </w:r>
                  <w:r>
                    <w:rPr>
                      <w:rFonts w:hint="default"/>
                      <w:lang w:val="en-US" w:eastAsia="zh-CN"/>
                    </w:rPr>
                    <w:t>排气筒排放</w:t>
                  </w:r>
                </w:p>
              </w:tc>
              <w:tc>
                <w:tcPr>
                  <w:tcW w:w="1587" w:type="dxa"/>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lang w:val="en-US" w:eastAsia="zh-CN"/>
                    </w:rPr>
                  </w:pPr>
                  <w:r>
                    <w:rPr>
                      <w:rFonts w:hint="eastAsia"/>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4"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rPr>
                  </w:pPr>
                </w:p>
              </w:tc>
              <w:tc>
                <w:tcPr>
                  <w:tcW w:w="1313" w:type="dxa"/>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lang w:val="en-US" w:eastAsia="zh-CN"/>
                    </w:rPr>
                  </w:pPr>
                  <w:r>
                    <w:rPr>
                      <w:rFonts w:hint="default"/>
                      <w:lang w:val="en-US" w:eastAsia="zh-CN"/>
                    </w:rPr>
                    <w:t>废水</w:t>
                  </w:r>
                </w:p>
              </w:tc>
              <w:tc>
                <w:tcPr>
                  <w:tcW w:w="4113" w:type="dxa"/>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lang w:val="en-US" w:eastAsia="zh-CN"/>
                    </w:rPr>
                  </w:pPr>
                  <w:r>
                    <w:rPr>
                      <w:rFonts w:hint="default"/>
                      <w:lang w:val="en-US" w:eastAsia="zh-CN"/>
                    </w:rPr>
                    <w:t>软水制备废水及锅炉废水经</w:t>
                  </w:r>
                  <w:r>
                    <w:rPr>
                      <w:rFonts w:hint="eastAsia"/>
                      <w:lang w:val="en-US" w:eastAsia="zh-CN"/>
                    </w:rPr>
                    <w:t>山东海奥斯生物科技股份有限公司</w:t>
                  </w:r>
                  <w:r>
                    <w:rPr>
                      <w:rFonts w:hint="default"/>
                      <w:lang w:val="en-US" w:eastAsia="zh-CN"/>
                    </w:rPr>
                    <w:t>污水处理站处理后经管网排入光大水务（淄博）有限公司水质净化三分厂进行集中处理，达标后在排入东猪龙河</w:t>
                  </w:r>
                </w:p>
              </w:tc>
              <w:tc>
                <w:tcPr>
                  <w:tcW w:w="1587" w:type="dxa"/>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lang w:val="en-US" w:eastAsia="zh-CN"/>
                    </w:rPr>
                  </w:pPr>
                  <w:r>
                    <w:rPr>
                      <w:rFonts w:hint="default"/>
                      <w:color w:val="0000FF"/>
                      <w:lang w:eastAsia="zh-CN"/>
                    </w:rPr>
                    <w:t>依托</w:t>
                  </w:r>
                  <w:r>
                    <w:rPr>
                      <w:rFonts w:hint="eastAsia"/>
                      <w:color w:val="0000FF"/>
                      <w:lang w:eastAsia="zh-CN"/>
                    </w:rPr>
                    <w:t>海奥斯厂区</w:t>
                  </w:r>
                  <w:r>
                    <w:rPr>
                      <w:rFonts w:hint="default"/>
                      <w:color w:val="0000FF"/>
                      <w:lang w:eastAsia="zh-CN"/>
                    </w:rPr>
                    <w:t>现有</w:t>
                  </w:r>
                  <w:r>
                    <w:rPr>
                      <w:rFonts w:hint="eastAsia"/>
                      <w:color w:val="0000FF"/>
                      <w:lang w:eastAsia="zh-CN"/>
                    </w:rPr>
                    <w:t>污水处理站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4"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rPr>
                  </w:pPr>
                </w:p>
              </w:tc>
              <w:tc>
                <w:tcPr>
                  <w:tcW w:w="1313" w:type="dxa"/>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rPr>
                  </w:pPr>
                  <w:r>
                    <w:rPr>
                      <w:rFonts w:hint="default"/>
                    </w:rPr>
                    <w:t>噪声</w:t>
                  </w:r>
                </w:p>
              </w:tc>
              <w:tc>
                <w:tcPr>
                  <w:tcW w:w="4113" w:type="dxa"/>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rPr>
                  </w:pPr>
                  <w:r>
                    <w:rPr>
                      <w:rFonts w:hint="default"/>
                      <w:lang w:val="zh-CN"/>
                    </w:rPr>
                    <w:t>选用低噪声设备，对主要污染源采取消声、吸声、隔声、减震措施。</w:t>
                  </w:r>
                </w:p>
              </w:tc>
              <w:tc>
                <w:tcPr>
                  <w:tcW w:w="1587" w:type="dxa"/>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lang w:eastAsia="zh-CN"/>
                    </w:rPr>
                  </w:pPr>
                  <w:r>
                    <w:rPr>
                      <w:rFonts w:hint="default"/>
                      <w:lang w:eastAsia="zh-CN"/>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4"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rPr>
                  </w:pPr>
                </w:p>
              </w:tc>
              <w:tc>
                <w:tcPr>
                  <w:tcW w:w="1313" w:type="dxa"/>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rPr>
                  </w:pPr>
                  <w:r>
                    <w:rPr>
                      <w:rFonts w:hint="default"/>
                      <w:lang w:val="zh-CN" w:eastAsia="zh-CN"/>
                    </w:rPr>
                    <w:t>固废</w:t>
                  </w:r>
                </w:p>
              </w:tc>
              <w:tc>
                <w:tcPr>
                  <w:tcW w:w="4113" w:type="dxa"/>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lang w:val="en-US" w:eastAsia="zh-CN"/>
                    </w:rPr>
                  </w:pPr>
                  <w:r>
                    <w:rPr>
                      <w:rFonts w:hint="default"/>
                      <w:lang w:eastAsia="zh-CN"/>
                    </w:rPr>
                    <w:t>一般固废暂存处</w:t>
                  </w:r>
                </w:p>
              </w:tc>
              <w:tc>
                <w:tcPr>
                  <w:tcW w:w="1587" w:type="dxa"/>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lang w:val="zh-CN" w:eastAsia="zh-CN"/>
                    </w:rPr>
                  </w:pPr>
                  <w:r>
                    <w:rPr>
                      <w:rFonts w:hint="default"/>
                      <w:lang w:val="zh-CN" w:eastAsia="zh-CN"/>
                    </w:rPr>
                    <w:t>依托现有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4" w:type="dxa"/>
                  <w:vMerge w:val="restart"/>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eastAsia"/>
                      <w:color w:val="0000FF"/>
                      <w:lang w:val="en-US" w:eastAsia="zh-CN"/>
                    </w:rPr>
                  </w:pPr>
                  <w:r>
                    <w:rPr>
                      <w:rFonts w:hint="eastAsia"/>
                      <w:color w:val="0000FF"/>
                      <w:lang w:val="en-US" w:eastAsia="zh-CN"/>
                    </w:rPr>
                    <w:t>储运</w:t>
                  </w:r>
                </w:p>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eastAsia="宋体"/>
                      <w:color w:val="0000FF"/>
                      <w:lang w:val="en-US" w:eastAsia="zh-CN"/>
                    </w:rPr>
                  </w:pPr>
                  <w:r>
                    <w:rPr>
                      <w:rFonts w:hint="eastAsia"/>
                      <w:color w:val="0000FF"/>
                      <w:lang w:val="en-US" w:eastAsia="zh-CN"/>
                    </w:rPr>
                    <w:t>工程</w:t>
                  </w:r>
                </w:p>
              </w:tc>
              <w:tc>
                <w:tcPr>
                  <w:tcW w:w="5426" w:type="dxa"/>
                  <w:gridSpan w:val="2"/>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color w:val="0000FF"/>
                      <w:lang w:val="en-US" w:eastAsia="zh-CN"/>
                    </w:rPr>
                  </w:pPr>
                  <w:r>
                    <w:rPr>
                      <w:rFonts w:hint="eastAsia"/>
                      <w:color w:val="0000FF"/>
                      <w:lang w:val="zh-CN" w:eastAsia="zh-CN"/>
                    </w:rPr>
                    <w:t>天然气管线</w:t>
                  </w:r>
                </w:p>
              </w:tc>
              <w:tc>
                <w:tcPr>
                  <w:tcW w:w="1587" w:type="dxa"/>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color w:val="0000FF"/>
                      <w:lang w:val="zh-CN" w:eastAsia="zh-CN"/>
                    </w:rPr>
                  </w:pPr>
                  <w:r>
                    <w:rPr>
                      <w:rFonts w:hint="eastAsia"/>
                      <w:color w:val="0000FF"/>
                      <w:lang w:val="zh-CN" w:eastAsia="zh-CN"/>
                    </w:rPr>
                    <w:t>厂区附近主管线引至锅炉房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4" w:type="dxa"/>
                  <w:vMerge w:val="continue"/>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eastAsia"/>
                      <w:color w:val="0000FF"/>
                      <w:lang w:val="en-US" w:eastAsia="zh-CN"/>
                    </w:rPr>
                  </w:pPr>
                </w:p>
              </w:tc>
              <w:tc>
                <w:tcPr>
                  <w:tcW w:w="5426" w:type="dxa"/>
                  <w:gridSpan w:val="2"/>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color w:val="0000FF"/>
                      <w:lang w:val="en-US" w:eastAsia="zh-CN"/>
                    </w:rPr>
                  </w:pPr>
                  <w:r>
                    <w:rPr>
                      <w:rFonts w:hint="eastAsia"/>
                      <w:color w:val="0000FF"/>
                      <w:lang w:val="zh-CN" w:eastAsia="zh-CN"/>
                    </w:rPr>
                    <w:t>蒸汽管线</w:t>
                  </w:r>
                </w:p>
              </w:tc>
              <w:tc>
                <w:tcPr>
                  <w:tcW w:w="1587" w:type="dxa"/>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color w:val="0000FF"/>
                      <w:lang w:val="zh-CN" w:eastAsia="zh-CN"/>
                    </w:rPr>
                  </w:pPr>
                  <w:r>
                    <w:rPr>
                      <w:rFonts w:hint="eastAsia"/>
                      <w:color w:val="0000FF"/>
                      <w:lang w:val="zh-CN" w:eastAsia="zh-CN"/>
                    </w:rPr>
                    <w:t>依托现有</w:t>
                  </w:r>
                </w:p>
              </w:tc>
            </w:tr>
          </w:tbl>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sz w:val="24"/>
                <w:szCs w:val="24"/>
              </w:rPr>
            </w:pPr>
            <w:r>
              <w:rPr>
                <w:rFonts w:hint="default"/>
                <w:sz w:val="24"/>
                <w:szCs w:val="24"/>
              </w:rPr>
              <w:t>2.3主要产品及产能</w:t>
            </w:r>
          </w:p>
          <w:p>
            <w:pPr>
              <w:keepNext w:val="0"/>
              <w:keepLines w:val="0"/>
              <w:pageBreakBefore w:val="0"/>
              <w:kinsoku/>
              <w:wordWrap/>
              <w:overflowPunct/>
              <w:topLinePunct w:val="0"/>
              <w:autoSpaceDE/>
              <w:autoSpaceDN/>
              <w:bidi w:val="0"/>
              <w:spacing w:line="360" w:lineRule="auto"/>
              <w:jc w:val="center"/>
              <w:rPr>
                <w:rFonts w:hint="default" w:ascii="Times New Roman" w:hAnsi="Times New Roman" w:eastAsia="黑体" w:cs="Times New Roman"/>
                <w:b/>
                <w:bCs/>
                <w:sz w:val="24"/>
                <w:szCs w:val="24"/>
              </w:rPr>
            </w:pPr>
            <w:r>
              <w:rPr>
                <w:rFonts w:hint="default" w:ascii="Times New Roman" w:hAnsi="Times New Roman" w:eastAsia="黑体" w:cs="Times New Roman"/>
                <w:b/>
                <w:bCs/>
                <w:sz w:val="24"/>
                <w:szCs w:val="24"/>
              </w:rPr>
              <w:t>表</w:t>
            </w:r>
            <w:r>
              <w:rPr>
                <w:rFonts w:hint="default" w:ascii="Times New Roman" w:hAnsi="Times New Roman" w:eastAsia="黑体" w:cs="Times New Roman"/>
                <w:b/>
                <w:bCs/>
                <w:sz w:val="24"/>
                <w:szCs w:val="24"/>
                <w:lang w:val="en-US" w:eastAsia="zh-CN"/>
              </w:rPr>
              <w:t>1</w:t>
            </w:r>
            <w:r>
              <w:rPr>
                <w:rFonts w:hint="eastAsia" w:eastAsia="黑体" w:cs="Times New Roman"/>
                <w:b/>
                <w:bCs/>
                <w:sz w:val="24"/>
                <w:szCs w:val="24"/>
                <w:lang w:val="en-US" w:eastAsia="zh-CN"/>
              </w:rPr>
              <w:t>7</w:t>
            </w:r>
            <w:r>
              <w:rPr>
                <w:rFonts w:hint="default" w:ascii="Times New Roman" w:hAnsi="Times New Roman" w:eastAsia="黑体" w:cs="Times New Roman"/>
                <w:b/>
                <w:bCs/>
                <w:sz w:val="24"/>
                <w:szCs w:val="24"/>
              </w:rPr>
              <w:t xml:space="preserve"> 主要产品及产能方案一览表</w:t>
            </w:r>
          </w:p>
          <w:tbl>
            <w:tblPr>
              <w:tblStyle w:val="20"/>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88"/>
              <w:gridCol w:w="2130"/>
              <w:gridCol w:w="2324"/>
              <w:gridCol w:w="21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88"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360" w:lineRule="atLeast"/>
                    <w:jc w:val="center"/>
                    <w:textAlignment w:val="auto"/>
                    <w:rPr>
                      <w:rFonts w:hint="default"/>
                    </w:rPr>
                  </w:pPr>
                  <w:r>
                    <w:rPr>
                      <w:rFonts w:hint="default"/>
                    </w:rPr>
                    <w:t>序号</w:t>
                  </w:r>
                </w:p>
              </w:tc>
              <w:tc>
                <w:tcPr>
                  <w:tcW w:w="21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360" w:lineRule="atLeast"/>
                    <w:jc w:val="center"/>
                    <w:textAlignment w:val="auto"/>
                    <w:rPr>
                      <w:rFonts w:hint="default"/>
                      <w:lang w:eastAsia="zh-CN"/>
                    </w:rPr>
                  </w:pPr>
                  <w:r>
                    <w:rPr>
                      <w:rFonts w:hint="default"/>
                    </w:rPr>
                    <w:t>产品</w:t>
                  </w:r>
                  <w:r>
                    <w:rPr>
                      <w:rFonts w:hint="default"/>
                      <w:lang w:eastAsia="zh-CN"/>
                    </w:rPr>
                    <w:t>名称</w:t>
                  </w:r>
                </w:p>
              </w:tc>
              <w:tc>
                <w:tcPr>
                  <w:tcW w:w="232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360" w:lineRule="atLeast"/>
                    <w:jc w:val="center"/>
                    <w:textAlignment w:val="auto"/>
                    <w:rPr>
                      <w:rFonts w:hint="default"/>
                      <w:lang w:eastAsia="zh-CN"/>
                    </w:rPr>
                  </w:pPr>
                  <w:r>
                    <w:rPr>
                      <w:rFonts w:hint="default"/>
                      <w:lang w:eastAsia="zh-CN"/>
                    </w:rPr>
                    <w:t>生产能力</w:t>
                  </w:r>
                </w:p>
              </w:tc>
              <w:tc>
                <w:tcPr>
                  <w:tcW w:w="2195"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360" w:lineRule="atLeast"/>
                    <w:jc w:val="center"/>
                    <w:textAlignment w:val="auto"/>
                    <w:rPr>
                      <w:rFonts w:hint="default"/>
                    </w:rPr>
                  </w:pPr>
                  <w:r>
                    <w:rPr>
                      <w:rFonts w:hint="default"/>
                    </w:rPr>
                    <w:t>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88"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360" w:lineRule="atLeast"/>
                    <w:jc w:val="center"/>
                    <w:textAlignment w:val="auto"/>
                    <w:rPr>
                      <w:rFonts w:hint="default"/>
                    </w:rPr>
                  </w:pPr>
                  <w:r>
                    <w:rPr>
                      <w:rFonts w:hint="default"/>
                    </w:rPr>
                    <w:t>1</w:t>
                  </w:r>
                </w:p>
              </w:tc>
              <w:tc>
                <w:tcPr>
                  <w:tcW w:w="2130"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atLeast"/>
                    <w:jc w:val="center"/>
                    <w:textAlignment w:val="auto"/>
                    <w:rPr>
                      <w:rFonts w:hint="default"/>
                      <w:lang w:val="en-US" w:eastAsia="zh-CN"/>
                    </w:rPr>
                  </w:pPr>
                  <w:r>
                    <w:rPr>
                      <w:rFonts w:hint="default"/>
                      <w:lang w:val="en-US" w:eastAsia="zh-CN"/>
                    </w:rPr>
                    <w:t>蒸汽</w:t>
                  </w:r>
                </w:p>
              </w:tc>
              <w:tc>
                <w:tcPr>
                  <w:tcW w:w="2324"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atLeast"/>
                    <w:jc w:val="center"/>
                    <w:textAlignment w:val="auto"/>
                    <w:rPr>
                      <w:rFonts w:hint="default"/>
                      <w:lang w:val="en-US" w:eastAsia="zh-CN"/>
                    </w:rPr>
                  </w:pPr>
                  <w:r>
                    <w:rPr>
                      <w:rFonts w:hint="default"/>
                      <w:lang w:val="en-US" w:eastAsia="zh-CN"/>
                    </w:rPr>
                    <w:t>20</w:t>
                  </w:r>
                </w:p>
              </w:tc>
              <w:tc>
                <w:tcPr>
                  <w:tcW w:w="2195" w:type="dxa"/>
                  <w:tcBorders>
                    <w:tl2br w:val="nil"/>
                    <w:tr2bl w:val="nil"/>
                  </w:tcBorders>
                  <w:noWrap w:val="0"/>
                  <w:vAlign w:val="center"/>
                </w:tcPr>
                <w:p>
                  <w:pPr>
                    <w:keepNext w:val="0"/>
                    <w:keepLines w:val="0"/>
                    <w:pageBreakBefore w:val="0"/>
                    <w:kinsoku/>
                    <w:wordWrap/>
                    <w:overflowPunct/>
                    <w:topLinePunct w:val="0"/>
                    <w:autoSpaceDE/>
                    <w:autoSpaceDN/>
                    <w:bidi w:val="0"/>
                    <w:spacing w:line="360" w:lineRule="atLeast"/>
                    <w:jc w:val="center"/>
                    <w:textAlignment w:val="auto"/>
                    <w:rPr>
                      <w:rFonts w:hint="default"/>
                    </w:rPr>
                  </w:pPr>
                  <w:r>
                    <w:rPr>
                      <w:rFonts w:hint="default"/>
                      <w:lang w:val="en-US" w:eastAsia="zh-CN"/>
                    </w:rPr>
                    <w:t>t/h</w:t>
                  </w:r>
                </w:p>
              </w:tc>
            </w:tr>
          </w:tbl>
          <w:p>
            <w:pPr>
              <w:pStyle w:val="30"/>
              <w:keepNext w:val="0"/>
              <w:keepLines w:val="0"/>
              <w:pageBreakBefore w:val="0"/>
              <w:widowControl w:val="0"/>
              <w:kinsoku/>
              <w:wordWrap/>
              <w:overflowPunct/>
              <w:topLinePunct w:val="0"/>
              <w:autoSpaceDE/>
              <w:autoSpaceDN/>
              <w:bidi w:val="0"/>
              <w:adjustRightInd w:val="0"/>
              <w:snapToGrid w:val="0"/>
              <w:spacing w:beforeLines="0" w:afterLines="0" w:line="360" w:lineRule="auto"/>
              <w:jc w:val="left"/>
              <w:textAlignment w:val="auto"/>
              <w:rPr>
                <w:rFonts w:hint="default"/>
                <w:sz w:val="24"/>
                <w:szCs w:val="24"/>
                <w:lang w:val="en-US" w:eastAsia="zh-CN"/>
              </w:rPr>
            </w:pPr>
            <w:r>
              <w:rPr>
                <w:rFonts w:hint="default"/>
                <w:sz w:val="24"/>
                <w:szCs w:val="24"/>
                <w:lang w:val="en-US" w:eastAsia="zh-CN"/>
              </w:rPr>
              <w:t>2.4 本项目主要生产设备</w:t>
            </w:r>
          </w:p>
          <w:p>
            <w:pPr>
              <w:pStyle w:val="30"/>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rPr>
                <w:rFonts w:hint="default" w:ascii="Times New Roman" w:hAnsi="Times New Roman" w:eastAsia="黑体" w:cs="Times New Roman"/>
                <w:b/>
                <w:bCs/>
                <w:sz w:val="24"/>
                <w:szCs w:val="24"/>
              </w:rPr>
            </w:pPr>
            <w:r>
              <w:rPr>
                <w:rFonts w:hint="default" w:ascii="Times New Roman" w:hAnsi="Times New Roman" w:eastAsia="黑体" w:cs="Times New Roman"/>
                <w:b/>
                <w:bCs/>
                <w:sz w:val="24"/>
                <w:szCs w:val="24"/>
                <w:lang w:val="en-US" w:eastAsia="zh-CN"/>
              </w:rPr>
              <w:t>表1</w:t>
            </w:r>
            <w:r>
              <w:rPr>
                <w:rFonts w:hint="eastAsia" w:ascii="Times New Roman" w:eastAsia="黑体" w:cs="Times New Roman"/>
                <w:b/>
                <w:bCs/>
                <w:sz w:val="24"/>
                <w:szCs w:val="24"/>
                <w:lang w:val="en-US" w:eastAsia="zh-CN"/>
              </w:rPr>
              <w:t>8</w:t>
            </w:r>
            <w:r>
              <w:rPr>
                <w:rFonts w:hint="default" w:ascii="Times New Roman" w:hAnsi="Times New Roman" w:eastAsia="黑体" w:cs="Times New Roman"/>
                <w:b/>
                <w:bCs/>
                <w:sz w:val="24"/>
                <w:szCs w:val="24"/>
                <w:lang w:val="en-US" w:eastAsia="zh-CN"/>
              </w:rPr>
              <w:t xml:space="preserve"> </w:t>
            </w:r>
            <w:r>
              <w:rPr>
                <w:rFonts w:hint="default" w:ascii="Times New Roman" w:hAnsi="Times New Roman" w:eastAsia="黑体" w:cs="Times New Roman"/>
                <w:b/>
                <w:bCs/>
                <w:sz w:val="24"/>
                <w:szCs w:val="24"/>
                <w:lang w:eastAsia="zh-CN"/>
              </w:rPr>
              <w:t>本项目主要设备</w:t>
            </w:r>
            <w:r>
              <w:rPr>
                <w:rFonts w:hint="default" w:ascii="Times New Roman" w:hAnsi="Times New Roman" w:eastAsia="黑体" w:cs="Times New Roman"/>
                <w:b/>
                <w:bCs/>
                <w:sz w:val="24"/>
                <w:szCs w:val="24"/>
              </w:rPr>
              <w:t>表</w:t>
            </w:r>
          </w:p>
          <w:tbl>
            <w:tblPr>
              <w:tblStyle w:val="20"/>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6"/>
              <w:gridCol w:w="2023"/>
              <w:gridCol w:w="1177"/>
              <w:gridCol w:w="1258"/>
              <w:gridCol w:w="26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rPr>
                  </w:pPr>
                  <w:r>
                    <w:rPr>
                      <w:rFonts w:hint="default"/>
                    </w:rPr>
                    <w:t>序号</w:t>
                  </w:r>
                </w:p>
              </w:tc>
              <w:tc>
                <w:tcPr>
                  <w:tcW w:w="202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rPr>
                  </w:pPr>
                  <w:r>
                    <w:rPr>
                      <w:rFonts w:hint="default"/>
                    </w:rPr>
                    <w:t>设备名称</w:t>
                  </w:r>
                </w:p>
              </w:tc>
              <w:tc>
                <w:tcPr>
                  <w:tcW w:w="117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rPr>
                  </w:pPr>
                  <w:r>
                    <w:rPr>
                      <w:rFonts w:hint="default"/>
                    </w:rPr>
                    <w:t>数量</w:t>
                  </w:r>
                </w:p>
              </w:tc>
              <w:tc>
                <w:tcPr>
                  <w:tcW w:w="125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rPr>
                  </w:pPr>
                  <w:r>
                    <w:rPr>
                      <w:rFonts w:hint="default"/>
                    </w:rPr>
                    <w:t>单位</w:t>
                  </w:r>
                </w:p>
              </w:tc>
              <w:tc>
                <w:tcPr>
                  <w:tcW w:w="265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rPr>
                  </w:pPr>
                  <w:r>
                    <w:rPr>
                      <w:rFonts w:hint="eastAsia"/>
                      <w:lang w:eastAsia="zh-CN"/>
                    </w:rPr>
                    <w:t>型号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rPr>
                  </w:pPr>
                  <w:r>
                    <w:rPr>
                      <w:rFonts w:hint="default"/>
                      <w:lang w:val="en-US" w:eastAsia="zh-CN"/>
                    </w:rPr>
                    <w:t>1</w:t>
                  </w:r>
                </w:p>
              </w:tc>
              <w:tc>
                <w:tcPr>
                  <w:tcW w:w="202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lang w:val="en-US" w:eastAsia="zh-CN"/>
                    </w:rPr>
                  </w:pPr>
                  <w:r>
                    <w:rPr>
                      <w:rFonts w:hint="default"/>
                      <w:lang w:val="en-US" w:eastAsia="zh-CN"/>
                    </w:rPr>
                    <w:t>天然气锅炉</w:t>
                  </w:r>
                </w:p>
              </w:tc>
              <w:tc>
                <w:tcPr>
                  <w:tcW w:w="117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lang w:val="en-US" w:eastAsia="zh-CN"/>
                    </w:rPr>
                  </w:pPr>
                  <w:r>
                    <w:rPr>
                      <w:rFonts w:hint="default"/>
                      <w:lang w:val="en-US" w:eastAsia="zh-CN"/>
                    </w:rPr>
                    <w:t>1</w:t>
                  </w:r>
                </w:p>
              </w:tc>
              <w:tc>
                <w:tcPr>
                  <w:tcW w:w="125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rPr>
                  </w:pPr>
                  <w:r>
                    <w:rPr>
                      <w:rFonts w:hint="default"/>
                      <w:lang w:val="en-US" w:eastAsia="zh-CN"/>
                    </w:rPr>
                    <w:t>套</w:t>
                  </w:r>
                </w:p>
              </w:tc>
              <w:tc>
                <w:tcPr>
                  <w:tcW w:w="26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tLeast"/>
                    <w:jc w:val="center"/>
                    <w:textAlignment w:val="auto"/>
                    <w:rPr>
                      <w:rFonts w:hint="default"/>
                      <w:lang w:val="en-US" w:eastAsia="zh-CN"/>
                    </w:rPr>
                  </w:pPr>
                  <w:r>
                    <w:rPr>
                      <w:rFonts w:hint="eastAsia"/>
                      <w:color w:val="0000FF"/>
                      <w:sz w:val="21"/>
                      <w:szCs w:val="21"/>
                      <w:vertAlign w:val="baseline"/>
                      <w:lang w:val="en-US" w:eastAsia="zh-CN"/>
                    </w:rPr>
                    <w:t xml:space="preserve"> SZS20-1.25-Q</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rPr>
                  </w:pPr>
                  <w:r>
                    <w:rPr>
                      <w:rFonts w:hint="default"/>
                      <w:lang w:val="en-US" w:eastAsia="zh-CN"/>
                    </w:rPr>
                    <w:t>2</w:t>
                  </w:r>
                </w:p>
              </w:tc>
              <w:tc>
                <w:tcPr>
                  <w:tcW w:w="202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color w:val="0000FF"/>
                      <w:lang w:val="en-US" w:eastAsia="zh-CN"/>
                    </w:rPr>
                  </w:pPr>
                  <w:r>
                    <w:rPr>
                      <w:rFonts w:hint="eastAsia"/>
                      <w:color w:val="0000FF"/>
                      <w:lang w:val="en-US" w:eastAsia="zh-CN"/>
                    </w:rPr>
                    <w:t>水箱</w:t>
                  </w:r>
                </w:p>
              </w:tc>
              <w:tc>
                <w:tcPr>
                  <w:tcW w:w="117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color w:val="0000FF"/>
                      <w:lang w:val="en-US" w:eastAsia="zh-CN"/>
                    </w:rPr>
                  </w:pPr>
                  <w:r>
                    <w:rPr>
                      <w:rFonts w:hint="eastAsia"/>
                      <w:color w:val="0000FF"/>
                      <w:lang w:val="en-US" w:eastAsia="zh-CN"/>
                    </w:rPr>
                    <w:t>1</w:t>
                  </w:r>
                </w:p>
              </w:tc>
              <w:tc>
                <w:tcPr>
                  <w:tcW w:w="125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color w:val="0000FF"/>
                      <w:lang w:val="en-US" w:eastAsia="zh-CN"/>
                    </w:rPr>
                  </w:pPr>
                  <w:r>
                    <w:rPr>
                      <w:rFonts w:hint="default"/>
                      <w:color w:val="0000FF"/>
                      <w:lang w:val="en-US" w:eastAsia="zh-CN"/>
                    </w:rPr>
                    <w:t>个</w:t>
                  </w:r>
                </w:p>
              </w:tc>
              <w:tc>
                <w:tcPr>
                  <w:tcW w:w="26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tLeast"/>
                    <w:jc w:val="center"/>
                    <w:textAlignment w:val="auto"/>
                    <w:rPr>
                      <w:rFonts w:hint="default" w:eastAsia="宋体"/>
                      <w:color w:val="0000FF"/>
                      <w:vertAlign w:val="baseline"/>
                      <w:lang w:val="en-US" w:eastAsia="zh-CN"/>
                    </w:rPr>
                  </w:pPr>
                  <w:r>
                    <w:rPr>
                      <w:rFonts w:hint="eastAsia"/>
                      <w:color w:val="0000FF"/>
                      <w:lang w:val="en-US" w:eastAsia="zh-CN"/>
                    </w:rPr>
                    <w:t>70m</w:t>
                  </w:r>
                  <w:r>
                    <w:rPr>
                      <w:rFonts w:hint="eastAsia"/>
                      <w:color w:val="0000FF"/>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lang w:val="en-US" w:eastAsia="zh-CN"/>
                    </w:rPr>
                  </w:pPr>
                  <w:r>
                    <w:rPr>
                      <w:rFonts w:hint="default"/>
                      <w:lang w:val="en-US" w:eastAsia="zh-CN"/>
                    </w:rPr>
                    <w:t>3</w:t>
                  </w:r>
                </w:p>
              </w:tc>
              <w:tc>
                <w:tcPr>
                  <w:tcW w:w="202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lang w:val="en-US" w:eastAsia="zh-CN"/>
                    </w:rPr>
                  </w:pPr>
                  <w:r>
                    <w:rPr>
                      <w:rFonts w:hint="default"/>
                      <w:lang w:val="en-US" w:eastAsia="zh-CN"/>
                    </w:rPr>
                    <w:t>低氮燃烧器</w:t>
                  </w:r>
                </w:p>
              </w:tc>
              <w:tc>
                <w:tcPr>
                  <w:tcW w:w="117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lang w:val="en-US" w:eastAsia="zh-CN"/>
                    </w:rPr>
                  </w:pPr>
                  <w:r>
                    <w:rPr>
                      <w:rFonts w:hint="default"/>
                      <w:lang w:val="en-US" w:eastAsia="zh-CN"/>
                    </w:rPr>
                    <w:t>1</w:t>
                  </w:r>
                </w:p>
              </w:tc>
              <w:tc>
                <w:tcPr>
                  <w:tcW w:w="125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tLeast"/>
                    <w:jc w:val="center"/>
                    <w:textAlignment w:val="auto"/>
                    <w:rPr>
                      <w:rFonts w:hint="default"/>
                      <w:lang w:val="en-US" w:eastAsia="zh-CN"/>
                    </w:rPr>
                  </w:pPr>
                  <w:r>
                    <w:rPr>
                      <w:rFonts w:hint="default"/>
                      <w:lang w:val="en-US" w:eastAsia="zh-CN"/>
                    </w:rPr>
                    <w:t>套</w:t>
                  </w:r>
                </w:p>
              </w:tc>
              <w:tc>
                <w:tcPr>
                  <w:tcW w:w="26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tLeast"/>
                    <w:jc w:val="center"/>
                    <w:textAlignment w:val="auto"/>
                    <w:rPr>
                      <w:rFonts w:hint="default"/>
                      <w:lang w:val="en-US" w:eastAsia="zh-CN"/>
                    </w:rPr>
                  </w:pPr>
                  <w:r>
                    <w:rPr>
                      <w:rFonts w:hint="eastAsia"/>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color w:val="0000FF"/>
                      <w:lang w:val="en-US" w:eastAsia="zh-CN"/>
                    </w:rPr>
                  </w:pPr>
                  <w:r>
                    <w:rPr>
                      <w:rFonts w:hint="eastAsia"/>
                      <w:color w:val="0000FF"/>
                      <w:lang w:val="en-US" w:eastAsia="zh-CN"/>
                    </w:rPr>
                    <w:t>4</w:t>
                  </w:r>
                </w:p>
              </w:tc>
              <w:tc>
                <w:tcPr>
                  <w:tcW w:w="202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color w:val="0000FF"/>
                      <w:lang w:val="en-US" w:eastAsia="zh-CN"/>
                    </w:rPr>
                  </w:pPr>
                  <w:r>
                    <w:rPr>
                      <w:rFonts w:hint="eastAsia"/>
                      <w:color w:val="0000FF"/>
                      <w:lang w:val="en-US" w:eastAsia="zh-CN"/>
                    </w:rPr>
                    <w:t>立式泵</w:t>
                  </w:r>
                </w:p>
              </w:tc>
              <w:tc>
                <w:tcPr>
                  <w:tcW w:w="117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color w:val="0000FF"/>
                      <w:lang w:val="en-US" w:eastAsia="zh-CN"/>
                    </w:rPr>
                  </w:pPr>
                  <w:r>
                    <w:rPr>
                      <w:rFonts w:hint="eastAsia"/>
                      <w:color w:val="0000FF"/>
                      <w:lang w:val="en-US" w:eastAsia="zh-CN"/>
                    </w:rPr>
                    <w:t>6</w:t>
                  </w:r>
                </w:p>
              </w:tc>
              <w:tc>
                <w:tcPr>
                  <w:tcW w:w="125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tLeast"/>
                    <w:jc w:val="center"/>
                    <w:textAlignment w:val="auto"/>
                    <w:rPr>
                      <w:rFonts w:hint="default"/>
                      <w:color w:val="0000FF"/>
                      <w:lang w:val="en-US" w:eastAsia="zh-CN"/>
                    </w:rPr>
                  </w:pPr>
                  <w:r>
                    <w:rPr>
                      <w:rFonts w:hint="eastAsia"/>
                      <w:color w:val="0000FF"/>
                      <w:lang w:val="en-US" w:eastAsia="zh-CN"/>
                    </w:rPr>
                    <w:t>个</w:t>
                  </w:r>
                </w:p>
              </w:tc>
              <w:tc>
                <w:tcPr>
                  <w:tcW w:w="26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tLeast"/>
                    <w:jc w:val="left"/>
                    <w:textAlignment w:val="auto"/>
                    <w:rPr>
                      <w:rFonts w:hint="default"/>
                      <w:color w:val="0000FF"/>
                      <w:lang w:val="en-US" w:eastAsia="zh-CN"/>
                    </w:rPr>
                  </w:pPr>
                  <w:r>
                    <w:rPr>
                      <w:rFonts w:hint="eastAsia"/>
                      <w:color w:val="0000FF"/>
                      <w:lang w:val="en-US" w:eastAsia="zh-CN"/>
                    </w:rPr>
                    <w:t>CDMF32-12-2/CDMF20-6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82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color w:val="0000FF"/>
                      <w:lang w:val="en-US" w:eastAsia="zh-CN"/>
                    </w:rPr>
                  </w:pPr>
                  <w:r>
                    <w:rPr>
                      <w:rFonts w:hint="eastAsia"/>
                      <w:color w:val="0000FF"/>
                      <w:lang w:val="en-US" w:eastAsia="zh-CN"/>
                    </w:rPr>
                    <w:t>5</w:t>
                  </w:r>
                </w:p>
              </w:tc>
              <w:tc>
                <w:tcPr>
                  <w:tcW w:w="202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eastAsia"/>
                      <w:color w:val="0000FF"/>
                      <w:lang w:val="en-US" w:eastAsia="zh-CN"/>
                    </w:rPr>
                  </w:pPr>
                  <w:r>
                    <w:rPr>
                      <w:rFonts w:hint="eastAsia"/>
                      <w:color w:val="0000FF"/>
                      <w:lang w:val="en-US" w:eastAsia="zh-CN"/>
                    </w:rPr>
                    <w:t>风机</w:t>
                  </w:r>
                </w:p>
              </w:tc>
              <w:tc>
                <w:tcPr>
                  <w:tcW w:w="117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hint="default"/>
                      <w:color w:val="0000FF"/>
                      <w:lang w:val="en-US" w:eastAsia="zh-CN"/>
                    </w:rPr>
                  </w:pPr>
                  <w:r>
                    <w:rPr>
                      <w:rFonts w:hint="eastAsia"/>
                      <w:color w:val="0000FF"/>
                      <w:lang w:val="en-US" w:eastAsia="zh-CN"/>
                    </w:rPr>
                    <w:t>1</w:t>
                  </w:r>
                </w:p>
              </w:tc>
              <w:tc>
                <w:tcPr>
                  <w:tcW w:w="125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tLeast"/>
                    <w:jc w:val="center"/>
                    <w:textAlignment w:val="auto"/>
                    <w:rPr>
                      <w:rFonts w:hint="eastAsia"/>
                      <w:color w:val="0000FF"/>
                      <w:lang w:val="en-US" w:eastAsia="zh-CN"/>
                    </w:rPr>
                  </w:pPr>
                  <w:r>
                    <w:rPr>
                      <w:rFonts w:hint="eastAsia"/>
                      <w:color w:val="0000FF"/>
                      <w:lang w:val="en-US" w:eastAsia="zh-CN"/>
                    </w:rPr>
                    <w:t>个</w:t>
                  </w:r>
                </w:p>
              </w:tc>
              <w:tc>
                <w:tcPr>
                  <w:tcW w:w="265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tLeast"/>
                    <w:jc w:val="center"/>
                    <w:textAlignment w:val="auto"/>
                    <w:rPr>
                      <w:rFonts w:hint="default"/>
                      <w:color w:val="0000FF"/>
                      <w:lang w:val="en-US" w:eastAsia="zh-CN"/>
                    </w:rPr>
                  </w:pPr>
                  <w:r>
                    <w:rPr>
                      <w:rFonts w:hint="eastAsia"/>
                      <w:color w:val="0000FF"/>
                      <w:lang w:val="en-US" w:eastAsia="zh-CN"/>
                    </w:rPr>
                    <w:t>NXM-250S/3300200A</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eastAsia="黑体" w:cs="Times New Roman"/>
                <w:b/>
                <w:bCs/>
                <w:color w:val="0000FF"/>
                <w:vertAlign w:val="baseline"/>
                <w:lang w:val="en-US" w:eastAsia="zh-CN"/>
              </w:rPr>
            </w:pPr>
            <w:r>
              <w:rPr>
                <w:rFonts w:hint="default" w:ascii="Times New Roman" w:hAnsi="Times New Roman" w:eastAsia="黑体" w:cs="Times New Roman"/>
                <w:b/>
                <w:bCs/>
                <w:color w:val="0000FF"/>
                <w:lang w:val="en-US" w:eastAsia="zh-CN"/>
              </w:rPr>
              <w:t>表1</w:t>
            </w:r>
            <w:r>
              <w:rPr>
                <w:rFonts w:hint="eastAsia" w:eastAsia="黑体" w:cs="Times New Roman"/>
                <w:b/>
                <w:bCs/>
                <w:color w:val="0000FF"/>
                <w:lang w:val="en-US" w:eastAsia="zh-CN"/>
              </w:rPr>
              <w:t>9</w:t>
            </w:r>
            <w:r>
              <w:rPr>
                <w:rFonts w:hint="default" w:ascii="Times New Roman" w:hAnsi="Times New Roman" w:eastAsia="黑体" w:cs="Times New Roman"/>
                <w:b/>
                <w:bCs/>
                <w:color w:val="0000FF"/>
                <w:lang w:val="en-US" w:eastAsia="zh-CN"/>
              </w:rPr>
              <w:t xml:space="preserve"> 锅炉参数表</w:t>
            </w:r>
          </w:p>
          <w:tbl>
            <w:tblPr>
              <w:tblStyle w:val="21"/>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94"/>
              <w:gridCol w:w="2062"/>
              <w:gridCol w:w="32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656" w:type="dxa"/>
                  <w:gridSpan w:val="2"/>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锅炉型号</w:t>
                  </w:r>
                </w:p>
              </w:tc>
              <w:tc>
                <w:tcPr>
                  <w:tcW w:w="3281"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 xml:space="preserve"> SZS20-1.25-Q</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94"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额定蒸发量</w:t>
                  </w:r>
                </w:p>
              </w:tc>
              <w:tc>
                <w:tcPr>
                  <w:tcW w:w="2062"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t/hr</w:t>
                  </w:r>
                </w:p>
              </w:tc>
              <w:tc>
                <w:tcPr>
                  <w:tcW w:w="3281"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94"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额定蒸汽压力</w:t>
                  </w:r>
                </w:p>
              </w:tc>
              <w:tc>
                <w:tcPr>
                  <w:tcW w:w="2062"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MPa</w:t>
                  </w:r>
                </w:p>
              </w:tc>
              <w:tc>
                <w:tcPr>
                  <w:tcW w:w="3281"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1.25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94"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饱和蒸汽温度</w:t>
                  </w:r>
                </w:p>
              </w:tc>
              <w:tc>
                <w:tcPr>
                  <w:tcW w:w="2062"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w:t>
                  </w:r>
                </w:p>
              </w:tc>
              <w:tc>
                <w:tcPr>
                  <w:tcW w:w="3281"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194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94"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给水温度</w:t>
                  </w:r>
                </w:p>
              </w:tc>
              <w:tc>
                <w:tcPr>
                  <w:tcW w:w="2062"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w:t>
                  </w:r>
                </w:p>
              </w:tc>
              <w:tc>
                <w:tcPr>
                  <w:tcW w:w="3281"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104/54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94"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适用燃料</w:t>
                  </w:r>
                </w:p>
              </w:tc>
              <w:tc>
                <w:tcPr>
                  <w:tcW w:w="2062"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w:t>
                  </w:r>
                </w:p>
              </w:tc>
              <w:tc>
                <w:tcPr>
                  <w:tcW w:w="3281"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天然气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594"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lang w:val="en-US" w:eastAsia="zh-CN"/>
                    </w:rPr>
                  </w:pPr>
                  <w:r>
                    <w:rPr>
                      <w:rFonts w:hint="eastAsia"/>
                      <w:color w:val="0000FF"/>
                      <w:lang w:val="en-US" w:eastAsia="zh-CN"/>
                    </w:rPr>
                    <w:t>燃料消耗量</w:t>
                  </w:r>
                </w:p>
              </w:tc>
              <w:tc>
                <w:tcPr>
                  <w:tcW w:w="2062"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Nm</w:t>
                  </w:r>
                  <w:r>
                    <w:rPr>
                      <w:rFonts w:hint="eastAsia"/>
                      <w:color w:val="0000FF"/>
                      <w:sz w:val="21"/>
                      <w:szCs w:val="21"/>
                      <w:vertAlign w:val="superscript"/>
                      <w:lang w:val="en-US" w:eastAsia="zh-CN"/>
                    </w:rPr>
                    <w:t>3</w:t>
                  </w:r>
                  <w:r>
                    <w:rPr>
                      <w:rFonts w:hint="eastAsia"/>
                      <w:color w:val="0000FF"/>
                      <w:sz w:val="21"/>
                      <w:szCs w:val="21"/>
                      <w:vertAlign w:val="baseline"/>
                      <w:lang w:val="en-US" w:eastAsia="zh-CN"/>
                    </w:rPr>
                    <w:t>/h</w:t>
                  </w:r>
                </w:p>
              </w:tc>
              <w:tc>
                <w:tcPr>
                  <w:tcW w:w="3281"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1600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594"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设计热效率</w:t>
                  </w:r>
                </w:p>
              </w:tc>
              <w:tc>
                <w:tcPr>
                  <w:tcW w:w="2062"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w:t>
                  </w:r>
                </w:p>
              </w:tc>
              <w:tc>
                <w:tcPr>
                  <w:tcW w:w="3281"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98.1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594"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eastAsia"/>
                      <w:color w:val="0000FF"/>
                      <w:sz w:val="21"/>
                      <w:szCs w:val="21"/>
                      <w:vertAlign w:val="baseline"/>
                      <w:lang w:val="en-US" w:eastAsia="zh-CN"/>
                    </w:rPr>
                  </w:pPr>
                  <w:r>
                    <w:rPr>
                      <w:rFonts w:hint="eastAsia"/>
                      <w:color w:val="0000FF"/>
                      <w:sz w:val="21"/>
                      <w:szCs w:val="21"/>
                      <w:vertAlign w:val="baseline"/>
                      <w:lang w:val="en-US" w:eastAsia="zh-CN"/>
                    </w:rPr>
                    <w:t>锅炉排烟温度</w:t>
                  </w:r>
                </w:p>
              </w:tc>
              <w:tc>
                <w:tcPr>
                  <w:tcW w:w="2062"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eastAsia"/>
                      <w:color w:val="0000FF"/>
                      <w:sz w:val="21"/>
                      <w:szCs w:val="21"/>
                      <w:vertAlign w:val="baseline"/>
                      <w:lang w:val="en-US" w:eastAsia="zh-CN"/>
                    </w:rPr>
                  </w:pPr>
                  <w:r>
                    <w:rPr>
                      <w:rFonts w:hint="eastAsia"/>
                      <w:color w:val="0000FF"/>
                      <w:sz w:val="21"/>
                      <w:szCs w:val="21"/>
                      <w:vertAlign w:val="baseline"/>
                      <w:lang w:val="en-US" w:eastAsia="zh-CN"/>
                    </w:rPr>
                    <w:t>℃</w:t>
                  </w:r>
                </w:p>
              </w:tc>
              <w:tc>
                <w:tcPr>
                  <w:tcW w:w="3281"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594"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eastAsia"/>
                      <w:color w:val="0000FF"/>
                      <w:sz w:val="21"/>
                      <w:szCs w:val="21"/>
                      <w:vertAlign w:val="baseline"/>
                      <w:lang w:val="en-US" w:eastAsia="zh-CN"/>
                    </w:rPr>
                  </w:pPr>
                  <w:r>
                    <w:rPr>
                      <w:rFonts w:hint="eastAsia"/>
                      <w:color w:val="0000FF"/>
                      <w:sz w:val="21"/>
                      <w:szCs w:val="21"/>
                      <w:vertAlign w:val="baseline"/>
                      <w:lang w:val="en-US" w:eastAsia="zh-CN"/>
                    </w:rPr>
                    <w:t>空气温度</w:t>
                  </w:r>
                </w:p>
              </w:tc>
              <w:tc>
                <w:tcPr>
                  <w:tcW w:w="2062"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eastAsia"/>
                      <w:color w:val="0000FF"/>
                      <w:sz w:val="21"/>
                      <w:szCs w:val="21"/>
                      <w:vertAlign w:val="baseline"/>
                      <w:lang w:val="en-US" w:eastAsia="zh-CN"/>
                    </w:rPr>
                  </w:pPr>
                  <w:r>
                    <w:rPr>
                      <w:rFonts w:hint="eastAsia"/>
                      <w:color w:val="0000FF"/>
                      <w:sz w:val="21"/>
                      <w:szCs w:val="21"/>
                      <w:vertAlign w:val="baseline"/>
                      <w:lang w:val="en-US" w:eastAsia="zh-CN"/>
                    </w:rPr>
                    <w:t>℃</w:t>
                  </w:r>
                </w:p>
              </w:tc>
              <w:tc>
                <w:tcPr>
                  <w:tcW w:w="3281"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594"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eastAsia"/>
                      <w:color w:val="0000FF"/>
                      <w:sz w:val="21"/>
                      <w:szCs w:val="21"/>
                      <w:vertAlign w:val="baseline"/>
                      <w:lang w:val="en-US" w:eastAsia="zh-CN"/>
                    </w:rPr>
                  </w:pPr>
                  <w:r>
                    <w:rPr>
                      <w:rFonts w:hint="eastAsia"/>
                      <w:color w:val="0000FF"/>
                      <w:sz w:val="21"/>
                      <w:szCs w:val="21"/>
                      <w:vertAlign w:val="baseline"/>
                      <w:lang w:val="en-US" w:eastAsia="zh-CN"/>
                    </w:rPr>
                    <w:t>排烟处过量空气系数</w:t>
                  </w:r>
                </w:p>
              </w:tc>
              <w:tc>
                <w:tcPr>
                  <w:tcW w:w="2062"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w:t>
                  </w:r>
                </w:p>
              </w:tc>
              <w:tc>
                <w:tcPr>
                  <w:tcW w:w="3281"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1.15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594"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eastAsia"/>
                      <w:color w:val="0000FF"/>
                      <w:sz w:val="21"/>
                      <w:szCs w:val="21"/>
                      <w:vertAlign w:val="baseline"/>
                      <w:lang w:val="en-US" w:eastAsia="zh-CN"/>
                    </w:rPr>
                  </w:pPr>
                  <w:r>
                    <w:rPr>
                      <w:rFonts w:hint="eastAsia"/>
                      <w:color w:val="0000FF"/>
                      <w:sz w:val="21"/>
                      <w:szCs w:val="21"/>
                      <w:vertAlign w:val="baseline"/>
                      <w:lang w:val="en-US" w:eastAsia="zh-CN"/>
                    </w:rPr>
                    <w:t>允许的负荷变化范围</w:t>
                  </w:r>
                </w:p>
              </w:tc>
              <w:tc>
                <w:tcPr>
                  <w:tcW w:w="2062"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eastAsia"/>
                      <w:color w:val="0000FF"/>
                      <w:sz w:val="21"/>
                      <w:szCs w:val="21"/>
                      <w:vertAlign w:val="baseline"/>
                      <w:lang w:val="en-US" w:eastAsia="zh-CN"/>
                    </w:rPr>
                  </w:pPr>
                  <w:r>
                    <w:rPr>
                      <w:rFonts w:hint="eastAsia"/>
                      <w:color w:val="0000FF"/>
                      <w:sz w:val="21"/>
                      <w:szCs w:val="21"/>
                      <w:vertAlign w:val="baseline"/>
                      <w:lang w:val="en-US" w:eastAsia="zh-CN"/>
                    </w:rPr>
                    <w:t>%</w:t>
                  </w:r>
                </w:p>
              </w:tc>
              <w:tc>
                <w:tcPr>
                  <w:tcW w:w="3281"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50~100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594"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eastAsia"/>
                      <w:color w:val="0000FF"/>
                      <w:sz w:val="21"/>
                      <w:szCs w:val="21"/>
                      <w:vertAlign w:val="baseline"/>
                      <w:lang w:val="en-US" w:eastAsia="zh-CN"/>
                    </w:rPr>
                  </w:pPr>
                  <w:r>
                    <w:rPr>
                      <w:rFonts w:hint="eastAsia"/>
                      <w:color w:val="0000FF"/>
                      <w:sz w:val="21"/>
                      <w:szCs w:val="21"/>
                      <w:vertAlign w:val="baseline"/>
                      <w:lang w:val="en-US" w:eastAsia="zh-CN"/>
                    </w:rPr>
                    <w:t>辐射受热面积</w:t>
                  </w:r>
                </w:p>
              </w:tc>
              <w:tc>
                <w:tcPr>
                  <w:tcW w:w="2062"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m</w:t>
                  </w:r>
                  <w:r>
                    <w:rPr>
                      <w:rFonts w:hint="eastAsia"/>
                      <w:color w:val="0000FF"/>
                      <w:sz w:val="21"/>
                      <w:szCs w:val="21"/>
                      <w:vertAlign w:val="superscript"/>
                      <w:lang w:val="en-US" w:eastAsia="zh-CN"/>
                    </w:rPr>
                    <w:t>2</w:t>
                  </w:r>
                </w:p>
              </w:tc>
              <w:tc>
                <w:tcPr>
                  <w:tcW w:w="3281"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64.7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594"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eastAsia"/>
                      <w:color w:val="0000FF"/>
                      <w:sz w:val="21"/>
                      <w:szCs w:val="21"/>
                      <w:vertAlign w:val="baseline"/>
                      <w:lang w:val="en-US" w:eastAsia="zh-CN"/>
                    </w:rPr>
                  </w:pPr>
                  <w:r>
                    <w:rPr>
                      <w:rFonts w:hint="eastAsia"/>
                      <w:color w:val="0000FF"/>
                      <w:sz w:val="21"/>
                      <w:szCs w:val="21"/>
                      <w:vertAlign w:val="baseline"/>
                      <w:lang w:val="en-US" w:eastAsia="zh-CN"/>
                    </w:rPr>
                    <w:t>对流受热面积</w:t>
                  </w:r>
                </w:p>
              </w:tc>
              <w:tc>
                <w:tcPr>
                  <w:tcW w:w="2062"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eastAsia"/>
                      <w:color w:val="0000FF"/>
                      <w:sz w:val="21"/>
                      <w:szCs w:val="21"/>
                      <w:vertAlign w:val="baseline"/>
                      <w:lang w:val="en-US" w:eastAsia="zh-CN"/>
                    </w:rPr>
                  </w:pPr>
                  <w:r>
                    <w:rPr>
                      <w:rFonts w:hint="eastAsia"/>
                      <w:color w:val="0000FF"/>
                      <w:sz w:val="21"/>
                      <w:szCs w:val="21"/>
                      <w:vertAlign w:val="baseline"/>
                      <w:lang w:val="en-US" w:eastAsia="zh-CN"/>
                    </w:rPr>
                    <w:t>m</w:t>
                  </w:r>
                  <w:r>
                    <w:rPr>
                      <w:rFonts w:hint="eastAsia"/>
                      <w:color w:val="0000FF"/>
                      <w:sz w:val="21"/>
                      <w:szCs w:val="21"/>
                      <w:vertAlign w:val="superscript"/>
                      <w:lang w:val="en-US" w:eastAsia="zh-CN"/>
                    </w:rPr>
                    <w:t>2</w:t>
                  </w:r>
                </w:p>
              </w:tc>
              <w:tc>
                <w:tcPr>
                  <w:tcW w:w="3281"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182.3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594"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eastAsia"/>
                      <w:color w:val="0000FF"/>
                      <w:sz w:val="21"/>
                      <w:szCs w:val="21"/>
                      <w:vertAlign w:val="baseline"/>
                      <w:lang w:val="en-US" w:eastAsia="zh-CN"/>
                    </w:rPr>
                  </w:pPr>
                  <w:r>
                    <w:rPr>
                      <w:rFonts w:hint="eastAsia"/>
                      <w:color w:val="0000FF"/>
                      <w:sz w:val="21"/>
                      <w:szCs w:val="21"/>
                      <w:vertAlign w:val="baseline"/>
                      <w:lang w:val="en-US" w:eastAsia="zh-CN"/>
                    </w:rPr>
                    <w:t>节能器受热面积</w:t>
                  </w:r>
                </w:p>
              </w:tc>
              <w:tc>
                <w:tcPr>
                  <w:tcW w:w="2062"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eastAsia"/>
                      <w:color w:val="0000FF"/>
                      <w:sz w:val="21"/>
                      <w:szCs w:val="21"/>
                      <w:vertAlign w:val="baseline"/>
                      <w:lang w:val="en-US" w:eastAsia="zh-CN"/>
                    </w:rPr>
                  </w:pPr>
                  <w:r>
                    <w:rPr>
                      <w:rFonts w:hint="eastAsia"/>
                      <w:color w:val="0000FF"/>
                      <w:sz w:val="21"/>
                      <w:szCs w:val="21"/>
                      <w:vertAlign w:val="baseline"/>
                      <w:lang w:val="en-US" w:eastAsia="zh-CN"/>
                    </w:rPr>
                    <w:t>m</w:t>
                  </w:r>
                  <w:r>
                    <w:rPr>
                      <w:rFonts w:hint="eastAsia"/>
                      <w:color w:val="0000FF"/>
                      <w:sz w:val="21"/>
                      <w:szCs w:val="21"/>
                      <w:vertAlign w:val="superscript"/>
                      <w:lang w:val="en-US" w:eastAsia="zh-CN"/>
                    </w:rPr>
                    <w:t>2</w:t>
                  </w:r>
                </w:p>
              </w:tc>
              <w:tc>
                <w:tcPr>
                  <w:tcW w:w="3281"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343.5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594"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eastAsia"/>
                      <w:color w:val="0000FF"/>
                      <w:sz w:val="21"/>
                      <w:szCs w:val="21"/>
                      <w:vertAlign w:val="baseline"/>
                      <w:lang w:val="en-US" w:eastAsia="zh-CN"/>
                    </w:rPr>
                  </w:pPr>
                  <w:r>
                    <w:rPr>
                      <w:rFonts w:hint="eastAsia"/>
                      <w:color w:val="0000FF"/>
                      <w:sz w:val="21"/>
                      <w:szCs w:val="21"/>
                      <w:vertAlign w:val="baseline"/>
                      <w:lang w:val="en-US" w:eastAsia="zh-CN"/>
                    </w:rPr>
                    <w:t>冷凝器受热面积</w:t>
                  </w:r>
                </w:p>
              </w:tc>
              <w:tc>
                <w:tcPr>
                  <w:tcW w:w="2062"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eastAsia"/>
                      <w:color w:val="0000FF"/>
                      <w:sz w:val="21"/>
                      <w:szCs w:val="21"/>
                      <w:vertAlign w:val="baseline"/>
                      <w:lang w:val="en-US" w:eastAsia="zh-CN"/>
                    </w:rPr>
                  </w:pPr>
                  <w:r>
                    <w:rPr>
                      <w:rFonts w:hint="eastAsia"/>
                      <w:color w:val="0000FF"/>
                      <w:sz w:val="21"/>
                      <w:szCs w:val="21"/>
                      <w:vertAlign w:val="baseline"/>
                      <w:lang w:val="en-US" w:eastAsia="zh-CN"/>
                    </w:rPr>
                    <w:t>m</w:t>
                  </w:r>
                  <w:r>
                    <w:rPr>
                      <w:rFonts w:hint="eastAsia"/>
                      <w:color w:val="0000FF"/>
                      <w:sz w:val="21"/>
                      <w:szCs w:val="21"/>
                      <w:vertAlign w:val="superscript"/>
                      <w:lang w:val="en-US" w:eastAsia="zh-CN"/>
                    </w:rPr>
                    <w:t>2</w:t>
                  </w:r>
                </w:p>
              </w:tc>
              <w:tc>
                <w:tcPr>
                  <w:tcW w:w="3281"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286.2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594"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eastAsia"/>
                      <w:color w:val="0000FF"/>
                      <w:sz w:val="21"/>
                      <w:szCs w:val="21"/>
                      <w:vertAlign w:val="baseline"/>
                      <w:lang w:val="en-US" w:eastAsia="zh-CN"/>
                    </w:rPr>
                  </w:pPr>
                  <w:r>
                    <w:rPr>
                      <w:rFonts w:hint="eastAsia"/>
                      <w:color w:val="0000FF"/>
                      <w:sz w:val="21"/>
                      <w:szCs w:val="21"/>
                      <w:vertAlign w:val="baseline"/>
                      <w:lang w:val="en-US" w:eastAsia="zh-CN"/>
                    </w:rPr>
                    <w:t>空气预热器受热面积</w:t>
                  </w:r>
                </w:p>
              </w:tc>
              <w:tc>
                <w:tcPr>
                  <w:tcW w:w="2062"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eastAsia"/>
                      <w:color w:val="0000FF"/>
                      <w:sz w:val="21"/>
                      <w:szCs w:val="21"/>
                      <w:vertAlign w:val="baseline"/>
                      <w:lang w:val="en-US" w:eastAsia="zh-CN"/>
                    </w:rPr>
                  </w:pPr>
                  <w:r>
                    <w:rPr>
                      <w:rFonts w:hint="eastAsia"/>
                      <w:color w:val="0000FF"/>
                      <w:sz w:val="21"/>
                      <w:szCs w:val="21"/>
                      <w:vertAlign w:val="baseline"/>
                      <w:lang w:val="en-US" w:eastAsia="zh-CN"/>
                    </w:rPr>
                    <w:t>m</w:t>
                  </w:r>
                  <w:r>
                    <w:rPr>
                      <w:rFonts w:hint="eastAsia"/>
                      <w:color w:val="0000FF"/>
                      <w:sz w:val="21"/>
                      <w:szCs w:val="21"/>
                      <w:vertAlign w:val="superscript"/>
                      <w:lang w:val="en-US" w:eastAsia="zh-CN"/>
                    </w:rPr>
                    <w:t>2</w:t>
                  </w:r>
                </w:p>
              </w:tc>
              <w:tc>
                <w:tcPr>
                  <w:tcW w:w="3281"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215.9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594"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eastAsia"/>
                      <w:color w:val="0000FF"/>
                      <w:sz w:val="21"/>
                      <w:szCs w:val="21"/>
                      <w:vertAlign w:val="baseline"/>
                      <w:lang w:val="en-US" w:eastAsia="zh-CN"/>
                    </w:rPr>
                  </w:pPr>
                  <w:r>
                    <w:rPr>
                      <w:rFonts w:hint="eastAsia"/>
                      <w:color w:val="0000FF"/>
                      <w:sz w:val="21"/>
                      <w:szCs w:val="21"/>
                      <w:vertAlign w:val="baseline"/>
                      <w:lang w:val="en-US" w:eastAsia="zh-CN"/>
                    </w:rPr>
                    <w:t>锅炉水容积</w:t>
                  </w:r>
                </w:p>
              </w:tc>
              <w:tc>
                <w:tcPr>
                  <w:tcW w:w="2062"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m</w:t>
                  </w:r>
                  <w:r>
                    <w:rPr>
                      <w:rFonts w:hint="eastAsia"/>
                      <w:color w:val="0000FF"/>
                      <w:sz w:val="21"/>
                      <w:szCs w:val="21"/>
                      <w:vertAlign w:val="superscript"/>
                      <w:lang w:val="en-US" w:eastAsia="zh-CN"/>
                    </w:rPr>
                    <w:t>3</w:t>
                  </w:r>
                </w:p>
              </w:tc>
              <w:tc>
                <w:tcPr>
                  <w:tcW w:w="3281"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14.7（满水)   11.5（正常）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594"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eastAsia"/>
                      <w:color w:val="0000FF"/>
                      <w:sz w:val="21"/>
                      <w:szCs w:val="21"/>
                      <w:vertAlign w:val="baseline"/>
                      <w:lang w:val="en-US" w:eastAsia="zh-CN"/>
                    </w:rPr>
                  </w:pPr>
                  <w:r>
                    <w:rPr>
                      <w:rFonts w:hint="eastAsia"/>
                      <w:color w:val="0000FF"/>
                      <w:sz w:val="21"/>
                      <w:szCs w:val="21"/>
                      <w:vertAlign w:val="baseline"/>
                      <w:lang w:val="en-US" w:eastAsia="zh-CN"/>
                    </w:rPr>
                    <w:t>锅炉本体烟气阻力</w:t>
                  </w:r>
                </w:p>
              </w:tc>
              <w:tc>
                <w:tcPr>
                  <w:tcW w:w="2062"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olor w:val="0000FF"/>
                      <w:sz w:val="21"/>
                      <w:szCs w:val="21"/>
                      <w:lang w:val="en-US" w:eastAsia="zh-CN"/>
                    </w:rPr>
                  </w:pPr>
                  <w:r>
                    <w:rPr>
                      <w:rFonts w:hint="eastAsia"/>
                      <w:color w:val="0000FF"/>
                      <w:sz w:val="21"/>
                      <w:szCs w:val="21"/>
                      <w:lang w:val="en-US" w:eastAsia="zh-CN"/>
                    </w:rPr>
                    <w:t>Pa</w:t>
                  </w:r>
                </w:p>
              </w:tc>
              <w:tc>
                <w:tcPr>
                  <w:tcW w:w="3281"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1200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594"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eastAsia"/>
                      <w:color w:val="0000FF"/>
                      <w:sz w:val="21"/>
                      <w:szCs w:val="21"/>
                      <w:vertAlign w:val="baseline"/>
                      <w:lang w:val="en-US" w:eastAsia="zh-CN"/>
                    </w:rPr>
                  </w:pPr>
                  <w:r>
                    <w:rPr>
                      <w:rFonts w:hint="eastAsia"/>
                      <w:color w:val="0000FF"/>
                      <w:sz w:val="21"/>
                      <w:szCs w:val="21"/>
                      <w:vertAlign w:val="baseline"/>
                      <w:lang w:val="en-US" w:eastAsia="zh-CN"/>
                    </w:rPr>
                    <w:t>锅炉本体空气阻力</w:t>
                  </w:r>
                </w:p>
              </w:tc>
              <w:tc>
                <w:tcPr>
                  <w:tcW w:w="2062"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Pa</w:t>
                  </w:r>
                </w:p>
              </w:tc>
              <w:tc>
                <w:tcPr>
                  <w:tcW w:w="3281" w:type="dxa"/>
                  <w:tcBorders>
                    <w:tl2br w:val="nil"/>
                    <w:tr2bl w:val="nil"/>
                  </w:tcBorders>
                  <w:vAlign w:val="top"/>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color w:val="0000FF"/>
                      <w:sz w:val="21"/>
                      <w:szCs w:val="21"/>
                      <w:vertAlign w:val="baseline"/>
                      <w:lang w:val="en-US" w:eastAsia="zh-CN"/>
                    </w:rPr>
                  </w:pPr>
                  <w:r>
                    <w:rPr>
                      <w:rFonts w:hint="eastAsia"/>
                      <w:color w:val="0000FF"/>
                      <w:sz w:val="21"/>
                      <w:szCs w:val="21"/>
                      <w:vertAlign w:val="baseline"/>
                      <w:lang w:val="en-US" w:eastAsia="zh-CN"/>
                    </w:rPr>
                    <w:t>550</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left"/>
              <w:textAlignment w:val="auto"/>
              <w:rPr>
                <w:rFonts w:hint="default"/>
                <w:lang w:val="en-US" w:eastAsia="zh-CN"/>
              </w:rPr>
            </w:pPr>
            <w:r>
              <w:rPr>
                <w:rFonts w:hint="default"/>
                <w:lang w:val="en-US" w:eastAsia="zh-CN"/>
              </w:rPr>
              <w:t>2.5主要原辅材料及燃料</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eastAsia="黑体" w:cs="Times New Roman"/>
                <w:b/>
                <w:bCs/>
                <w:lang w:val="en-US" w:eastAsia="zh-CN"/>
              </w:rPr>
            </w:pPr>
            <w:r>
              <w:rPr>
                <w:rFonts w:hint="default" w:ascii="Times New Roman" w:hAnsi="Times New Roman" w:eastAsia="黑体" w:cs="Times New Roman"/>
                <w:b/>
                <w:bCs/>
                <w:lang w:val="en-US" w:eastAsia="zh-CN"/>
              </w:rPr>
              <w:t>表</w:t>
            </w:r>
            <w:r>
              <w:rPr>
                <w:rFonts w:hint="eastAsia" w:eastAsia="黑体" w:cs="Times New Roman"/>
                <w:b/>
                <w:bCs/>
                <w:lang w:val="en-US" w:eastAsia="zh-CN"/>
              </w:rPr>
              <w:t>20</w:t>
            </w:r>
            <w:r>
              <w:rPr>
                <w:rFonts w:hint="default" w:ascii="Times New Roman" w:hAnsi="Times New Roman" w:eastAsia="黑体" w:cs="Times New Roman"/>
                <w:b/>
                <w:bCs/>
                <w:lang w:val="en-US" w:eastAsia="zh-CN"/>
              </w:rPr>
              <w:t xml:space="preserve"> </w:t>
            </w:r>
            <w:r>
              <w:rPr>
                <w:rFonts w:hint="default" w:ascii="Times New Roman" w:hAnsi="Times New Roman" w:eastAsia="黑体" w:cs="Times New Roman"/>
                <w:b/>
                <w:bCs/>
              </w:rPr>
              <w:t>主要原辅材料及燃料</w:t>
            </w:r>
          </w:p>
          <w:tbl>
            <w:tblPr>
              <w:tblStyle w:val="20"/>
              <w:tblW w:w="793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Layout w:type="fixed"/>
              <w:tblCellMar>
                <w:top w:w="0" w:type="dxa"/>
                <w:left w:w="108" w:type="dxa"/>
                <w:bottom w:w="0" w:type="dxa"/>
                <w:right w:w="108" w:type="dxa"/>
              </w:tblCellMar>
            </w:tblPr>
            <w:tblGrid>
              <w:gridCol w:w="2018"/>
              <w:gridCol w:w="1693"/>
              <w:gridCol w:w="1595"/>
              <w:gridCol w:w="26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97" w:hRule="atLeast"/>
                <w:jc w:val="center"/>
              </w:trPr>
              <w:tc>
                <w:tcPr>
                  <w:tcW w:w="20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default"/>
                    </w:rPr>
                  </w:pPr>
                  <w:r>
                    <w:rPr>
                      <w:rFonts w:hint="default"/>
                    </w:rPr>
                    <w:t>名称</w:t>
                  </w:r>
                </w:p>
              </w:tc>
              <w:tc>
                <w:tcPr>
                  <w:tcW w:w="16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default"/>
                    </w:rPr>
                  </w:pPr>
                  <w:r>
                    <w:rPr>
                      <w:rFonts w:hint="default"/>
                    </w:rPr>
                    <w:t>单位</w:t>
                  </w:r>
                </w:p>
              </w:tc>
              <w:tc>
                <w:tcPr>
                  <w:tcW w:w="15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default"/>
                    </w:rPr>
                  </w:pPr>
                  <w:r>
                    <w:rPr>
                      <w:rFonts w:hint="default"/>
                    </w:rPr>
                    <w:t>年用量</w:t>
                  </w:r>
                </w:p>
              </w:tc>
              <w:tc>
                <w:tcPr>
                  <w:tcW w:w="2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default"/>
                    </w:rPr>
                  </w:pPr>
                  <w:r>
                    <w:rPr>
                      <w:rFonts w:hint="default"/>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97" w:hRule="atLeast"/>
                <w:jc w:val="center"/>
              </w:trPr>
              <w:tc>
                <w:tcPr>
                  <w:tcW w:w="20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lang w:eastAsia="zh-CN"/>
                    </w:rPr>
                  </w:pPr>
                  <w:r>
                    <w:rPr>
                      <w:rFonts w:hint="default"/>
                      <w:lang w:val="en-US" w:eastAsia="zh-CN"/>
                    </w:rPr>
                    <w:t>天然气</w:t>
                  </w:r>
                </w:p>
              </w:tc>
              <w:tc>
                <w:tcPr>
                  <w:tcW w:w="16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lang w:val="en-US" w:eastAsia="zh-CN"/>
                    </w:rPr>
                  </w:pPr>
                  <w:r>
                    <w:rPr>
                      <w:rFonts w:hint="default"/>
                      <w:lang w:val="en-US" w:eastAsia="zh-CN"/>
                    </w:rPr>
                    <w:t>万</w:t>
                  </w:r>
                  <w:r>
                    <w:rPr>
                      <w:rFonts w:hint="default"/>
                    </w:rPr>
                    <w:t>m</w:t>
                  </w:r>
                  <w:r>
                    <w:rPr>
                      <w:rFonts w:hint="default"/>
                      <w:vertAlign w:val="superscript"/>
                    </w:rPr>
                    <w:t>3</w:t>
                  </w:r>
                  <w:r>
                    <w:rPr>
                      <w:rFonts w:hint="default"/>
                    </w:rPr>
                    <w:t>/a</w:t>
                  </w:r>
                </w:p>
              </w:tc>
              <w:tc>
                <w:tcPr>
                  <w:tcW w:w="15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lang w:val="en-US"/>
                    </w:rPr>
                  </w:pPr>
                  <w:r>
                    <w:rPr>
                      <w:rFonts w:hint="default"/>
                      <w:lang w:val="en-US" w:eastAsia="zh-CN"/>
                    </w:rPr>
                    <w:t>1300</w:t>
                  </w:r>
                </w:p>
              </w:tc>
              <w:tc>
                <w:tcPr>
                  <w:tcW w:w="2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default"/>
                      <w:lang w:val="en-US" w:eastAsia="zh-CN"/>
                    </w:rPr>
                  </w:pPr>
                  <w:r>
                    <w:rPr>
                      <w:rFonts w:hint="default"/>
                      <w:lang w:val="en-US" w:eastAsia="zh-CN"/>
                    </w:rPr>
                    <w:t>中石油“沧—淄”线天然气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397" w:hRule="atLeast"/>
                <w:jc w:val="center"/>
              </w:trPr>
              <w:tc>
                <w:tcPr>
                  <w:tcW w:w="20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lang w:eastAsia="zh-CN"/>
                    </w:rPr>
                  </w:pPr>
                  <w:r>
                    <w:rPr>
                      <w:rFonts w:hint="default"/>
                      <w:lang w:eastAsia="zh-CN"/>
                    </w:rPr>
                    <w:t>水</w:t>
                  </w:r>
                </w:p>
              </w:tc>
              <w:tc>
                <w:tcPr>
                  <w:tcW w:w="16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rPr>
                  </w:pPr>
                  <w:r>
                    <w:rPr>
                      <w:rFonts w:hint="default"/>
                      <w:lang w:val="en-US" w:eastAsia="zh-CN"/>
                    </w:rPr>
                    <w:t>万t</w:t>
                  </w:r>
                  <w:r>
                    <w:rPr>
                      <w:rFonts w:hint="default"/>
                    </w:rPr>
                    <w:t>/a</w:t>
                  </w:r>
                </w:p>
              </w:tc>
              <w:tc>
                <w:tcPr>
                  <w:tcW w:w="15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lang w:val="en-US" w:eastAsia="zh-CN"/>
                    </w:rPr>
                  </w:pPr>
                  <w:r>
                    <w:rPr>
                      <w:rFonts w:hint="default"/>
                      <w:lang w:val="en-US" w:eastAsia="zh-CN"/>
                    </w:rPr>
                    <w:t>2.</w:t>
                  </w:r>
                  <w:r>
                    <w:rPr>
                      <w:rFonts w:hint="eastAsia"/>
                      <w:lang w:val="en-US" w:eastAsia="zh-CN"/>
                    </w:rPr>
                    <w:t>79147</w:t>
                  </w:r>
                </w:p>
              </w:tc>
              <w:tc>
                <w:tcPr>
                  <w:tcW w:w="2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default"/>
                      <w:lang w:val="zh-CN"/>
                    </w:rPr>
                  </w:pPr>
                  <w:r>
                    <w:rPr>
                      <w:rFonts w:hint="default"/>
                      <w:lang w:val="zh-CN"/>
                    </w:rPr>
                    <w:t>由市政自来水管网供给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4" w:space="0"/>
                </w:tblBorders>
                <w:tblCellMar>
                  <w:top w:w="0" w:type="dxa"/>
                  <w:left w:w="108" w:type="dxa"/>
                  <w:bottom w:w="0" w:type="dxa"/>
                  <w:right w:w="108" w:type="dxa"/>
                </w:tblCellMar>
              </w:tblPrEx>
              <w:trPr>
                <w:trHeight w:val="420" w:hRule="atLeast"/>
                <w:jc w:val="center"/>
              </w:trPr>
              <w:tc>
                <w:tcPr>
                  <w:tcW w:w="20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rPr>
                  </w:pPr>
                  <w:r>
                    <w:rPr>
                      <w:rFonts w:hint="default"/>
                    </w:rPr>
                    <w:t>电</w:t>
                  </w:r>
                </w:p>
              </w:tc>
              <w:tc>
                <w:tcPr>
                  <w:tcW w:w="16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lang w:val="en-US" w:eastAsia="zh-CN"/>
                    </w:rPr>
                  </w:pPr>
                  <w:r>
                    <w:rPr>
                      <w:rFonts w:hint="default"/>
                    </w:rPr>
                    <w:t>kwh/a</w:t>
                  </w:r>
                </w:p>
              </w:tc>
              <w:tc>
                <w:tcPr>
                  <w:tcW w:w="15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lang w:val="en-US" w:eastAsia="zh-CN"/>
                    </w:rPr>
                  </w:pPr>
                  <w:r>
                    <w:rPr>
                      <w:rFonts w:hint="eastAsia"/>
                      <w:lang w:val="en-US" w:eastAsia="zh-CN"/>
                    </w:rPr>
                    <w:t>710352</w:t>
                  </w:r>
                </w:p>
              </w:tc>
              <w:tc>
                <w:tcPr>
                  <w:tcW w:w="26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default"/>
                    </w:rPr>
                  </w:pPr>
                  <w:r>
                    <w:rPr>
                      <w:rFonts w:hint="default"/>
                    </w:rPr>
                    <w:t>由市政电网供给</w:t>
                  </w:r>
                </w:p>
              </w:tc>
            </w:tr>
          </w:tbl>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eastAsia="宋体"/>
                <w:color w:val="0000FF"/>
                <w:sz w:val="21"/>
                <w:szCs w:val="21"/>
                <w:lang w:eastAsia="zh-CN"/>
              </w:rPr>
            </w:pPr>
            <w:r>
              <w:rPr>
                <w:rFonts w:hint="eastAsia"/>
                <w:color w:val="0000FF"/>
                <w:sz w:val="21"/>
                <w:szCs w:val="21"/>
                <w:lang w:eastAsia="zh-CN"/>
              </w:rPr>
              <w:t>注：天然气用量为满负荷运行工况下的最大使用量</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sz w:val="24"/>
                <w:szCs w:val="24"/>
              </w:rPr>
            </w:pPr>
            <w:r>
              <w:rPr>
                <w:rFonts w:hint="eastAsia"/>
                <w:sz w:val="24"/>
                <w:szCs w:val="24"/>
              </w:rPr>
              <w:t>2.6 工作制度和劳动定员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sz w:val="24"/>
                <w:szCs w:val="24"/>
                <w:lang w:val="en-US" w:eastAsia="zh-CN"/>
              </w:rPr>
            </w:pPr>
            <w:r>
              <w:rPr>
                <w:rFonts w:hint="eastAsia"/>
                <w:sz w:val="24"/>
                <w:szCs w:val="24"/>
              </w:rPr>
              <w:t>该项目劳动定员为</w:t>
            </w:r>
            <w:r>
              <w:rPr>
                <w:rFonts w:hint="eastAsia"/>
                <w:sz w:val="24"/>
                <w:szCs w:val="24"/>
                <w:lang w:val="en-US" w:eastAsia="zh-CN"/>
              </w:rPr>
              <w:t>4</w:t>
            </w:r>
            <w:r>
              <w:rPr>
                <w:rFonts w:hint="eastAsia"/>
                <w:sz w:val="24"/>
                <w:szCs w:val="24"/>
              </w:rPr>
              <w:t>人，</w:t>
            </w:r>
            <w:r>
              <w:rPr>
                <w:rFonts w:hint="eastAsia"/>
                <w:sz w:val="24"/>
                <w:szCs w:val="24"/>
                <w:lang w:eastAsia="zh-CN"/>
              </w:rPr>
              <w:t>其中管理人员</w:t>
            </w:r>
            <w:r>
              <w:rPr>
                <w:rFonts w:hint="eastAsia"/>
                <w:sz w:val="24"/>
                <w:szCs w:val="24"/>
                <w:lang w:val="en-US" w:eastAsia="zh-CN"/>
              </w:rPr>
              <w:t>1人，</w:t>
            </w:r>
            <w:r>
              <w:rPr>
                <w:rFonts w:hint="eastAsia"/>
                <w:sz w:val="24"/>
                <w:szCs w:val="24"/>
              </w:rPr>
              <w:t>劳动人员均为</w:t>
            </w:r>
            <w:r>
              <w:rPr>
                <w:rFonts w:hint="eastAsia"/>
                <w:sz w:val="24"/>
                <w:szCs w:val="24"/>
                <w:lang w:val="en-US" w:eastAsia="zh-CN"/>
              </w:rPr>
              <w:t>三班倒</w:t>
            </w:r>
            <w:r>
              <w:rPr>
                <w:rFonts w:hint="eastAsia"/>
                <w:sz w:val="24"/>
                <w:szCs w:val="24"/>
              </w:rPr>
              <w:t>工作制，每班</w:t>
            </w:r>
            <w:r>
              <w:rPr>
                <w:rFonts w:hint="eastAsia"/>
                <w:sz w:val="24"/>
                <w:szCs w:val="24"/>
                <w:lang w:val="en-US" w:eastAsia="zh-CN"/>
              </w:rPr>
              <w:t xml:space="preserve"> 8</w:t>
            </w:r>
            <w:r>
              <w:rPr>
                <w:rFonts w:hint="eastAsia"/>
                <w:sz w:val="24"/>
                <w:szCs w:val="24"/>
              </w:rPr>
              <w:t>小时，全年工作天数为</w:t>
            </w:r>
            <w:r>
              <w:rPr>
                <w:rFonts w:hint="eastAsia"/>
                <w:color w:val="0000FF"/>
                <w:sz w:val="24"/>
                <w:szCs w:val="24"/>
                <w:lang w:val="en-US" w:eastAsia="zh-CN"/>
              </w:rPr>
              <w:t>300</w:t>
            </w:r>
            <w:r>
              <w:rPr>
                <w:rFonts w:hint="eastAsia"/>
                <w:color w:val="0000FF"/>
                <w:sz w:val="24"/>
                <w:szCs w:val="24"/>
              </w:rPr>
              <w:t>天</w:t>
            </w:r>
            <w:r>
              <w:rPr>
                <w:rFonts w:hint="eastAsia"/>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sz w:val="24"/>
                <w:szCs w:val="24"/>
              </w:rPr>
            </w:pPr>
            <w:r>
              <w:rPr>
                <w:rFonts w:hint="eastAsia"/>
                <w:sz w:val="24"/>
                <w:szCs w:val="24"/>
              </w:rPr>
              <w:t>2.7 水平衡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sz w:val="24"/>
                <w:szCs w:val="24"/>
              </w:rPr>
            </w:pPr>
            <w:r>
              <w:rPr>
                <w:rFonts w:hint="eastAsia"/>
                <w:sz w:val="24"/>
                <w:szCs w:val="24"/>
              </w:rPr>
              <w:t>（1）给水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textAlignment w:val="auto"/>
              <w:rPr>
                <w:rFonts w:hint="default"/>
                <w:sz w:val="24"/>
                <w:szCs w:val="24"/>
                <w:lang w:val="en-US" w:eastAsia="zh-CN"/>
              </w:rPr>
            </w:pPr>
            <w:r>
              <w:rPr>
                <w:rFonts w:hint="default"/>
                <w:sz w:val="24"/>
                <w:szCs w:val="24"/>
                <w:lang w:eastAsia="zh-CN"/>
              </w:rPr>
              <w:t>本项目用水为</w:t>
            </w:r>
            <w:r>
              <w:rPr>
                <w:rFonts w:hint="default"/>
                <w:sz w:val="24"/>
                <w:szCs w:val="24"/>
                <w:lang w:val="en-US" w:eastAsia="zh-CN"/>
              </w:rPr>
              <w:t>主要为软化水设备用水、新增职工生活用水，</w:t>
            </w:r>
            <w:r>
              <w:rPr>
                <w:rFonts w:hint="default"/>
                <w:sz w:val="24"/>
                <w:szCs w:val="24"/>
                <w:lang w:eastAsia="zh-CN"/>
              </w:rPr>
              <w:t>总用水量为</w:t>
            </w:r>
            <w:r>
              <w:rPr>
                <w:rFonts w:hint="eastAsia"/>
                <w:color w:val="0000FF"/>
                <w:sz w:val="24"/>
                <w:szCs w:val="24"/>
                <w:lang w:val="en-US" w:eastAsia="zh-CN"/>
              </w:rPr>
              <w:t>36353.6</w:t>
            </w:r>
            <w:r>
              <w:rPr>
                <w:rFonts w:hint="default"/>
                <w:color w:val="0000FF"/>
                <w:sz w:val="24"/>
                <w:szCs w:val="24"/>
                <w:lang w:val="en-US" w:eastAsia="zh-CN"/>
              </w:rPr>
              <w:t>t/a</w:t>
            </w:r>
            <w:r>
              <w:rPr>
                <w:rFonts w:hint="default"/>
                <w:sz w:val="24"/>
                <w:szCs w:val="24"/>
              </w:rPr>
              <w:t>。</w:t>
            </w:r>
            <w:r>
              <w:rPr>
                <w:rFonts w:hint="default"/>
                <w:sz w:val="24"/>
                <w:szCs w:val="24"/>
                <w:lang w:val="en-US" w:eastAsia="zh-CN"/>
              </w:rPr>
              <w:t>锅炉用水：锅炉运行期间存在蒸发及管道损耗、定期排水，海奥斯厂区蒸汽用量</w:t>
            </w:r>
            <w:r>
              <w:rPr>
                <w:rFonts w:hint="eastAsia"/>
                <w:color w:val="0000FF"/>
                <w:sz w:val="24"/>
                <w:szCs w:val="24"/>
                <w:lang w:val="en-US" w:eastAsia="zh-CN"/>
              </w:rPr>
              <w:t>86400</w:t>
            </w:r>
            <w:r>
              <w:rPr>
                <w:rFonts w:hint="default"/>
                <w:sz w:val="24"/>
                <w:szCs w:val="24"/>
                <w:lang w:val="en-US" w:eastAsia="zh-CN"/>
              </w:rPr>
              <w:t>t/a,蒸汽冷凝水回用，</w:t>
            </w:r>
            <w:r>
              <w:rPr>
                <w:rFonts w:hint="eastAsia"/>
                <w:color w:val="0000FF"/>
                <w:sz w:val="24"/>
                <w:szCs w:val="24"/>
                <w:lang w:val="en-US" w:eastAsia="zh-CN"/>
              </w:rPr>
              <w:t>根据实际生产情况损耗量约为25900</w:t>
            </w:r>
            <w:r>
              <w:rPr>
                <w:rFonts w:hint="default"/>
                <w:color w:val="0000FF"/>
                <w:sz w:val="24"/>
                <w:szCs w:val="24"/>
                <w:lang w:val="en-US" w:eastAsia="zh-CN"/>
              </w:rPr>
              <w:t>t/a</w:t>
            </w:r>
            <w:r>
              <w:rPr>
                <w:rFonts w:hint="eastAsia"/>
                <w:sz w:val="24"/>
                <w:szCs w:val="24"/>
                <w:lang w:val="en-US" w:eastAsia="zh-CN"/>
              </w:rPr>
              <w:t>；锅炉</w:t>
            </w:r>
            <w:r>
              <w:rPr>
                <w:rFonts w:hint="default"/>
                <w:sz w:val="24"/>
                <w:szCs w:val="24"/>
                <w:lang w:val="en-US" w:eastAsia="zh-CN"/>
              </w:rPr>
              <w:t>定期排水量按1.5%计算为</w:t>
            </w:r>
            <w:r>
              <w:rPr>
                <w:rFonts w:hint="default"/>
                <w:color w:val="0000FF"/>
                <w:sz w:val="24"/>
                <w:szCs w:val="24"/>
                <w:lang w:val="en-US" w:eastAsia="zh-CN"/>
              </w:rPr>
              <w:t>13</w:t>
            </w:r>
            <w:r>
              <w:rPr>
                <w:rFonts w:hint="eastAsia"/>
                <w:color w:val="0000FF"/>
                <w:sz w:val="24"/>
                <w:szCs w:val="24"/>
                <w:lang w:val="en-US" w:eastAsia="zh-CN"/>
              </w:rPr>
              <w:t>1</w:t>
            </w:r>
            <w:r>
              <w:rPr>
                <w:rFonts w:hint="default"/>
                <w:color w:val="0000FF"/>
                <w:sz w:val="24"/>
                <w:szCs w:val="24"/>
                <w:lang w:val="en-US" w:eastAsia="zh-CN"/>
              </w:rPr>
              <w:t>5.</w:t>
            </w:r>
            <w:r>
              <w:rPr>
                <w:rFonts w:hint="eastAsia"/>
                <w:color w:val="0000FF"/>
                <w:sz w:val="24"/>
                <w:szCs w:val="24"/>
                <w:lang w:val="en-US" w:eastAsia="zh-CN"/>
              </w:rPr>
              <w:t>7t</w:t>
            </w:r>
            <w:r>
              <w:rPr>
                <w:rFonts w:hint="default"/>
                <w:color w:val="0000FF"/>
                <w:sz w:val="24"/>
                <w:szCs w:val="24"/>
                <w:lang w:val="en-US" w:eastAsia="zh-CN"/>
              </w:rPr>
              <w:t>/a</w:t>
            </w:r>
            <w:r>
              <w:rPr>
                <w:rFonts w:hint="eastAsia"/>
                <w:sz w:val="24"/>
                <w:szCs w:val="24"/>
                <w:lang w:val="en-US" w:eastAsia="zh-CN"/>
              </w:rPr>
              <w:t>，则</w:t>
            </w:r>
            <w:r>
              <w:rPr>
                <w:rFonts w:hint="default"/>
                <w:sz w:val="24"/>
                <w:szCs w:val="24"/>
                <w:lang w:val="en-US" w:eastAsia="zh-CN"/>
              </w:rPr>
              <w:t>锅炉总</w:t>
            </w:r>
            <w:r>
              <w:rPr>
                <w:rFonts w:hint="eastAsia"/>
                <w:sz w:val="24"/>
                <w:szCs w:val="24"/>
                <w:lang w:val="en-US" w:eastAsia="zh-CN"/>
              </w:rPr>
              <w:t>补</w:t>
            </w:r>
            <w:r>
              <w:rPr>
                <w:rFonts w:hint="default"/>
                <w:sz w:val="24"/>
                <w:szCs w:val="24"/>
                <w:lang w:val="en-US" w:eastAsia="zh-CN"/>
              </w:rPr>
              <w:t>水量为</w:t>
            </w:r>
            <w:r>
              <w:rPr>
                <w:rFonts w:hint="eastAsia"/>
                <w:color w:val="0000FF"/>
                <w:sz w:val="24"/>
                <w:szCs w:val="24"/>
                <w:lang w:val="en-US" w:eastAsia="zh-CN"/>
              </w:rPr>
              <w:t>27215.7t</w:t>
            </w:r>
            <w:r>
              <w:rPr>
                <w:rFonts w:hint="default"/>
                <w:color w:val="0000FF"/>
                <w:sz w:val="24"/>
                <w:szCs w:val="24"/>
                <w:lang w:val="en-US" w:eastAsia="zh-CN"/>
              </w:rPr>
              <w:t>/a</w:t>
            </w:r>
            <w:r>
              <w:rPr>
                <w:rFonts w:hint="default"/>
                <w:sz w:val="24"/>
                <w:szCs w:val="24"/>
                <w:lang w:val="en-US" w:eastAsia="zh-CN"/>
              </w:rPr>
              <w:t>。锅炉用水是由预处理设备制取的软化水，软化水设备出水率约75%，软化水制备工序总需新鲜水</w:t>
            </w:r>
            <w:r>
              <w:rPr>
                <w:rFonts w:hint="eastAsia"/>
                <w:color w:val="0000FF"/>
                <w:sz w:val="24"/>
                <w:szCs w:val="24"/>
                <w:lang w:val="en-US" w:eastAsia="zh-CN"/>
              </w:rPr>
              <w:t>36287.6t</w:t>
            </w:r>
            <w:r>
              <w:rPr>
                <w:rFonts w:hint="default"/>
                <w:color w:val="0000FF"/>
                <w:sz w:val="24"/>
                <w:szCs w:val="24"/>
                <w:lang w:val="en-US" w:eastAsia="zh-CN"/>
              </w:rPr>
              <w:t>/a</w:t>
            </w:r>
            <w:r>
              <w:rPr>
                <w:rFonts w:hint="default"/>
                <w:sz w:val="24"/>
                <w:szCs w:val="24"/>
                <w:lang w:val="en-US" w:eastAsia="zh-CN"/>
              </w:rPr>
              <w:t>。</w:t>
            </w:r>
            <w:r>
              <w:rPr>
                <w:rFonts w:hint="eastAsia"/>
                <w:sz w:val="24"/>
                <w:szCs w:val="24"/>
                <w:lang w:val="en-US" w:eastAsia="zh-CN"/>
              </w:rPr>
              <w:t>本项目</w:t>
            </w:r>
            <w:r>
              <w:rPr>
                <w:rFonts w:hint="default"/>
                <w:sz w:val="24"/>
                <w:szCs w:val="24"/>
                <w:lang w:val="en-US" w:eastAsia="zh-CN"/>
              </w:rPr>
              <w:t>劳动定员</w:t>
            </w:r>
            <w:r>
              <w:rPr>
                <w:rFonts w:hint="eastAsia"/>
                <w:sz w:val="24"/>
                <w:szCs w:val="24"/>
                <w:lang w:val="en-US" w:eastAsia="zh-CN"/>
              </w:rPr>
              <w:t>4</w:t>
            </w:r>
            <w:r>
              <w:rPr>
                <w:rFonts w:hint="default"/>
                <w:sz w:val="24"/>
                <w:szCs w:val="24"/>
                <w:lang w:val="en-US" w:eastAsia="zh-CN"/>
              </w:rPr>
              <w:t>人，均不住宿，年工作时间</w:t>
            </w:r>
            <w:r>
              <w:rPr>
                <w:rFonts w:hint="eastAsia"/>
                <w:color w:val="0000FF"/>
                <w:sz w:val="24"/>
                <w:szCs w:val="24"/>
                <w:lang w:val="en-US" w:eastAsia="zh-CN"/>
              </w:rPr>
              <w:t>300</w:t>
            </w:r>
            <w:r>
              <w:rPr>
                <w:rFonts w:hint="default"/>
                <w:sz w:val="24"/>
                <w:szCs w:val="24"/>
                <w:lang w:val="en-US" w:eastAsia="zh-CN"/>
              </w:rPr>
              <w:t>天，根据《建筑给水排水设计标准》（GB50015-2019），工业企业建筑、管理人员的生活用水定额为30～50L/人，用水量按</w:t>
            </w:r>
            <w:r>
              <w:rPr>
                <w:rFonts w:hint="eastAsia"/>
                <w:sz w:val="24"/>
                <w:szCs w:val="24"/>
                <w:lang w:val="en-US" w:eastAsia="zh-CN"/>
              </w:rPr>
              <w:t>5</w:t>
            </w:r>
            <w:r>
              <w:rPr>
                <w:rFonts w:hint="default"/>
                <w:sz w:val="24"/>
                <w:szCs w:val="24"/>
                <w:lang w:val="en-US" w:eastAsia="zh-CN"/>
              </w:rPr>
              <w:t>0L/d·人计，则生活用水总量为</w:t>
            </w:r>
            <w:r>
              <w:rPr>
                <w:rFonts w:hint="eastAsia"/>
                <w:color w:val="0000FF"/>
                <w:sz w:val="24"/>
                <w:szCs w:val="24"/>
                <w:lang w:val="en-US" w:eastAsia="zh-CN"/>
              </w:rPr>
              <w:t>60</w:t>
            </w:r>
            <w:r>
              <w:rPr>
                <w:rFonts w:hint="eastAsia"/>
                <w:sz w:val="24"/>
                <w:szCs w:val="24"/>
                <w:lang w:val="en-US" w:eastAsia="zh-CN"/>
              </w:rPr>
              <w:t>t/a</w:t>
            </w:r>
            <w:r>
              <w:rPr>
                <w:rFonts w:hint="default"/>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baseline"/>
              <w:rPr>
                <w:rFonts w:hint="default"/>
                <w:sz w:val="24"/>
                <w:szCs w:val="24"/>
                <w:lang w:val="en-US" w:eastAsia="zh-CN"/>
              </w:rPr>
            </w:pPr>
            <w:r>
              <w:rPr>
                <w:rFonts w:hint="default"/>
                <w:sz w:val="24"/>
                <w:szCs w:val="24"/>
                <w:lang w:val="en-US" w:eastAsia="zh-CN"/>
              </w:rPr>
              <w:t>综上，本项目</w:t>
            </w:r>
            <w:r>
              <w:rPr>
                <w:rFonts w:hint="eastAsia"/>
                <w:sz w:val="24"/>
                <w:szCs w:val="24"/>
                <w:lang w:val="en-US" w:eastAsia="zh-CN"/>
              </w:rPr>
              <w:t>新鲜水</w:t>
            </w:r>
            <w:r>
              <w:rPr>
                <w:rFonts w:hint="default"/>
                <w:sz w:val="24"/>
                <w:szCs w:val="24"/>
                <w:lang w:val="en-US" w:eastAsia="zh-CN"/>
              </w:rPr>
              <w:t>用量为</w:t>
            </w:r>
            <w:r>
              <w:rPr>
                <w:rFonts w:hint="eastAsia"/>
                <w:color w:val="0000FF"/>
                <w:sz w:val="24"/>
                <w:szCs w:val="24"/>
                <w:lang w:val="en-US" w:eastAsia="zh-CN"/>
              </w:rPr>
              <w:t>36347.6</w:t>
            </w:r>
            <w:r>
              <w:rPr>
                <w:rFonts w:hint="default"/>
                <w:color w:val="0000FF"/>
                <w:sz w:val="24"/>
                <w:szCs w:val="24"/>
                <w:lang w:val="en-US" w:eastAsia="zh-CN"/>
              </w:rPr>
              <w:t>t/a</w:t>
            </w:r>
            <w:r>
              <w:rPr>
                <w:rFonts w:hint="default"/>
                <w:sz w:val="24"/>
                <w:szCs w:val="24"/>
                <w:lang w:val="en-US" w:eastAsia="zh-CN"/>
              </w:rPr>
              <w:t>，</w:t>
            </w:r>
            <w:r>
              <w:rPr>
                <w:rFonts w:hint="default"/>
                <w:sz w:val="24"/>
                <w:szCs w:val="24"/>
              </w:rPr>
              <w:t>由</w:t>
            </w:r>
            <w:r>
              <w:rPr>
                <w:rFonts w:hint="default"/>
                <w:sz w:val="24"/>
                <w:szCs w:val="24"/>
                <w:lang w:val="en-US" w:eastAsia="zh-CN"/>
              </w:rPr>
              <w:t>城镇</w:t>
            </w:r>
            <w:r>
              <w:rPr>
                <w:rFonts w:hint="default"/>
                <w:sz w:val="24"/>
                <w:szCs w:val="24"/>
              </w:rPr>
              <w:t>供水管网提供</w:t>
            </w:r>
            <w:r>
              <w:rPr>
                <w:rFonts w:hint="default"/>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sz w:val="24"/>
                <w:szCs w:val="24"/>
                <w:lang w:val="en-US" w:eastAsia="zh-CN"/>
              </w:rPr>
            </w:pPr>
            <w:r>
              <w:rPr>
                <w:rFonts w:hint="default"/>
                <w:sz w:val="24"/>
                <w:szCs w:val="24"/>
                <w:lang w:val="en-US" w:eastAsia="zh-CN"/>
              </w:rPr>
              <w:t>（2）排水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sz w:val="24"/>
                <w:szCs w:val="24"/>
                <w:lang w:val="en-US" w:eastAsia="zh-CN"/>
              </w:rPr>
            </w:pPr>
            <w:r>
              <w:rPr>
                <w:rFonts w:hint="default"/>
                <w:sz w:val="24"/>
                <w:szCs w:val="24"/>
                <w:lang w:val="zh-CN" w:eastAsia="zh-CN"/>
              </w:rPr>
              <w:t>本项目废水主要为</w:t>
            </w:r>
            <w:r>
              <w:rPr>
                <w:rFonts w:hint="default"/>
                <w:sz w:val="24"/>
                <w:szCs w:val="24"/>
                <w:lang w:val="en-US" w:eastAsia="zh-CN"/>
              </w:rPr>
              <w:t>软化水制备废水、锅炉定期排水以及职工生活废水，其中软化水制备废水为</w:t>
            </w:r>
            <w:r>
              <w:rPr>
                <w:rFonts w:hint="eastAsia"/>
                <w:color w:val="0000FF"/>
                <w:sz w:val="24"/>
                <w:szCs w:val="24"/>
                <w:lang w:val="en-US" w:eastAsia="zh-CN"/>
              </w:rPr>
              <w:t>9071.9</w:t>
            </w:r>
            <w:r>
              <w:rPr>
                <w:rFonts w:hint="default"/>
                <w:color w:val="0000FF"/>
                <w:sz w:val="24"/>
                <w:szCs w:val="24"/>
                <w:lang w:val="en-US" w:eastAsia="zh-CN"/>
              </w:rPr>
              <w:t>m</w:t>
            </w:r>
            <w:r>
              <w:rPr>
                <w:rFonts w:hint="default"/>
                <w:color w:val="0000FF"/>
                <w:sz w:val="24"/>
                <w:szCs w:val="24"/>
                <w:vertAlign w:val="superscript"/>
                <w:lang w:val="en-US" w:eastAsia="zh-CN"/>
              </w:rPr>
              <w:t>3</w:t>
            </w:r>
            <w:r>
              <w:rPr>
                <w:rFonts w:hint="default"/>
                <w:color w:val="0000FF"/>
                <w:sz w:val="24"/>
                <w:szCs w:val="24"/>
                <w:lang w:val="en-US" w:eastAsia="zh-CN"/>
              </w:rPr>
              <w:t>/a</w:t>
            </w:r>
            <w:r>
              <w:rPr>
                <w:rFonts w:hint="default"/>
                <w:sz w:val="24"/>
                <w:szCs w:val="24"/>
                <w:lang w:val="en-US" w:eastAsia="zh-CN"/>
              </w:rPr>
              <w:t>，锅炉定期排水量为</w:t>
            </w:r>
            <w:r>
              <w:rPr>
                <w:rFonts w:hint="default"/>
                <w:color w:val="0000FF"/>
                <w:sz w:val="24"/>
                <w:szCs w:val="24"/>
                <w:lang w:val="en-US" w:eastAsia="zh-CN"/>
              </w:rPr>
              <w:t>13</w:t>
            </w:r>
            <w:r>
              <w:rPr>
                <w:rFonts w:hint="eastAsia"/>
                <w:color w:val="0000FF"/>
                <w:sz w:val="24"/>
                <w:szCs w:val="24"/>
                <w:lang w:val="en-US" w:eastAsia="zh-CN"/>
              </w:rPr>
              <w:t>15.7</w:t>
            </w:r>
            <w:r>
              <w:rPr>
                <w:rFonts w:hint="default"/>
                <w:color w:val="0000FF"/>
                <w:sz w:val="24"/>
                <w:szCs w:val="24"/>
                <w:lang w:val="en-US" w:eastAsia="zh-CN"/>
              </w:rPr>
              <w:t>m</w:t>
            </w:r>
            <w:r>
              <w:rPr>
                <w:rFonts w:hint="default"/>
                <w:color w:val="0000FF"/>
                <w:sz w:val="24"/>
                <w:szCs w:val="24"/>
                <w:vertAlign w:val="superscript"/>
                <w:lang w:val="en-US" w:eastAsia="zh-CN"/>
              </w:rPr>
              <w:t>3</w:t>
            </w:r>
            <w:r>
              <w:rPr>
                <w:rFonts w:hint="default"/>
                <w:color w:val="0000FF"/>
                <w:sz w:val="24"/>
                <w:szCs w:val="24"/>
                <w:lang w:val="en-US" w:eastAsia="zh-CN"/>
              </w:rPr>
              <w:t>/a</w:t>
            </w:r>
            <w:r>
              <w:rPr>
                <w:rFonts w:hint="eastAsia"/>
                <w:sz w:val="24"/>
                <w:szCs w:val="24"/>
                <w:lang w:val="en-US" w:eastAsia="zh-CN"/>
              </w:rPr>
              <w:t>，</w:t>
            </w:r>
            <w:r>
              <w:rPr>
                <w:rFonts w:hint="default"/>
                <w:sz w:val="24"/>
                <w:szCs w:val="24"/>
                <w:lang w:val="en-US" w:eastAsia="zh-CN"/>
              </w:rPr>
              <w:t>职工生活</w:t>
            </w:r>
            <w:r>
              <w:rPr>
                <w:rFonts w:hint="eastAsia"/>
                <w:sz w:val="24"/>
                <w:szCs w:val="24"/>
                <w:lang w:val="en-US" w:eastAsia="zh-CN"/>
              </w:rPr>
              <w:t>污水（约为用水量80%）</w:t>
            </w:r>
            <w:r>
              <w:rPr>
                <w:rFonts w:hint="default"/>
                <w:sz w:val="24"/>
                <w:szCs w:val="24"/>
                <w:lang w:val="en-US" w:eastAsia="zh-CN"/>
              </w:rPr>
              <w:t>为</w:t>
            </w:r>
            <w:r>
              <w:rPr>
                <w:rFonts w:hint="eastAsia"/>
                <w:color w:val="0000FF"/>
                <w:sz w:val="24"/>
                <w:szCs w:val="24"/>
                <w:lang w:val="en-US" w:eastAsia="zh-CN"/>
              </w:rPr>
              <w:t>48</w:t>
            </w:r>
            <w:r>
              <w:rPr>
                <w:rFonts w:hint="default"/>
                <w:sz w:val="24"/>
                <w:szCs w:val="24"/>
                <w:lang w:val="en-US" w:eastAsia="zh-CN"/>
              </w:rPr>
              <w:t>m</w:t>
            </w:r>
            <w:r>
              <w:rPr>
                <w:rFonts w:hint="default"/>
                <w:sz w:val="24"/>
                <w:szCs w:val="24"/>
                <w:vertAlign w:val="superscript"/>
                <w:lang w:val="en-US" w:eastAsia="zh-CN"/>
              </w:rPr>
              <w:t>3</w:t>
            </w:r>
            <w:r>
              <w:rPr>
                <w:rFonts w:hint="default"/>
                <w:sz w:val="24"/>
                <w:szCs w:val="24"/>
                <w:lang w:val="en-US" w:eastAsia="zh-CN"/>
              </w:rPr>
              <w:t>/a。</w:t>
            </w:r>
          </w:p>
          <w:p>
            <w:pPr>
              <w:pStyle w:val="2"/>
              <w:keepNext w:val="0"/>
              <w:keepLines w:val="0"/>
              <w:pageBreakBefore w:val="0"/>
              <w:widowControl w:val="0"/>
              <w:kinsoku/>
              <w:wordWrap/>
              <w:overflowPunct/>
              <w:topLinePunct w:val="0"/>
              <w:autoSpaceDE/>
              <w:autoSpaceDN/>
              <w:bidi w:val="0"/>
              <w:spacing w:after="0" w:line="360" w:lineRule="auto"/>
              <w:ind w:left="0" w:leftChars="0" w:firstLine="480" w:firstLineChars="200"/>
              <w:rPr>
                <w:rFonts w:hint="default"/>
                <w:sz w:val="24"/>
                <w:szCs w:val="24"/>
                <w:lang w:val="en-US" w:eastAsia="zh-CN"/>
              </w:rPr>
            </w:pPr>
            <w:r>
              <w:rPr>
                <w:rFonts w:hint="default"/>
                <w:sz w:val="24"/>
                <w:szCs w:val="24"/>
                <w:lang w:val="en-US" w:eastAsia="zh-CN"/>
              </w:rPr>
              <w:t>综上，本项目废水总排量为</w:t>
            </w:r>
            <w:r>
              <w:rPr>
                <w:rFonts w:hint="eastAsia"/>
                <w:color w:val="0000FF"/>
                <w:sz w:val="24"/>
                <w:szCs w:val="24"/>
                <w:lang w:val="en-US" w:eastAsia="zh-CN"/>
              </w:rPr>
              <w:t>10435.6</w:t>
            </w:r>
            <w:r>
              <w:rPr>
                <w:rFonts w:hint="default"/>
                <w:color w:val="0000FF"/>
                <w:sz w:val="24"/>
                <w:szCs w:val="24"/>
                <w:lang w:val="en-US" w:eastAsia="zh-CN"/>
              </w:rPr>
              <w:t>m</w:t>
            </w:r>
            <w:r>
              <w:rPr>
                <w:rFonts w:hint="default"/>
                <w:color w:val="0000FF"/>
                <w:sz w:val="24"/>
                <w:szCs w:val="24"/>
                <w:vertAlign w:val="superscript"/>
                <w:lang w:val="en-US" w:eastAsia="zh-CN"/>
              </w:rPr>
              <w:t>3</w:t>
            </w:r>
            <w:r>
              <w:rPr>
                <w:rFonts w:hint="default"/>
                <w:color w:val="0000FF"/>
                <w:sz w:val="24"/>
                <w:szCs w:val="24"/>
                <w:lang w:val="en-US" w:eastAsia="zh-CN"/>
              </w:rPr>
              <w:t>/a</w:t>
            </w:r>
            <w:r>
              <w:rPr>
                <w:rFonts w:hint="default"/>
                <w:color w:val="C00000"/>
                <w:sz w:val="24"/>
                <w:szCs w:val="24"/>
                <w:lang w:val="en-US" w:eastAsia="zh-CN"/>
              </w:rPr>
              <w:t>，</w:t>
            </w:r>
            <w:r>
              <w:rPr>
                <w:rFonts w:hint="default"/>
                <w:sz w:val="24"/>
                <w:szCs w:val="24"/>
                <w:lang w:val="en-US" w:eastAsia="zh-CN"/>
              </w:rPr>
              <w:t>集中收集排入山东海奥斯厂区污水处理站处理后，通过市政污水管网排入</w:t>
            </w:r>
            <w:r>
              <w:rPr>
                <w:rFonts w:hint="default"/>
                <w:sz w:val="24"/>
                <w:szCs w:val="24"/>
              </w:rPr>
              <w:t>光大水务水质净化三分厂</w:t>
            </w:r>
            <w:r>
              <w:rPr>
                <w:rFonts w:hint="default"/>
                <w:sz w:val="24"/>
                <w:szCs w:val="24"/>
                <w:lang w:val="en-US" w:eastAsia="zh-CN"/>
              </w:rPr>
              <w:t>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sz w:val="24"/>
                <w:szCs w:val="24"/>
              </w:rPr>
            </w:pPr>
            <w:r>
              <w:rPr>
                <w:rFonts w:hint="eastAsia"/>
                <w:sz w:val="24"/>
                <w:szCs w:val="24"/>
                <w:lang w:val="zh-CN" w:eastAsia="zh-CN"/>
              </w:rPr>
              <w:t>项目水平衡图如下：</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baseline"/>
              <w:rPr>
                <w:rFonts w:hint="eastAsia"/>
                <w:sz w:val="24"/>
                <w:szCs w:val="24"/>
                <w:lang w:eastAsia="zh-CN"/>
              </w:rPr>
            </w:pPr>
            <w:r>
              <w:rPr>
                <w:rFonts w:hint="eastAsia"/>
                <w:sz w:val="24"/>
                <w:szCs w:val="24"/>
                <w:lang w:eastAsia="zh-CN"/>
              </w:rPr>
              <w:object>
                <v:shape id="_x0000_i1025" o:spt="75" type="#_x0000_t75" style="height:265.35pt;width:421.15pt;" o:ole="t" filled="f" o:preferrelative="t" stroked="f" coordsize="21600,21600">
                  <v:path/>
                  <v:fill on="f" focussize="0,0"/>
                  <v:stroke on="f"/>
                  <v:imagedata r:id="rId11" o:title=""/>
                  <o:lock v:ext="edit" aspectratio="f"/>
                  <w10:wrap type="none"/>
                  <w10:anchorlock/>
                </v:shape>
                <o:OLEObject Type="Embed" ProgID="Visio.Drawing.11" ShapeID="_x0000_i1025" DrawAspect="Content" ObjectID="_1468075725" r:id="rId10">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baseline"/>
            </w:pPr>
            <w:r>
              <w:rPr>
                <w:rFonts w:hint="eastAsia"/>
                <w:b/>
                <w:bCs/>
                <w:color w:val="0000FF"/>
                <w:sz w:val="24"/>
                <w:szCs w:val="24"/>
                <w:lang w:eastAsia="zh-CN"/>
              </w:rPr>
              <w:t>图</w:t>
            </w:r>
            <w:r>
              <w:rPr>
                <w:rFonts w:hint="eastAsia"/>
                <w:b/>
                <w:bCs/>
                <w:color w:val="0000FF"/>
                <w:sz w:val="24"/>
                <w:szCs w:val="24"/>
                <w:lang w:val="en-US" w:eastAsia="zh-CN"/>
              </w:rPr>
              <w:t>2-1 项目水平衡图（单位：t/a</w:t>
            </w:r>
            <w:r>
              <w:rPr>
                <w:rFonts w:hint="eastAsia"/>
                <w:b/>
                <w:bCs/>
                <w:sz w:val="24"/>
                <w:szCs w:val="24"/>
                <w:lang w:val="en-US" w:eastAsia="zh-CN"/>
              </w:rPr>
              <w:t>）</w:t>
            </w:r>
          </w:p>
          <w:p>
            <w:pPr>
              <w:pStyle w:val="2"/>
              <w:ind w:left="0" w:leftChars="0" w:firstLine="480" w:firstLineChars="200"/>
              <w:rPr>
                <w:rFonts w:hint="eastAsia"/>
                <w:color w:val="0000FF"/>
                <w:lang w:eastAsia="zh-CN"/>
              </w:rPr>
            </w:pPr>
            <w:r>
              <w:rPr>
                <w:rFonts w:hint="eastAsia"/>
                <w:color w:val="0000FF"/>
                <w:lang w:eastAsia="zh-CN"/>
              </w:rPr>
              <w:t>项目建成后两厂区水平衡图如下：</w:t>
            </w:r>
          </w:p>
          <w:p>
            <w:pPr>
              <w:rPr>
                <w:rFonts w:hint="eastAsia"/>
                <w:lang w:eastAsia="zh-CN"/>
              </w:rPr>
            </w:pPr>
            <w:r>
              <w:rPr>
                <w:rFonts w:hint="eastAsia"/>
                <w:lang w:eastAsia="zh-CN"/>
              </w:rPr>
              <w:object>
                <v:shape id="_x0000_i1026" o:spt="75" type="#_x0000_t75" style="height:614.45pt;width:421pt;" o:ole="t" filled="f" o:preferrelative="t" stroked="f" coordsize="21600,21600">
                  <v:path/>
                  <v:fill on="f" focussize="0,0"/>
                  <v:stroke on="f"/>
                  <v:imagedata r:id="rId13" o:title=""/>
                  <o:lock v:ext="edit" aspectratio="f"/>
                  <w10:wrap type="none"/>
                  <w10:anchorlock/>
                </v:shape>
                <o:OLEObject Type="Embed" ProgID="Visio.Drawing.11" ShapeID="_x0000_i1026" DrawAspect="Content" ObjectID="_1468075726" r:id="rId12">
                  <o:LockedField>false</o:LockedField>
                </o:OLEObject>
              </w:objec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CN"/>
              </w:rPr>
              <w:t>图</w:t>
            </w:r>
            <w:r>
              <w:rPr>
                <w:rFonts w:hint="default" w:ascii="Times New Roman" w:hAnsi="Times New Roman" w:eastAsia="宋体" w:cs="Times New Roman"/>
                <w:b/>
                <w:bCs/>
                <w:lang w:val="en-US" w:eastAsia="zh-CN"/>
              </w:rPr>
              <w:t>2-2黄河龙厂区项目建成后全厂水平衡图</w:t>
            </w:r>
            <w:r>
              <w:rPr>
                <w:rFonts w:hint="eastAsia"/>
                <w:b/>
                <w:bCs/>
                <w:sz w:val="24"/>
                <w:szCs w:val="24"/>
                <w:lang w:val="en-US" w:eastAsia="zh-CN"/>
              </w:rPr>
              <w:t>（单位：t/a）</w:t>
            </w:r>
          </w:p>
          <w:p>
            <w:pPr>
              <w:rPr>
                <w:rFonts w:hint="default"/>
                <w:lang w:val="en-US" w:eastAsia="zh-CN"/>
              </w:rPr>
            </w:pPr>
            <w:r>
              <w:rPr>
                <w:rFonts w:hint="default"/>
                <w:lang w:val="en-US" w:eastAsia="zh-CN"/>
              </w:rPr>
              <w:object>
                <v:shape id="_x0000_i1027" o:spt="75" type="#_x0000_t75" style="height:333.3pt;width:420.95pt;" o:ole="t" filled="f" o:preferrelative="t" stroked="f" coordsize="21600,21600">
                  <v:path/>
                  <v:fill on="f" focussize="0,0"/>
                  <v:stroke on="f"/>
                  <v:imagedata r:id="rId15" o:title=""/>
                  <o:lock v:ext="edit" aspectratio="f"/>
                  <w10:wrap type="none"/>
                  <w10:anchorlock/>
                </v:shape>
                <o:OLEObject Type="Embed" ProgID="Visio.Drawing.11" ShapeID="_x0000_i1027" DrawAspect="Content" ObjectID="_1468075727" r:id="rId14">
                  <o:LockedField>false</o:LockedField>
                </o:OLEObject>
              </w:objec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eastAsia="黑体" w:cs="Times New Roman"/>
                <w:b/>
                <w:bCs/>
                <w:lang w:val="en-US" w:eastAsia="zh-CN"/>
              </w:rPr>
            </w:pPr>
            <w:r>
              <w:rPr>
                <w:rFonts w:hint="default" w:ascii="Times New Roman" w:hAnsi="Times New Roman" w:eastAsia="黑体" w:cs="Times New Roman"/>
                <w:b/>
                <w:bCs/>
                <w:lang w:val="en-US" w:eastAsia="zh-CN"/>
              </w:rPr>
              <w:t>图2-3海奥斯厂区项目建成后全厂水平衡图</w:t>
            </w:r>
            <w:r>
              <w:rPr>
                <w:rFonts w:hint="default" w:ascii="Times New Roman" w:hAnsi="Times New Roman" w:eastAsia="黑体" w:cs="Times New Roman"/>
                <w:b/>
                <w:bCs/>
                <w:sz w:val="24"/>
                <w:szCs w:val="24"/>
                <w:lang w:val="en-US" w:eastAsia="zh-CN"/>
              </w:rPr>
              <w:t>（单位：t/a）</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baseline"/>
              <w:rPr>
                <w:rFonts w:hint="eastAsia"/>
                <w:sz w:val="24"/>
                <w:szCs w:val="24"/>
                <w:lang w:val="en-US" w:eastAsia="zh-CN"/>
              </w:rPr>
            </w:pPr>
            <w:r>
              <w:rPr>
                <w:rFonts w:hint="eastAsia"/>
                <w:sz w:val="24"/>
                <w:szCs w:val="24"/>
              </w:rPr>
              <w:t>2.</w:t>
            </w:r>
            <w:r>
              <w:rPr>
                <w:rFonts w:hint="eastAsia"/>
                <w:sz w:val="24"/>
                <w:szCs w:val="24"/>
                <w:lang w:val="en-US" w:eastAsia="zh-CN"/>
              </w:rPr>
              <w:t>8能源消耗</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outlineLvl w:val="9"/>
              <w:rPr>
                <w:rFonts w:hint="eastAsia"/>
                <w:lang w:val="en-US" w:eastAsia="zh-CN"/>
              </w:rPr>
            </w:pPr>
            <w:r>
              <w:rPr>
                <w:rFonts w:hint="eastAsia"/>
                <w:lang w:val="en-US" w:eastAsia="zh-CN"/>
              </w:rPr>
              <w:t>（1）用电</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eastAsia"/>
                <w:sz w:val="24"/>
                <w:szCs w:val="24"/>
                <w:lang w:val="en-US" w:eastAsia="zh-CN"/>
              </w:rPr>
            </w:pPr>
            <w:r>
              <w:rPr>
                <w:rFonts w:hint="eastAsia"/>
                <w:sz w:val="24"/>
                <w:szCs w:val="24"/>
                <w:lang w:val="en-US" w:eastAsia="zh-CN"/>
              </w:rPr>
              <w:t>本项目用电量710352kwh/a，由市政管网供给，供生产、生活使用。</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firstLine="480" w:firstLineChars="200"/>
              <w:jc w:val="left"/>
              <w:textAlignment w:val="auto"/>
              <w:outlineLvl w:val="9"/>
              <w:rPr>
                <w:rFonts w:hint="eastAsia"/>
                <w:sz w:val="24"/>
                <w:szCs w:val="24"/>
                <w:lang w:val="en-US" w:eastAsia="zh-CN"/>
              </w:rPr>
            </w:pPr>
            <w:r>
              <w:rPr>
                <w:rFonts w:hint="eastAsia"/>
                <w:sz w:val="24"/>
                <w:szCs w:val="24"/>
                <w:lang w:val="en-US" w:eastAsia="zh-CN"/>
              </w:rPr>
              <w:t>（2）天然气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sz w:val="24"/>
                <w:szCs w:val="24"/>
                <w:lang w:eastAsia="zh-CN"/>
              </w:rPr>
            </w:pPr>
            <w:r>
              <w:rPr>
                <w:rFonts w:hint="eastAsia"/>
                <w:sz w:val="24"/>
                <w:szCs w:val="24"/>
                <w:lang w:val="en-US" w:eastAsia="zh-CN"/>
              </w:rPr>
              <w:t>本项目为天然气锅炉项目，天然气为项目能源由中石油“沧—淄”线天然气供给，年天然气用量为1300万</w:t>
            </w:r>
            <w:r>
              <w:rPr>
                <w:rFonts w:hint="default"/>
                <w:sz w:val="24"/>
                <w:szCs w:val="24"/>
              </w:rPr>
              <w:t>m</w:t>
            </w:r>
            <w:r>
              <w:rPr>
                <w:rFonts w:hint="default"/>
                <w:sz w:val="24"/>
                <w:szCs w:val="24"/>
                <w:vertAlign w:val="superscript"/>
              </w:rPr>
              <w:t>3</w:t>
            </w:r>
            <w:r>
              <w:rPr>
                <w:rFonts w:hint="default"/>
                <w:sz w:val="24"/>
                <w:szCs w:val="24"/>
              </w:rPr>
              <w:t>/a</w:t>
            </w:r>
            <w:r>
              <w:rPr>
                <w:rFonts w:hint="default"/>
                <w:sz w:val="24"/>
                <w:szCs w:val="24"/>
                <w:lang w:eastAsia="zh-CN"/>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480" w:firstLineChars="200"/>
              <w:jc w:val="left"/>
              <w:textAlignment w:val="auto"/>
              <w:outlineLvl w:val="9"/>
              <w:rPr>
                <w:rFonts w:hint="eastAsia"/>
                <w:sz w:val="24"/>
                <w:szCs w:val="24"/>
                <w:lang w:val="en-US" w:eastAsia="zh-CN"/>
              </w:rPr>
            </w:pPr>
            <w:r>
              <w:rPr>
                <w:rFonts w:hint="eastAsia"/>
                <w:sz w:val="24"/>
                <w:szCs w:val="24"/>
                <w:lang w:val="en-US" w:eastAsia="zh-CN"/>
              </w:rPr>
              <w:t>（3）蒸汽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lang w:val="en-US" w:eastAsia="zh-CN"/>
              </w:rPr>
            </w:pPr>
            <w:r>
              <w:rPr>
                <w:rFonts w:hint="eastAsia"/>
                <w:sz w:val="24"/>
                <w:szCs w:val="24"/>
                <w:lang w:val="en-US" w:eastAsia="zh-CN"/>
              </w:rPr>
              <w:t>本项目天然气锅炉产能为20t/h，</w:t>
            </w:r>
            <w:r>
              <w:rPr>
                <w:rFonts w:hint="eastAsia"/>
                <w:color w:val="0000FF"/>
                <w:sz w:val="24"/>
                <w:szCs w:val="24"/>
                <w:lang w:val="en-US" w:eastAsia="zh-CN"/>
              </w:rPr>
              <w:t>供给海奥斯厂区使用替代外购蒸汽本项目蒸汽产生量为10.91t/h</w:t>
            </w:r>
            <w:r>
              <w:rPr>
                <w:rFonts w:hint="eastAsia"/>
                <w:sz w:val="24"/>
                <w:szCs w:val="24"/>
                <w:lang w:val="en-US" w:eastAsia="zh-CN"/>
              </w:rPr>
              <w:t>，本项目蒸汽平衡态见下图：</w:t>
            </w:r>
          </w:p>
          <w:p>
            <w:pPr>
              <w:pStyle w:val="2"/>
              <w:rPr>
                <w:rFonts w:hint="default"/>
                <w:sz w:val="24"/>
                <w:szCs w:val="24"/>
                <w:lang w:val="en-US" w:eastAsia="zh-CN"/>
              </w:rPr>
            </w:pPr>
            <w:r>
              <w:rPr>
                <w:rFonts w:hint="default"/>
                <w:sz w:val="24"/>
                <w:szCs w:val="24"/>
                <w:lang w:val="en-US" w:eastAsia="zh-CN"/>
              </w:rPr>
              <w:object>
                <v:shape id="_x0000_i1028" o:spt="75" type="#_x0000_t75" style="height:106.5pt;width:340.5pt;" o:ole="t" filled="f" o:preferrelative="t" stroked="f" coordsize="21600,21600">
                  <v:path/>
                  <v:fill on="f" focussize="0,0"/>
                  <v:stroke on="f"/>
                  <v:imagedata r:id="rId17" o:title=""/>
                  <o:lock v:ext="edit" aspectratio="f"/>
                  <w10:wrap type="none"/>
                  <w10:anchorlock/>
                </v:shape>
                <o:OLEObject Type="Embed" ProgID="Visio.Drawing.11" ShapeID="_x0000_i1028" DrawAspect="Content" ObjectID="_1468075728" r:id="rId16">
                  <o:LockedField>false</o:LockedField>
                </o:OLEObject>
              </w:object>
            </w:r>
          </w:p>
          <w:p>
            <w:pPr>
              <w:jc w:val="center"/>
              <w:rPr>
                <w:rFonts w:hint="eastAsia"/>
                <w:b/>
                <w:bCs/>
                <w:sz w:val="24"/>
                <w:szCs w:val="24"/>
                <w:lang w:val="en-US" w:eastAsia="zh-CN"/>
              </w:rPr>
            </w:pPr>
            <w:r>
              <w:rPr>
                <w:rFonts w:hint="eastAsia"/>
                <w:b/>
                <w:bCs/>
                <w:sz w:val="24"/>
                <w:szCs w:val="24"/>
                <w:lang w:val="en-US" w:eastAsia="zh-CN"/>
              </w:rPr>
              <w:t>图2-4 项目蒸汽平衡图（单位t/h）</w:t>
            </w:r>
          </w:p>
          <w:p>
            <w:pPr>
              <w:pStyle w:val="2"/>
              <w:rPr>
                <w:rFonts w:hint="default"/>
                <w:sz w:val="24"/>
                <w:szCs w:val="24"/>
                <w:lang w:val="en-US" w:eastAsia="zh-CN"/>
              </w:rPr>
            </w:pPr>
            <w:r>
              <w:rPr>
                <w:rFonts w:hint="default"/>
                <w:sz w:val="24"/>
                <w:szCs w:val="24"/>
                <w:lang w:val="en-US" w:eastAsia="zh-CN"/>
              </w:rPr>
              <w:object>
                <v:shape id="_x0000_i1029" o:spt="75" type="#_x0000_t75" style="height:106.5pt;width:340.5pt;" o:ole="t" filled="f" o:preferrelative="t" stroked="f" coordsize="21600,21600">
                  <v:path/>
                  <v:fill on="f" focussize="0,0"/>
                  <v:stroke on="f"/>
                  <v:imagedata r:id="rId19" o:title=""/>
                  <o:lock v:ext="edit" aspectratio="f"/>
                  <w10:wrap type="none"/>
                  <w10:anchorlock/>
                </v:shape>
                <o:OLEObject Type="Embed" ProgID="Visio.Drawing.11" ShapeID="_x0000_i1029" DrawAspect="Content" ObjectID="_1468075729" r:id="rId18">
                  <o:LockedField>false</o:LockedField>
                </o:OLEObject>
              </w:object>
            </w:r>
          </w:p>
          <w:p>
            <w:pPr>
              <w:jc w:val="center"/>
              <w:rPr>
                <w:rFonts w:hint="default"/>
                <w:lang w:val="en-US" w:eastAsia="zh-CN"/>
              </w:rPr>
            </w:pPr>
            <w:r>
              <w:rPr>
                <w:rFonts w:hint="eastAsia"/>
                <w:b/>
                <w:bCs/>
                <w:sz w:val="24"/>
                <w:szCs w:val="24"/>
                <w:lang w:val="en-US" w:eastAsia="zh-CN"/>
              </w:rPr>
              <w:t>图2-5 项目蒸汽平衡图（单位t/a）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427" w:type="dxa"/>
            <w:tcBorders>
              <w:tl2br w:val="nil"/>
              <w:tr2bl w:val="nil"/>
            </w:tcBorders>
            <w:noWrap w:val="0"/>
            <w:vAlign w:val="center"/>
          </w:tcPr>
          <w:p>
            <w:pPr>
              <w:pStyle w:val="19"/>
              <w:keepNext w:val="0"/>
              <w:keepLines w:val="0"/>
              <w:pageBreakBefore w:val="0"/>
              <w:kinsoku/>
              <w:wordWrap/>
              <w:overflowPunct/>
              <w:topLinePunct w:val="0"/>
              <w:autoSpaceDE/>
              <w:autoSpaceDN/>
              <w:bidi w:val="0"/>
              <w:adjustRightInd w:val="0"/>
              <w:snapToGrid w:val="0"/>
              <w:spacing w:before="0" w:beforeAutospacing="0" w:after="0" w:afterAutospacing="0" w:line="36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工艺流程和产排污环节</w:t>
            </w:r>
          </w:p>
        </w:tc>
        <w:tc>
          <w:tcPr>
            <w:tcW w:w="8644" w:type="dxa"/>
            <w:tcBorders>
              <w:tl2br w:val="nil"/>
              <w:tr2bl w:val="nil"/>
            </w:tcBorders>
            <w:noWrap w:val="0"/>
            <w:vAlign w:val="top"/>
          </w:tcPr>
          <w:p>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textAlignment w:val="auto"/>
              <w:rPr>
                <w:rFonts w:hint="default" w:ascii="Times New Roman" w:hAnsi="Times New Roman" w:eastAsia="黑体" w:cs="Times New Roman"/>
                <w:b/>
                <w:bCs/>
                <w:color w:val="auto"/>
                <w:sz w:val="24"/>
                <w:szCs w:val="24"/>
                <w:lang w:val="en-US" w:eastAsia="zh-CN"/>
              </w:rPr>
            </w:pPr>
            <w:r>
              <w:rPr>
                <w:rFonts w:hint="default" w:ascii="Times New Roman" w:hAnsi="Times New Roman" w:eastAsia="黑体" w:cs="Times New Roman"/>
                <w:b/>
                <w:bCs/>
                <w:color w:val="auto"/>
                <w:sz w:val="24"/>
                <w:szCs w:val="24"/>
                <w:lang w:val="en-US" w:eastAsia="zh-CN"/>
              </w:rPr>
              <w:t>工艺流程</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黑体" w:cs="Times New Roman"/>
                <w:b/>
                <w:bCs/>
                <w:color w:val="auto"/>
                <w:sz w:val="24"/>
                <w:szCs w:val="24"/>
                <w:lang w:val="en-US" w:eastAsia="zh-CN"/>
              </w:rPr>
            </w:pPr>
            <w:r>
              <w:rPr>
                <w:rFonts w:hint="default" w:ascii="Times New Roman" w:hAnsi="Times New Roman" w:eastAsia="黑体" w:cs="Times New Roman"/>
                <w:b/>
                <w:bCs/>
                <w:color w:val="auto"/>
                <w:sz w:val="24"/>
                <w:szCs w:val="24"/>
                <w:lang w:val="en-US" w:eastAsia="zh-CN"/>
              </w:rPr>
              <w:t>1、施工期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本项目施工期工艺流程图如下图：</w:t>
            </w:r>
          </w:p>
          <w:p>
            <w:pPr>
              <w:keepNext w:val="0"/>
              <w:keepLines w:val="0"/>
              <w:pageBreakBefore w:val="0"/>
              <w:kinsoku/>
              <w:wordWrap/>
              <w:overflowPunct/>
              <w:topLinePunct w:val="0"/>
              <w:autoSpaceDE/>
              <w:autoSpaceDN/>
              <w:bidi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drawing>
                <wp:inline distT="0" distB="0" distL="114300" distR="114300">
                  <wp:extent cx="5166995" cy="1663065"/>
                  <wp:effectExtent l="0" t="0" r="14605" b="133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0"/>
                          <a:stretch>
                            <a:fillRect/>
                          </a:stretch>
                        </pic:blipFill>
                        <pic:spPr>
                          <a:xfrm>
                            <a:off x="0" y="0"/>
                            <a:ext cx="5166995" cy="166306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spacing w:line="360" w:lineRule="auto"/>
              <w:jc w:val="center"/>
              <w:rPr>
                <w:rFonts w:hint="default" w:ascii="Times New Roman" w:hAnsi="Times New Roman" w:eastAsia="黑体" w:cs="Times New Roman"/>
                <w:b/>
                <w:bCs/>
                <w:color w:val="auto"/>
                <w:sz w:val="24"/>
                <w:szCs w:val="24"/>
                <w:lang w:val="en-US" w:eastAsia="zh-CN"/>
              </w:rPr>
            </w:pPr>
            <w:r>
              <w:rPr>
                <w:rFonts w:hint="default" w:ascii="Times New Roman" w:hAnsi="Times New Roman" w:eastAsia="黑体" w:cs="Times New Roman"/>
                <w:b/>
                <w:bCs/>
                <w:color w:val="auto"/>
                <w:sz w:val="24"/>
                <w:szCs w:val="24"/>
                <w:lang w:val="en-US" w:eastAsia="zh-CN"/>
              </w:rPr>
              <w:t>图2-</w:t>
            </w:r>
            <w:r>
              <w:rPr>
                <w:rFonts w:hint="eastAsia" w:eastAsia="黑体" w:cs="Times New Roman"/>
                <w:b/>
                <w:bCs/>
                <w:color w:val="auto"/>
                <w:sz w:val="24"/>
                <w:szCs w:val="24"/>
                <w:lang w:val="en-US" w:eastAsia="zh-CN"/>
              </w:rPr>
              <w:t>6</w:t>
            </w:r>
            <w:r>
              <w:rPr>
                <w:rFonts w:hint="default" w:ascii="Times New Roman" w:hAnsi="Times New Roman" w:eastAsia="黑体" w:cs="Times New Roman"/>
                <w:b/>
                <w:bCs/>
                <w:color w:val="auto"/>
                <w:sz w:val="24"/>
                <w:szCs w:val="24"/>
                <w:lang w:val="en-US" w:eastAsia="zh-CN"/>
              </w:rPr>
              <w:t xml:space="preserve"> 施工期工艺流程图</w:t>
            </w:r>
          </w:p>
          <w:p>
            <w:pPr>
              <w:keepNext w:val="0"/>
              <w:keepLines w:val="0"/>
              <w:pageBreakBefore w:val="0"/>
              <w:kinsoku/>
              <w:wordWrap/>
              <w:overflowPunct/>
              <w:topLinePunct w:val="0"/>
              <w:autoSpaceDE/>
              <w:autoSpaceDN/>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施工期工艺说明：</w:t>
            </w:r>
          </w:p>
          <w:p>
            <w:pPr>
              <w:keepNext w:val="0"/>
              <w:keepLines w:val="0"/>
              <w:pageBreakBefore w:val="0"/>
              <w:kinsoku/>
              <w:wordWrap/>
              <w:overflowPunct/>
              <w:topLinePunct w:val="0"/>
              <w:autoSpaceDE/>
              <w:autoSpaceDN/>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（1）基础工程</w:t>
            </w:r>
          </w:p>
          <w:p>
            <w:pPr>
              <w:keepNext w:val="0"/>
              <w:keepLines w:val="0"/>
              <w:pageBreakBefore w:val="0"/>
              <w:kinsoku/>
              <w:wordWrap/>
              <w:overflowPunct/>
              <w:topLinePunct w:val="0"/>
              <w:autoSpaceDE/>
              <w:autoSpaceDN/>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建设项目基础工程主要为围挡、土地平整、挖方、场地的填土和夯实，会产生一定量的粉尘和噪声污染。由于作业时间较短，粉尘和噪声只是对周围局部环境影响，从整个施工起来看，对周围环影响较小。建设项目利用起重机械吊起特制的重锤来冲击基土表面，使地基受到压密，一般夯实为8~12遍。该工段主要污染物为施工机械产生的噪声、粉尘和排放的尾气。</w:t>
            </w:r>
          </w:p>
          <w:p>
            <w:pPr>
              <w:keepNext w:val="0"/>
              <w:keepLines w:val="0"/>
              <w:pageBreakBefore w:val="0"/>
              <w:kinsoku/>
              <w:wordWrap/>
              <w:overflowPunct/>
              <w:topLinePunct w:val="0"/>
              <w:autoSpaceDE/>
              <w:autoSpaceDN/>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（2）主体工程</w:t>
            </w:r>
          </w:p>
          <w:p>
            <w:pPr>
              <w:keepNext w:val="0"/>
              <w:keepLines w:val="0"/>
              <w:pageBreakBefore w:val="0"/>
              <w:kinsoku/>
              <w:wordWrap/>
              <w:overflowPunct/>
              <w:topLinePunct w:val="0"/>
              <w:autoSpaceDE/>
              <w:autoSpaceDN/>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建设项目主体工程主要为钻孔灌注，现浇钢砼柱、梁，砖墙砌筑。建设项目利用钻孔设备进行钻孔后，用钢筋和商品混凝土浇灌。浇灌时注入预先拌至均匀的混凝土。然后根据施工图纸，进行钢筋的配料和加工，安装于架好的模板之处，及时连续灌注混凝土，并捣实使混凝土成型。建设项目在砖墙砌筑时，首先进行水泥砂浆的调配，然后再挂线砌筑。</w:t>
            </w:r>
          </w:p>
          <w:p>
            <w:pPr>
              <w:keepNext w:val="0"/>
              <w:keepLines w:val="0"/>
              <w:pageBreakBefore w:val="0"/>
              <w:kinsoku/>
              <w:wordWrap/>
              <w:overflowPunct/>
              <w:topLinePunct w:val="0"/>
              <w:autoSpaceDE/>
              <w:autoSpaceDN/>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（3）装饰工程</w:t>
            </w:r>
          </w:p>
          <w:p>
            <w:pPr>
              <w:keepNext w:val="0"/>
              <w:keepLines w:val="0"/>
              <w:pageBreakBefore w:val="0"/>
              <w:kinsoku/>
              <w:wordWrap/>
              <w:overflowPunct/>
              <w:topLinePunct w:val="0"/>
              <w:autoSpaceDE/>
              <w:autoSpaceDN/>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利用各种加工机械对木材、塑钢等按图进行加工，同时进行屋面制作，然后采用环保型高级涂料进行喷刷，最后对外露的铁件进行油漆施工，本工段时间较短，且使用的涂料和油漆量较少，有少量的有机废气挥发。</w:t>
            </w:r>
          </w:p>
          <w:p>
            <w:pPr>
              <w:keepNext w:val="0"/>
              <w:keepLines w:val="0"/>
              <w:pageBreakBefore w:val="0"/>
              <w:kinsoku/>
              <w:wordWrap/>
              <w:overflowPunct/>
              <w:topLinePunct w:val="0"/>
              <w:autoSpaceDE/>
              <w:autoSpaceDN/>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（4）设备安装</w:t>
            </w:r>
          </w:p>
          <w:p>
            <w:pPr>
              <w:keepNext w:val="0"/>
              <w:keepLines w:val="0"/>
              <w:pageBreakBefore w:val="0"/>
              <w:kinsoku/>
              <w:wordWrap/>
              <w:overflowPunct/>
              <w:topLinePunct w:val="0"/>
              <w:autoSpaceDE/>
              <w:autoSpaceDN/>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包括道路、管网铺设等施工，主要污染物是施工机械产生的噪声、尾气等。</w:t>
            </w:r>
          </w:p>
          <w:p>
            <w:pPr>
              <w:pStyle w:val="2"/>
              <w:keepNext w:val="0"/>
              <w:keepLines w:val="0"/>
              <w:pageBreakBefore w:val="0"/>
              <w:numPr>
                <w:ilvl w:val="0"/>
                <w:numId w:val="4"/>
              </w:numPr>
              <w:kinsoku/>
              <w:wordWrap/>
              <w:overflowPunct/>
              <w:topLinePunct w:val="0"/>
              <w:autoSpaceDE/>
              <w:autoSpaceDN/>
              <w:bidi w:val="0"/>
              <w:spacing w:line="360" w:lineRule="auto"/>
              <w:ind w:left="465" w:leftChars="0" w:firstLine="0" w:firstLineChars="0"/>
              <w:rPr>
                <w:rFonts w:hint="default" w:ascii="Times New Roman" w:hAnsi="Times New Roman" w:eastAsia="黑体" w:cs="Times New Roman"/>
                <w:b/>
                <w:bCs/>
                <w:color w:val="auto"/>
                <w:kern w:val="2"/>
                <w:sz w:val="24"/>
                <w:szCs w:val="24"/>
                <w:lang w:val="en-US" w:eastAsia="zh-CN" w:bidi="ar-SA"/>
              </w:rPr>
            </w:pPr>
            <w:r>
              <w:rPr>
                <w:rFonts w:hint="default" w:ascii="Times New Roman" w:hAnsi="Times New Roman" w:eastAsia="黑体" w:cs="Times New Roman"/>
                <w:b/>
                <w:bCs/>
                <w:color w:val="auto"/>
                <w:kern w:val="2"/>
                <w:sz w:val="24"/>
                <w:szCs w:val="24"/>
                <w:lang w:val="en-US" w:eastAsia="zh-CN" w:bidi="ar-SA"/>
              </w:rPr>
              <w:t>营运期</w:t>
            </w:r>
          </w:p>
          <w:p>
            <w:pPr>
              <w:pStyle w:val="14"/>
              <w:keepNext w:val="0"/>
              <w:keepLines w:val="0"/>
              <w:pageBreakBefore w:val="0"/>
              <w:widowControl w:val="0"/>
              <w:kinsoku/>
              <w:wordWrap/>
              <w:overflowPunct/>
              <w:topLinePunct w:val="0"/>
              <w:autoSpaceDE/>
              <w:autoSpaceDN/>
              <w:bidi w:val="0"/>
              <w:adjustRightInd/>
              <w:snapToGrid/>
              <w:spacing w:before="0" w:line="360" w:lineRule="auto"/>
              <w:ind w:firstLine="0" w:firstLineChars="0"/>
              <w:jc w:val="center"/>
              <w:textAlignment w:val="auto"/>
              <w:rPr>
                <w:rFonts w:hint="default" w:ascii="Times New Roman" w:hAnsi="Times New Roman" w:eastAsia="宋体" w:cs="Times New Roman"/>
                <w:bCs/>
                <w:color w:val="auto"/>
                <w:kern w:val="0"/>
                <w:sz w:val="24"/>
                <w:szCs w:val="24"/>
                <w:lang w:val="en-US" w:eastAsia="zh-CN"/>
              </w:rPr>
            </w:pPr>
            <w:r>
              <w:rPr>
                <w:rFonts w:hint="default" w:ascii="Times New Roman" w:hAnsi="Times New Roman" w:eastAsia="宋体" w:cs="Times New Roman"/>
                <w:bCs/>
                <w:color w:val="auto"/>
                <w:kern w:val="0"/>
                <w:sz w:val="24"/>
                <w:szCs w:val="24"/>
                <w:lang w:val="en-US" w:eastAsia="zh-CN"/>
              </w:rPr>
              <w:object>
                <v:shape id="_x0000_i1030" o:spt="75" type="#_x0000_t75" style="height:140.25pt;width:407.25pt;" o:ole="t" filled="f" o:preferrelative="t" stroked="f" coordsize="21600,21600">
                  <v:path/>
                  <v:fill on="f" focussize="0,0"/>
                  <v:stroke on="f"/>
                  <v:imagedata r:id="rId22" o:title=""/>
                  <o:lock v:ext="edit" aspectratio="f"/>
                  <w10:wrap type="none"/>
                  <w10:anchorlock/>
                </v:shape>
                <o:OLEObject Type="Embed" ProgID="Visio.Drawing.11" ShapeID="_x0000_i1030" DrawAspect="Content" ObjectID="_1468075730" r:id="rId21">
                  <o:LockedField>false</o:LockedField>
                </o:OLEObject>
              </w:object>
            </w:r>
          </w:p>
          <w:p>
            <w:pPr>
              <w:pStyle w:val="14"/>
              <w:keepNext w:val="0"/>
              <w:keepLines w:val="0"/>
              <w:pageBreakBefore w:val="0"/>
              <w:widowControl w:val="0"/>
              <w:kinsoku/>
              <w:wordWrap/>
              <w:overflowPunct/>
              <w:topLinePunct w:val="0"/>
              <w:autoSpaceDE/>
              <w:autoSpaceDN/>
              <w:bidi w:val="0"/>
              <w:adjustRightInd/>
              <w:snapToGrid/>
              <w:spacing w:before="0" w:line="360" w:lineRule="auto"/>
              <w:ind w:firstLine="0" w:firstLineChars="0"/>
              <w:jc w:val="center"/>
              <w:textAlignment w:val="auto"/>
              <w:rPr>
                <w:rFonts w:hint="default" w:ascii="Times New Roman" w:hAnsi="Times New Roman" w:eastAsia="黑体" w:cs="Times New Roman"/>
                <w:bCs/>
                <w:color w:val="0000FF"/>
                <w:kern w:val="0"/>
                <w:sz w:val="24"/>
                <w:szCs w:val="24"/>
                <w:highlight w:val="none"/>
                <w:lang w:val="en-US" w:eastAsia="zh-CN"/>
              </w:rPr>
            </w:pPr>
            <w:r>
              <w:rPr>
                <w:rFonts w:hint="default" w:ascii="Times New Roman" w:hAnsi="Times New Roman" w:eastAsia="黑体" w:cs="Times New Roman"/>
                <w:b/>
                <w:bCs/>
                <w:color w:val="0000FF"/>
                <w:sz w:val="24"/>
                <w:szCs w:val="24"/>
                <w:highlight w:val="none"/>
                <w:lang w:val="en-US" w:eastAsia="zh-CN"/>
              </w:rPr>
              <w:t>图2-</w:t>
            </w:r>
            <w:r>
              <w:rPr>
                <w:rFonts w:hint="eastAsia" w:eastAsia="黑体" w:cs="Times New Roman"/>
                <w:b/>
                <w:bCs/>
                <w:color w:val="0000FF"/>
                <w:sz w:val="24"/>
                <w:szCs w:val="24"/>
                <w:highlight w:val="none"/>
                <w:lang w:val="en-US" w:eastAsia="zh-CN"/>
              </w:rPr>
              <w:t>7</w:t>
            </w:r>
            <w:r>
              <w:rPr>
                <w:rFonts w:hint="default" w:ascii="Times New Roman" w:hAnsi="Times New Roman" w:eastAsia="黑体" w:cs="Times New Roman"/>
                <w:b/>
                <w:bCs/>
                <w:color w:val="0000FF"/>
                <w:sz w:val="24"/>
                <w:szCs w:val="24"/>
                <w:highlight w:val="none"/>
                <w:lang w:val="en-US" w:eastAsia="zh-CN"/>
              </w:rPr>
              <w:t xml:space="preserve"> 天然气锅炉生产流程及产污节点图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val="0"/>
                <w:color w:val="auto"/>
                <w:sz w:val="24"/>
                <w:szCs w:val="24"/>
                <w:highlight w:val="none"/>
                <w:lang w:val="en-US" w:eastAsia="zh-CN"/>
              </w:rPr>
              <w:t>天然气锅炉</w:t>
            </w:r>
            <w:r>
              <w:rPr>
                <w:rFonts w:hint="default" w:ascii="Times New Roman" w:hAnsi="Times New Roman" w:eastAsia="宋体" w:cs="Times New Roman"/>
                <w:b w:val="0"/>
                <w:bCs w:val="0"/>
                <w:color w:val="auto"/>
                <w:sz w:val="24"/>
                <w:szCs w:val="24"/>
                <w:lang w:val="en-US" w:eastAsia="zh-CN"/>
              </w:rPr>
              <w:t>工艺流程简述：</w:t>
            </w:r>
          </w:p>
          <w:p>
            <w:pPr>
              <w:pStyle w:val="14"/>
              <w:keepNext w:val="0"/>
              <w:keepLines w:val="0"/>
              <w:pageBreakBefore w:val="0"/>
              <w:widowControl w:val="0"/>
              <w:kinsoku/>
              <w:wordWrap/>
              <w:overflowPunct/>
              <w:topLinePunct w:val="0"/>
              <w:autoSpaceDE/>
              <w:autoSpaceDN/>
              <w:bidi w:val="0"/>
              <w:adjustRightInd/>
              <w:snapToGrid/>
              <w:spacing w:before="0" w:line="360" w:lineRule="auto"/>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新鲜水经软化水制备系统软化后成为软化水，在软化水制备过程中会产生软化水制备废水。当软化水制备完成后，软化水输送至锅炉内加热成蒸汽后，由供气管网送入厂房提供生产用蒸汽</w:t>
            </w:r>
            <w:r>
              <w:rPr>
                <w:rFonts w:hint="eastAsia" w:cs="Times New Roman"/>
                <w:color w:val="auto"/>
                <w:sz w:val="24"/>
                <w:szCs w:val="24"/>
                <w:lang w:val="en-US" w:eastAsia="zh-CN"/>
              </w:rPr>
              <w:t>。</w:t>
            </w:r>
            <w:r>
              <w:rPr>
                <w:rFonts w:hint="eastAsia" w:cs="Times New Roman"/>
                <w:color w:val="0000FF"/>
                <w:sz w:val="24"/>
                <w:szCs w:val="24"/>
                <w:lang w:val="en-US" w:eastAsia="zh-CN"/>
              </w:rPr>
              <w:t>蒸汽供给海奥斯厂区生产使用，蒸汽冷凝水返回锅炉循环使用生产蒸汽</w:t>
            </w:r>
            <w:r>
              <w:rPr>
                <w:rFonts w:hint="default" w:ascii="Times New Roman" w:hAnsi="Times New Roman" w:eastAsia="宋体" w:cs="Times New Roman"/>
                <w:color w:val="0000FF"/>
                <w:sz w:val="24"/>
                <w:szCs w:val="24"/>
                <w:lang w:val="en-US" w:eastAsia="zh-CN"/>
              </w:rPr>
              <w:t>。</w:t>
            </w:r>
            <w:r>
              <w:rPr>
                <w:rFonts w:hint="default" w:ascii="Times New Roman" w:hAnsi="Times New Roman" w:eastAsia="宋体" w:cs="Times New Roman"/>
                <w:color w:val="auto"/>
                <w:sz w:val="24"/>
                <w:szCs w:val="24"/>
                <w:lang w:val="en-US" w:eastAsia="zh-CN"/>
              </w:rPr>
              <w:t>燃气锅炉加热的过程中会产生废气、噪声和锅炉废水。</w:t>
            </w:r>
          </w:p>
          <w:p>
            <w:pPr>
              <w:pStyle w:val="14"/>
              <w:keepNext w:val="0"/>
              <w:keepLines w:val="0"/>
              <w:pageBreakBefore w:val="0"/>
              <w:widowControl w:val="0"/>
              <w:kinsoku/>
              <w:wordWrap/>
              <w:overflowPunct/>
              <w:topLinePunct w:val="0"/>
              <w:autoSpaceDE/>
              <w:autoSpaceDN/>
              <w:bidi w:val="0"/>
              <w:adjustRightInd/>
              <w:snapToGrid/>
              <w:spacing w:before="0" w:line="360" w:lineRule="auto"/>
              <w:jc w:val="left"/>
              <w:textAlignment w:val="auto"/>
              <w:rPr>
                <w:rFonts w:hint="eastAsia" w:cs="Times New Roman"/>
                <w:color w:val="0000FF"/>
                <w:sz w:val="24"/>
                <w:szCs w:val="24"/>
                <w:lang w:val="en-US" w:eastAsia="zh-CN"/>
              </w:rPr>
            </w:pPr>
            <w:r>
              <w:rPr>
                <w:rFonts w:hint="eastAsia" w:cs="Times New Roman"/>
                <w:color w:val="0000FF"/>
                <w:sz w:val="24"/>
                <w:szCs w:val="24"/>
                <w:lang w:val="en-US" w:eastAsia="zh-CN"/>
              </w:rPr>
              <w:t>依托现有软化水制备设施可行性分析：</w:t>
            </w:r>
          </w:p>
          <w:p>
            <w:pPr>
              <w:pStyle w:val="14"/>
              <w:keepNext w:val="0"/>
              <w:keepLines w:val="0"/>
              <w:pageBreakBefore w:val="0"/>
              <w:widowControl w:val="0"/>
              <w:kinsoku/>
              <w:wordWrap/>
              <w:overflowPunct/>
              <w:topLinePunct w:val="0"/>
              <w:autoSpaceDE/>
              <w:autoSpaceDN/>
              <w:bidi w:val="0"/>
              <w:adjustRightInd/>
              <w:snapToGrid/>
              <w:spacing w:before="0" w:line="360" w:lineRule="auto"/>
              <w:jc w:val="left"/>
              <w:textAlignment w:val="auto"/>
              <w:rPr>
                <w:rFonts w:hint="default" w:cs="Times New Roman"/>
                <w:color w:val="0000FF"/>
                <w:sz w:val="24"/>
                <w:szCs w:val="24"/>
                <w:lang w:val="en-US" w:eastAsia="zh-CN"/>
              </w:rPr>
            </w:pPr>
            <w:r>
              <w:rPr>
                <w:rFonts w:hint="eastAsia" w:cs="Times New Roman"/>
                <w:color w:val="0000FF"/>
                <w:sz w:val="24"/>
                <w:szCs w:val="24"/>
                <w:lang w:val="en-US" w:eastAsia="zh-CN"/>
              </w:rPr>
              <w:t>现有软化水制备设施为</w:t>
            </w:r>
            <w:r>
              <w:rPr>
                <w:rFonts w:hint="eastAsia" w:cs="Times New Roman"/>
                <w:color w:val="0000C7"/>
                <w:sz w:val="24"/>
                <w:szCs w:val="24"/>
                <w:lang w:val="en-US" w:eastAsia="zh-CN"/>
              </w:rPr>
              <w:t>反渗</w:t>
            </w:r>
            <w:r>
              <w:rPr>
                <w:rFonts w:hint="eastAsia" w:cs="Times New Roman"/>
                <w:color w:val="0000FF"/>
                <w:sz w:val="24"/>
                <w:szCs w:val="24"/>
                <w:lang w:val="en-US" w:eastAsia="zh-CN"/>
              </w:rPr>
              <w:t>透纯水制备设施，处理能力20t/h，现有处理余量10t/h（79200t/a），本项目锅炉用水量为27215.7t/a，故现有软化水制备设施可满足本项目锅炉用软化水需求。</w:t>
            </w:r>
          </w:p>
          <w:p>
            <w:pPr>
              <w:keepNext w:val="0"/>
              <w:keepLines w:val="0"/>
              <w:pageBreakBefore w:val="0"/>
              <w:numPr>
                <w:ilvl w:val="0"/>
                <w:numId w:val="0"/>
              </w:numPr>
              <w:kinsoku/>
              <w:wordWrap/>
              <w:overflowPunct/>
              <w:topLinePunct w:val="0"/>
              <w:autoSpaceDE/>
              <w:autoSpaceDN/>
              <w:bidi w:val="0"/>
              <w:adjustRightInd w:val="0"/>
              <w:snapToGrid w:val="0"/>
              <w:spacing w:line="360" w:lineRule="auto"/>
              <w:rPr>
                <w:rFonts w:hint="default" w:ascii="Times New Roman" w:hAnsi="Times New Roman" w:eastAsia="黑体" w:cs="Times New Roman"/>
                <w:b/>
                <w:bCs/>
                <w:color w:val="auto"/>
                <w:sz w:val="24"/>
                <w:szCs w:val="24"/>
                <w:lang w:val="en-US" w:eastAsia="zh-CN"/>
              </w:rPr>
            </w:pPr>
            <w:r>
              <w:rPr>
                <w:rFonts w:hint="default" w:ascii="Times New Roman" w:hAnsi="Times New Roman" w:eastAsia="黑体" w:cs="Times New Roman"/>
                <w:b/>
                <w:bCs/>
                <w:color w:val="auto"/>
                <w:sz w:val="24"/>
                <w:szCs w:val="24"/>
                <w:lang w:val="en-US" w:eastAsia="zh-CN"/>
              </w:rPr>
              <w:t>二、产污环节</w:t>
            </w:r>
          </w:p>
          <w:p>
            <w:pPr>
              <w:keepNext w:val="0"/>
              <w:keepLines w:val="0"/>
              <w:pageBreakBefore w:val="0"/>
              <w:kinsoku/>
              <w:wordWrap/>
              <w:overflowPunct/>
              <w:topLinePunct w:val="0"/>
              <w:autoSpaceDE/>
              <w:autoSpaceDN/>
              <w:bidi w:val="0"/>
              <w:spacing w:line="360" w:lineRule="auto"/>
              <w:ind w:firstLine="482" w:firstLineChars="200"/>
              <w:rPr>
                <w:rFonts w:hint="default" w:ascii="Times New Roman" w:hAnsi="Times New Roman" w:eastAsia="黑体" w:cs="Times New Roman"/>
                <w:b/>
                <w:bCs/>
                <w:color w:val="auto"/>
                <w:sz w:val="24"/>
                <w:szCs w:val="24"/>
                <w:lang w:val="en-US" w:eastAsia="zh-CN"/>
              </w:rPr>
            </w:pPr>
            <w:r>
              <w:rPr>
                <w:rFonts w:hint="default" w:ascii="Times New Roman" w:hAnsi="Times New Roman" w:eastAsia="黑体" w:cs="Times New Roman"/>
                <w:b/>
                <w:bCs/>
                <w:color w:val="auto"/>
                <w:sz w:val="24"/>
                <w:szCs w:val="24"/>
                <w:lang w:val="en-US" w:eastAsia="zh-CN"/>
              </w:rPr>
              <w:t>1、施工期</w:t>
            </w:r>
          </w:p>
          <w:p>
            <w:pPr>
              <w:keepNext w:val="0"/>
              <w:keepLines w:val="0"/>
              <w:pageBreakBefore w:val="0"/>
              <w:kinsoku/>
              <w:wordWrap/>
              <w:overflowPunct/>
              <w:topLinePunct w:val="0"/>
              <w:autoSpaceDE/>
              <w:autoSpaceDN/>
              <w:bidi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（1）施工期噪声</w:t>
            </w:r>
          </w:p>
          <w:p>
            <w:pPr>
              <w:keepNext w:val="0"/>
              <w:keepLines w:val="0"/>
              <w:pageBreakBefore w:val="0"/>
              <w:kinsoku/>
              <w:wordWrap/>
              <w:overflowPunct/>
              <w:topLinePunct w:val="0"/>
              <w:autoSpaceDE/>
              <w:autoSpaceDN/>
              <w:bidi w:val="0"/>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施工场地噪声主要是施工机械噪声、物料装卸碰撞噪声及施工人员人为噪声。</w:t>
            </w:r>
          </w:p>
          <w:p>
            <w:pPr>
              <w:keepNext w:val="0"/>
              <w:keepLines w:val="0"/>
              <w:pageBreakBefore w:val="0"/>
              <w:kinsoku/>
              <w:wordWrap/>
              <w:overflowPunct/>
              <w:topLinePunct w:val="0"/>
              <w:autoSpaceDE/>
              <w:autoSpaceDN/>
              <w:bidi w:val="0"/>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（2）施工期废气</w:t>
            </w:r>
          </w:p>
          <w:p>
            <w:pPr>
              <w:keepNext w:val="0"/>
              <w:keepLines w:val="0"/>
              <w:pageBreakBefore w:val="0"/>
              <w:kinsoku/>
              <w:wordWrap/>
              <w:overflowPunct/>
              <w:topLinePunct w:val="0"/>
              <w:autoSpaceDE/>
              <w:autoSpaceDN/>
              <w:bidi w:val="0"/>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本项目施工期废气主要来自土方的挖掘扬尘及现场堆放扬尘；施工垃圾的清理及堆放扬尘；人来车往造成的现场道路扬尘以及施工机械和交通运输车辆产生的尾气。</w:t>
            </w:r>
          </w:p>
          <w:p>
            <w:pPr>
              <w:keepNext w:val="0"/>
              <w:keepLines w:val="0"/>
              <w:pageBreakBefore w:val="0"/>
              <w:kinsoku/>
              <w:wordWrap/>
              <w:overflowPunct/>
              <w:topLinePunct w:val="0"/>
              <w:autoSpaceDE/>
              <w:autoSpaceDN/>
              <w:bidi w:val="0"/>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（3）施工期废水</w:t>
            </w:r>
          </w:p>
          <w:p>
            <w:pPr>
              <w:keepNext w:val="0"/>
              <w:keepLines w:val="0"/>
              <w:pageBreakBefore w:val="0"/>
              <w:kinsoku/>
              <w:wordWrap/>
              <w:overflowPunct/>
              <w:topLinePunct w:val="0"/>
              <w:autoSpaceDE/>
              <w:autoSpaceDN/>
              <w:bidi w:val="0"/>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施工期产生的废水包括施工人员的生活污水和建筑施工废水。</w:t>
            </w:r>
          </w:p>
          <w:p>
            <w:pPr>
              <w:keepNext w:val="0"/>
              <w:keepLines w:val="0"/>
              <w:pageBreakBefore w:val="0"/>
              <w:kinsoku/>
              <w:wordWrap/>
              <w:overflowPunct/>
              <w:topLinePunct w:val="0"/>
              <w:autoSpaceDE/>
              <w:autoSpaceDN/>
              <w:bidi w:val="0"/>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（4）施工期固体废物</w:t>
            </w:r>
          </w:p>
          <w:p>
            <w:pPr>
              <w:keepNext w:val="0"/>
              <w:keepLines w:val="0"/>
              <w:pageBreakBefore w:val="0"/>
              <w:kinsoku/>
              <w:wordWrap/>
              <w:overflowPunct/>
              <w:topLinePunct w:val="0"/>
              <w:autoSpaceDE/>
              <w:autoSpaceDN/>
              <w:bidi w:val="0"/>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施工期固体废弃物主要为施工人员的生活垃圾、施工渣土及废弃的各种材料。</w:t>
            </w:r>
          </w:p>
          <w:p>
            <w:pPr>
              <w:keepNext w:val="0"/>
              <w:keepLines w:val="0"/>
              <w:pageBreakBefore w:val="0"/>
              <w:kinsoku/>
              <w:wordWrap/>
              <w:overflowPunct/>
              <w:topLinePunct w:val="0"/>
              <w:autoSpaceDE/>
              <w:autoSpaceDN/>
              <w:bidi w:val="0"/>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（5）施工期交通影响</w:t>
            </w:r>
          </w:p>
          <w:p>
            <w:pPr>
              <w:keepNext w:val="0"/>
              <w:keepLines w:val="0"/>
              <w:pageBreakBefore w:val="0"/>
              <w:kinsoku/>
              <w:wordWrap/>
              <w:overflowPunct/>
              <w:topLinePunct w:val="0"/>
              <w:autoSpaceDE/>
              <w:autoSpaceDN/>
              <w:bidi w:val="0"/>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工程建设时，不涉及外接路口，对交通无影响。</w:t>
            </w:r>
          </w:p>
          <w:p>
            <w:pPr>
              <w:keepNext w:val="0"/>
              <w:keepLines w:val="0"/>
              <w:pageBreakBefore w:val="0"/>
              <w:kinsoku/>
              <w:wordWrap/>
              <w:overflowPunct/>
              <w:topLinePunct w:val="0"/>
              <w:autoSpaceDE/>
              <w:autoSpaceDN/>
              <w:bidi w:val="0"/>
              <w:spacing w:line="360" w:lineRule="auto"/>
              <w:ind w:firstLine="482" w:firstLineChars="200"/>
              <w:rPr>
                <w:rFonts w:hint="default" w:ascii="Times New Roman" w:hAnsi="Times New Roman" w:eastAsia="黑体" w:cs="Times New Roman"/>
                <w:b/>
                <w:bCs/>
                <w:color w:val="auto"/>
                <w:sz w:val="24"/>
                <w:szCs w:val="24"/>
                <w:lang w:val="en-US" w:eastAsia="zh-CN"/>
              </w:rPr>
            </w:pPr>
            <w:r>
              <w:rPr>
                <w:rFonts w:hint="default" w:ascii="Times New Roman" w:hAnsi="Times New Roman" w:eastAsia="黑体" w:cs="Times New Roman"/>
                <w:b/>
                <w:bCs/>
                <w:color w:val="auto"/>
                <w:sz w:val="24"/>
                <w:szCs w:val="24"/>
                <w:lang w:val="en-US" w:eastAsia="zh-CN"/>
              </w:rPr>
              <w:t>2、营运期</w:t>
            </w:r>
          </w:p>
          <w:p>
            <w:pPr>
              <w:keepNext w:val="0"/>
              <w:keepLines w:val="0"/>
              <w:pageBreakBefore w:val="0"/>
              <w:kinsoku/>
              <w:wordWrap/>
              <w:overflowPunct/>
              <w:topLinePunct w:val="0"/>
              <w:autoSpaceDE/>
              <w:autoSpaceDN/>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本项目营运期产生的污</w:t>
            </w:r>
            <w:r>
              <w:rPr>
                <w:rFonts w:hint="default" w:ascii="Times New Roman" w:hAnsi="Times New Roman" w:eastAsia="宋体" w:cs="Times New Roman"/>
                <w:color w:val="auto"/>
                <w:sz w:val="24"/>
                <w:szCs w:val="24"/>
                <w:highlight w:val="none"/>
                <w:lang w:val="en-US" w:eastAsia="zh-CN"/>
              </w:rPr>
              <w:t>染物包括</w:t>
            </w:r>
            <w:r>
              <w:rPr>
                <w:rFonts w:hint="eastAsia" w:cs="Times New Roman"/>
                <w:color w:val="auto"/>
                <w:sz w:val="24"/>
                <w:szCs w:val="24"/>
                <w:highlight w:val="none"/>
                <w:lang w:val="en-US" w:eastAsia="zh-CN"/>
              </w:rPr>
              <w:t>废水、废气、</w:t>
            </w:r>
            <w:r>
              <w:rPr>
                <w:rFonts w:hint="default" w:ascii="Times New Roman" w:hAnsi="Times New Roman" w:eastAsia="宋体" w:cs="Times New Roman"/>
                <w:color w:val="auto"/>
                <w:sz w:val="24"/>
                <w:szCs w:val="24"/>
                <w:highlight w:val="none"/>
                <w:lang w:val="en-US" w:eastAsia="zh-CN"/>
              </w:rPr>
              <w:t>噪声和固体废物。</w:t>
            </w:r>
          </w:p>
          <w:p>
            <w:pPr>
              <w:keepNext w:val="0"/>
              <w:keepLines w:val="0"/>
              <w:pageBreakBefore w:val="0"/>
              <w:kinsoku/>
              <w:wordWrap/>
              <w:overflowPunct/>
              <w:topLinePunct w:val="0"/>
              <w:autoSpaceDE/>
              <w:autoSpaceDN/>
              <w:bidi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（1）废水</w:t>
            </w:r>
          </w:p>
          <w:p>
            <w:pPr>
              <w:keepNext w:val="0"/>
              <w:keepLines w:val="0"/>
              <w:pageBreakBefore w:val="0"/>
              <w:kinsoku/>
              <w:wordWrap/>
              <w:overflowPunct/>
              <w:topLinePunct w:val="0"/>
              <w:autoSpaceDE/>
              <w:autoSpaceDN/>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新鲜水经软化水制备系统软化后成为软化水，在软化水制备过程中会产生软化水制备废水</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燃气锅炉加热的过程中会产生锅炉废水</w:t>
            </w:r>
            <w:r>
              <w:rPr>
                <w:rFonts w:hint="eastAsia" w:cs="Times New Roman"/>
                <w:color w:val="auto"/>
                <w:sz w:val="24"/>
                <w:szCs w:val="24"/>
                <w:lang w:val="en-US" w:eastAsia="zh-CN"/>
              </w:rPr>
              <w:t>；职工生活产生的废水</w:t>
            </w:r>
            <w:r>
              <w:rPr>
                <w:rFonts w:hint="default" w:ascii="Times New Roman" w:hAnsi="Times New Roman" w:eastAsia="宋体" w:cs="Times New Roman"/>
                <w:color w:val="auto"/>
                <w:sz w:val="24"/>
                <w:szCs w:val="24"/>
                <w:lang w:val="en-US" w:eastAsia="zh-CN"/>
              </w:rPr>
              <w:t>。</w:t>
            </w:r>
          </w:p>
          <w:p>
            <w:pPr>
              <w:keepNext w:val="0"/>
              <w:keepLines w:val="0"/>
              <w:pageBreakBefore w:val="0"/>
              <w:kinsoku/>
              <w:wordWrap/>
              <w:overflowPunct/>
              <w:topLinePunct w:val="0"/>
              <w:autoSpaceDE/>
              <w:autoSpaceDN/>
              <w:bidi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（2）废气</w:t>
            </w:r>
          </w:p>
          <w:p>
            <w:pPr>
              <w:keepNext w:val="0"/>
              <w:keepLines w:val="0"/>
              <w:pageBreakBefore w:val="0"/>
              <w:kinsoku/>
              <w:wordWrap/>
              <w:overflowPunct/>
              <w:topLinePunct w:val="0"/>
              <w:autoSpaceDE/>
              <w:autoSpaceDN/>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燃气锅炉</w:t>
            </w:r>
            <w:r>
              <w:rPr>
                <w:rFonts w:hint="default" w:ascii="Times New Roman" w:hAnsi="Times New Roman" w:cs="Times New Roman"/>
                <w:color w:val="auto"/>
                <w:sz w:val="24"/>
                <w:szCs w:val="24"/>
                <w:lang w:val="en-US" w:eastAsia="zh-CN"/>
              </w:rPr>
              <w:t>天然气</w:t>
            </w:r>
            <w:r>
              <w:rPr>
                <w:rFonts w:hint="default" w:ascii="Times New Roman" w:hAnsi="Times New Roman" w:eastAsia="宋体" w:cs="Times New Roman"/>
                <w:color w:val="auto"/>
                <w:sz w:val="24"/>
                <w:szCs w:val="24"/>
                <w:lang w:val="en-US" w:eastAsia="zh-CN"/>
              </w:rPr>
              <w:t>燃烧的过程中会产生废气。</w:t>
            </w:r>
          </w:p>
          <w:p>
            <w:pPr>
              <w:keepNext w:val="0"/>
              <w:keepLines w:val="0"/>
              <w:pageBreakBefore w:val="0"/>
              <w:kinsoku/>
              <w:wordWrap/>
              <w:overflowPunct/>
              <w:topLinePunct w:val="0"/>
              <w:autoSpaceDE/>
              <w:autoSpaceDN/>
              <w:bidi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（3）噪声</w:t>
            </w:r>
          </w:p>
          <w:p>
            <w:pPr>
              <w:keepNext w:val="0"/>
              <w:keepLines w:val="0"/>
              <w:pageBreakBefore w:val="0"/>
              <w:kinsoku/>
              <w:wordWrap/>
              <w:overflowPunct/>
              <w:topLinePunct w:val="0"/>
              <w:autoSpaceDE/>
              <w:autoSpaceDN/>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燃气锅炉加热的过程中</w:t>
            </w:r>
            <w:r>
              <w:rPr>
                <w:rFonts w:hint="default" w:ascii="Times New Roman" w:hAnsi="Times New Roman" w:cs="Times New Roman"/>
                <w:color w:val="auto"/>
                <w:sz w:val="24"/>
                <w:szCs w:val="24"/>
                <w:lang w:val="en-US" w:eastAsia="zh-CN"/>
              </w:rPr>
              <w:t>设备运行</w:t>
            </w:r>
            <w:r>
              <w:rPr>
                <w:rFonts w:hint="default" w:ascii="Times New Roman" w:hAnsi="Times New Roman" w:eastAsia="宋体" w:cs="Times New Roman"/>
                <w:color w:val="auto"/>
                <w:sz w:val="24"/>
                <w:szCs w:val="24"/>
                <w:lang w:val="en-US" w:eastAsia="zh-CN"/>
              </w:rPr>
              <w:t>会产生噪声。</w:t>
            </w:r>
          </w:p>
          <w:p>
            <w:pPr>
              <w:keepNext w:val="0"/>
              <w:keepLines w:val="0"/>
              <w:pageBreakBefore w:val="0"/>
              <w:kinsoku/>
              <w:wordWrap/>
              <w:overflowPunct/>
              <w:topLinePunct w:val="0"/>
              <w:autoSpaceDE/>
              <w:autoSpaceDN/>
              <w:bidi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（4）固体废物</w:t>
            </w:r>
          </w:p>
          <w:p>
            <w:pPr>
              <w:keepNext w:val="0"/>
              <w:keepLines w:val="0"/>
              <w:pageBreakBefore w:val="0"/>
              <w:kinsoku/>
              <w:wordWrap/>
              <w:overflowPunct/>
              <w:topLinePunct w:val="0"/>
              <w:autoSpaceDE/>
              <w:autoSpaceDN/>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cs="Times New Roman"/>
                <w:color w:val="auto"/>
                <w:sz w:val="24"/>
                <w:szCs w:val="24"/>
                <w:highlight w:val="none"/>
                <w:vertAlign w:val="baseline"/>
                <w:lang w:val="en-US" w:eastAsia="zh-CN"/>
              </w:rPr>
              <w:t>职工生活垃圾</w:t>
            </w:r>
            <w:r>
              <w:rPr>
                <w:rFonts w:hint="default" w:ascii="Times New Roman" w:hAnsi="Times New Roman" w:eastAsia="宋体" w:cs="Times New Roman"/>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38" w:hRule="atLeast"/>
          <w:jc w:val="center"/>
        </w:trPr>
        <w:tc>
          <w:tcPr>
            <w:tcW w:w="427" w:type="dxa"/>
            <w:tcBorders>
              <w:tl2br w:val="nil"/>
              <w:tr2bl w:val="nil"/>
            </w:tcBorders>
            <w:noWrap w:val="0"/>
            <w:vAlign w:val="center"/>
          </w:tcPr>
          <w:p>
            <w:pPr>
              <w:pStyle w:val="19"/>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480" w:firstLineChars="20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kern w:val="2"/>
                <w:sz w:val="24"/>
                <w:szCs w:val="24"/>
              </w:rPr>
              <w:t>与项目有关的原有环境污染问题</w:t>
            </w:r>
          </w:p>
        </w:tc>
        <w:tc>
          <w:tcPr>
            <w:tcW w:w="8644" w:type="dxa"/>
            <w:tcBorders>
              <w:tl2br w:val="nil"/>
              <w:tr2bl w:val="nil"/>
            </w:tcBorders>
            <w:noWrap w:val="0"/>
            <w:vAlign w:val="top"/>
          </w:tcPr>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eastAsia" w:eastAsia="宋体"/>
                <w:color w:val="auto"/>
                <w:lang w:val="en-US" w:eastAsia="zh-CN"/>
              </w:rPr>
            </w:pPr>
            <w:r>
              <w:rPr>
                <w:rFonts w:hint="eastAsia"/>
                <w:color w:val="auto"/>
                <w:sz w:val="24"/>
                <w:szCs w:val="24"/>
                <w:lang w:val="en-US" w:eastAsia="zh-CN"/>
              </w:rPr>
              <w:t>山东黄河龙集团有限公司与山东海奥斯生物科技股份有限公司同属于山东艺林财务咨询有限公司投资建设。</w:t>
            </w:r>
            <w:r>
              <w:rPr>
                <w:rFonts w:hint="default"/>
                <w:color w:val="auto"/>
                <w:sz w:val="24"/>
                <w:szCs w:val="24"/>
                <w:lang w:val="en-US" w:eastAsia="zh-CN"/>
              </w:rPr>
              <w:t>山东黄河龙集团未建设废水处理站，废水处理依托</w:t>
            </w:r>
            <w:r>
              <w:rPr>
                <w:rFonts w:hint="eastAsia"/>
                <w:color w:val="auto"/>
                <w:sz w:val="24"/>
                <w:szCs w:val="24"/>
                <w:lang w:val="en-US" w:eastAsia="zh-CN"/>
              </w:rPr>
              <w:t>山东海奥斯生物科技股份有限公司</w:t>
            </w:r>
            <w:r>
              <w:rPr>
                <w:rFonts w:hint="default"/>
                <w:color w:val="auto"/>
                <w:sz w:val="24"/>
                <w:szCs w:val="24"/>
                <w:lang w:val="en-US" w:eastAsia="zh-CN"/>
              </w:rPr>
              <w:t>废水处理站处理。</w:t>
            </w:r>
            <w:r>
              <w:rPr>
                <w:rFonts w:hint="eastAsia"/>
                <w:color w:val="auto"/>
                <w:lang w:eastAsia="zh-CN"/>
              </w:rPr>
              <w:t>本项目由黄河龙集团有限公司投资建设，现有项目污染物产排情况只详细介绍黄河龙集团有限公司，海奥斯生物科技股份有限公司简单介绍。</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jc w:val="left"/>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一、山东黄河龙集团有限公司</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eastAsia" w:ascii="黑体" w:hAnsi="黑体" w:eastAsia="黑体" w:cs="黑体"/>
                <w:b/>
                <w:bCs/>
                <w:color w:val="auto"/>
                <w:sz w:val="24"/>
                <w:szCs w:val="24"/>
                <w:lang w:val="en-US" w:eastAsia="zh-CN"/>
              </w:rPr>
            </w:pPr>
            <w:r>
              <w:rPr>
                <w:rFonts w:hint="default"/>
                <w:color w:val="auto"/>
                <w:sz w:val="24"/>
                <w:szCs w:val="24"/>
                <w:lang w:val="en-US" w:eastAsia="zh-CN"/>
              </w:rPr>
              <w:t>山东黄河龙集团有限公司现有生产项目为“粮食酒酿造车间搬迁及技改项目”、“标准化物流仓库及包装车间技改项目”、“白酒品质提升技术项目”。</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ascii="黑体" w:hAnsi="黑体" w:eastAsia="黑体" w:cs="黑体"/>
                <w:b/>
                <w:bCs/>
                <w:color w:val="auto"/>
                <w:sz w:val="24"/>
                <w:szCs w:val="24"/>
              </w:rPr>
            </w:pPr>
            <w:r>
              <w:rPr>
                <w:rFonts w:hint="eastAsia" w:ascii="黑体" w:hAnsi="黑体" w:eastAsia="黑体" w:cs="黑体"/>
                <w:b/>
                <w:bCs/>
                <w:color w:val="auto"/>
                <w:sz w:val="24"/>
                <w:szCs w:val="24"/>
                <w:lang w:val="en-US" w:eastAsia="zh-CN"/>
              </w:rPr>
              <w:t>表21 山东黄河龙集团</w:t>
            </w:r>
            <w:r>
              <w:rPr>
                <w:rFonts w:hint="eastAsia" w:ascii="黑体" w:hAnsi="黑体" w:eastAsia="黑体" w:cs="黑体"/>
                <w:b/>
                <w:bCs/>
                <w:color w:val="auto"/>
                <w:sz w:val="24"/>
                <w:szCs w:val="24"/>
              </w:rPr>
              <w:t>有限公司现有工程环保手续一览表</w:t>
            </w:r>
          </w:p>
          <w:tbl>
            <w:tblPr>
              <w:tblStyle w:val="20"/>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68"/>
              <w:gridCol w:w="1142"/>
              <w:gridCol w:w="1114"/>
              <w:gridCol w:w="1256"/>
              <w:gridCol w:w="2117"/>
              <w:gridCol w:w="1350"/>
              <w:gridCol w:w="6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268" w:type="dxa"/>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360" w:lineRule="atLeast"/>
                    <w:ind w:firstLine="0" w:firstLineChars="0"/>
                    <w:contextualSpacing/>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性质</w:t>
                  </w:r>
                </w:p>
              </w:tc>
              <w:tc>
                <w:tcPr>
                  <w:tcW w:w="1142" w:type="dxa"/>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360" w:lineRule="atLeast"/>
                    <w:ind w:firstLine="0" w:firstLineChars="0"/>
                    <w:contextualSpacing/>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项目名称</w:t>
                  </w:r>
                </w:p>
              </w:tc>
              <w:tc>
                <w:tcPr>
                  <w:tcW w:w="1114" w:type="dxa"/>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360" w:lineRule="atLeast"/>
                    <w:ind w:firstLine="0" w:firstLineChars="0"/>
                    <w:contextualSpacing/>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环评批复情况</w:t>
                  </w:r>
                </w:p>
              </w:tc>
              <w:tc>
                <w:tcPr>
                  <w:tcW w:w="1256" w:type="dxa"/>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360" w:lineRule="atLeast"/>
                    <w:ind w:firstLine="0" w:firstLineChars="0"/>
                    <w:contextualSpacing/>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竣工环境保护验收</w:t>
                  </w:r>
                </w:p>
              </w:tc>
              <w:tc>
                <w:tcPr>
                  <w:tcW w:w="2117" w:type="dxa"/>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360" w:lineRule="atLeast"/>
                    <w:ind w:firstLine="0" w:firstLineChars="0"/>
                    <w:contextualSpacing/>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批复建设内容</w:t>
                  </w:r>
                </w:p>
              </w:tc>
              <w:tc>
                <w:tcPr>
                  <w:tcW w:w="1350" w:type="dxa"/>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360" w:lineRule="atLeast"/>
                    <w:ind w:firstLine="0" w:firstLineChars="0"/>
                    <w:contextualSpacing/>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现状</w:t>
                  </w:r>
                </w:p>
              </w:tc>
              <w:tc>
                <w:tcPr>
                  <w:tcW w:w="690" w:type="dxa"/>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360" w:lineRule="atLeast"/>
                    <w:ind w:firstLine="0" w:firstLineChars="0"/>
                    <w:contextualSpacing/>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60" w:hRule="atLeast"/>
                <w:jc w:val="center"/>
              </w:trPr>
              <w:tc>
                <w:tcPr>
                  <w:tcW w:w="268" w:type="dxa"/>
                  <w:vMerge w:val="restart"/>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360" w:lineRule="atLeast"/>
                    <w:ind w:firstLine="0" w:firstLineChars="0"/>
                    <w:contextualSpacing/>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现有项目</w:t>
                  </w:r>
                </w:p>
              </w:tc>
              <w:tc>
                <w:tcPr>
                  <w:tcW w:w="1142" w:type="dxa"/>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360" w:lineRule="atLeast"/>
                    <w:ind w:firstLine="0" w:firstLineChars="0"/>
                    <w:contextualSpacing/>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白酒品质提升技术项目</w:t>
                  </w:r>
                </w:p>
              </w:tc>
              <w:tc>
                <w:tcPr>
                  <w:tcW w:w="1114" w:type="dxa"/>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360" w:lineRule="atLeast"/>
                    <w:ind w:firstLine="0" w:firstLineChars="0"/>
                    <w:contextualSpacing/>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桓环许字</w:t>
                  </w:r>
                  <w:r>
                    <w:rPr>
                      <w:rFonts w:hint="default" w:ascii="Times New Roman" w:hAnsi="Times New Roman" w:eastAsia="宋体" w:cs="Times New Roman"/>
                      <w:color w:val="auto"/>
                      <w:sz w:val="21"/>
                      <w:szCs w:val="21"/>
                    </w:rPr>
                    <w:t>[201</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12</w:t>
                  </w:r>
                  <w:r>
                    <w:rPr>
                      <w:rFonts w:hint="default" w:ascii="Times New Roman" w:hAnsi="Times New Roman" w:eastAsia="宋体" w:cs="Times New Roman"/>
                      <w:color w:val="auto"/>
                      <w:sz w:val="21"/>
                      <w:szCs w:val="21"/>
                    </w:rPr>
                    <w:t>号</w:t>
                  </w:r>
                </w:p>
              </w:tc>
              <w:tc>
                <w:tcPr>
                  <w:tcW w:w="1256" w:type="dxa"/>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360" w:lineRule="atLeast"/>
                    <w:ind w:firstLine="0" w:firstLineChars="0"/>
                    <w:contextualSpacing/>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桓环验</w:t>
                  </w:r>
                  <w:r>
                    <w:rPr>
                      <w:rFonts w:hint="default" w:ascii="Times New Roman" w:hAnsi="Times New Roman" w:eastAsia="宋体" w:cs="Times New Roman"/>
                      <w:color w:val="auto"/>
                      <w:sz w:val="21"/>
                      <w:szCs w:val="21"/>
                    </w:rPr>
                    <w:t>[201</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026</w:t>
                  </w:r>
                  <w:r>
                    <w:rPr>
                      <w:rFonts w:hint="default" w:ascii="Times New Roman" w:hAnsi="Times New Roman" w:eastAsia="宋体" w:cs="Times New Roman"/>
                      <w:color w:val="auto"/>
                      <w:sz w:val="21"/>
                      <w:szCs w:val="21"/>
                    </w:rPr>
                    <w:t>号</w:t>
                  </w:r>
                </w:p>
              </w:tc>
              <w:tc>
                <w:tcPr>
                  <w:tcW w:w="2117" w:type="dxa"/>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360" w:lineRule="atLeast"/>
                    <w:ind w:firstLine="0" w:firstLineChars="0"/>
                    <w:contextualSpacing/>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年产白酒</w:t>
                  </w:r>
                  <w:r>
                    <w:rPr>
                      <w:rFonts w:hint="default" w:ascii="Times New Roman" w:hAnsi="Times New Roman" w:eastAsia="宋体" w:cs="Times New Roman"/>
                      <w:color w:val="auto"/>
                      <w:sz w:val="21"/>
                      <w:szCs w:val="21"/>
                      <w:lang w:val="en-US" w:eastAsia="zh-CN"/>
                    </w:rPr>
                    <w:t>4200吨品质提升技术项目</w:t>
                  </w:r>
                </w:p>
              </w:tc>
              <w:tc>
                <w:tcPr>
                  <w:tcW w:w="1350" w:type="dxa"/>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360" w:lineRule="atLeast"/>
                    <w:ind w:firstLine="0" w:firstLineChars="0"/>
                    <w:contextualSpacing/>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正常运行</w:t>
                  </w:r>
                </w:p>
              </w:tc>
              <w:tc>
                <w:tcPr>
                  <w:tcW w:w="690" w:type="dxa"/>
                  <w:tcBorders>
                    <w:tl2br w:val="nil"/>
                    <w:tr2bl w:val="nil"/>
                  </w:tcBorders>
                  <w:noWrap w:val="0"/>
                  <w:vAlign w:val="center"/>
                </w:tcPr>
                <w:p>
                  <w:pPr>
                    <w:pStyle w:val="33"/>
                    <w:keepNext w:val="0"/>
                    <w:keepLines w:val="0"/>
                    <w:pageBreakBefore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60" w:hRule="atLeast"/>
                <w:jc w:val="center"/>
              </w:trPr>
              <w:tc>
                <w:tcPr>
                  <w:tcW w:w="268" w:type="dxa"/>
                  <w:vMerge w:val="continue"/>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360" w:lineRule="atLeast"/>
                    <w:ind w:firstLine="0" w:firstLineChars="0"/>
                    <w:contextualSpacing/>
                    <w:textAlignment w:val="auto"/>
                    <w:rPr>
                      <w:rFonts w:hint="default" w:ascii="Times New Roman" w:hAnsi="Times New Roman" w:eastAsia="宋体" w:cs="Times New Roman"/>
                      <w:color w:val="auto"/>
                      <w:sz w:val="21"/>
                      <w:szCs w:val="21"/>
                    </w:rPr>
                  </w:pPr>
                </w:p>
              </w:tc>
              <w:tc>
                <w:tcPr>
                  <w:tcW w:w="1142" w:type="dxa"/>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360" w:lineRule="atLeast"/>
                    <w:ind w:firstLine="0" w:firstLineChars="0"/>
                    <w:contextualSpacing/>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标准化物流仓库及包装车间技改项目</w:t>
                  </w:r>
                </w:p>
              </w:tc>
              <w:tc>
                <w:tcPr>
                  <w:tcW w:w="1114" w:type="dxa"/>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360" w:lineRule="atLeast"/>
                    <w:ind w:firstLine="0" w:firstLineChars="0"/>
                    <w:contextualSpacing/>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桓环许字</w:t>
                  </w:r>
                  <w:r>
                    <w:rPr>
                      <w:rFonts w:hint="default" w:ascii="Times New Roman" w:hAnsi="Times New Roman" w:eastAsia="宋体" w:cs="Times New Roman"/>
                      <w:color w:val="auto"/>
                      <w:sz w:val="21"/>
                      <w:szCs w:val="21"/>
                    </w:rPr>
                    <w:t>[201</w:t>
                  </w:r>
                  <w:r>
                    <w:rPr>
                      <w:rFonts w:hint="default"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131</w:t>
                  </w:r>
                  <w:r>
                    <w:rPr>
                      <w:rFonts w:hint="default" w:ascii="Times New Roman" w:hAnsi="Times New Roman" w:eastAsia="宋体" w:cs="Times New Roman"/>
                      <w:color w:val="auto"/>
                      <w:sz w:val="21"/>
                      <w:szCs w:val="21"/>
                    </w:rPr>
                    <w:t>号</w:t>
                  </w:r>
                </w:p>
              </w:tc>
              <w:tc>
                <w:tcPr>
                  <w:tcW w:w="1256" w:type="dxa"/>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360" w:lineRule="atLeast"/>
                    <w:ind w:firstLine="0" w:firstLineChars="0"/>
                    <w:contextualSpacing/>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2020年已通过自主验收</w:t>
                  </w:r>
                </w:p>
              </w:tc>
              <w:tc>
                <w:tcPr>
                  <w:tcW w:w="2117" w:type="dxa"/>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360" w:lineRule="atLeast"/>
                    <w:ind w:firstLine="0" w:firstLineChars="0"/>
                    <w:contextualSpacing/>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新增年分装白酒</w:t>
                  </w:r>
                  <w:r>
                    <w:rPr>
                      <w:rFonts w:hint="default" w:ascii="Times New Roman" w:hAnsi="Times New Roman" w:eastAsia="宋体" w:cs="Times New Roman"/>
                      <w:color w:val="auto"/>
                      <w:sz w:val="21"/>
                      <w:szCs w:val="21"/>
                      <w:lang w:val="en-US" w:eastAsia="zh-CN"/>
                    </w:rPr>
                    <w:t>200吨，年白酒罐装总能力达到3800吨</w:t>
                  </w:r>
                </w:p>
              </w:tc>
              <w:tc>
                <w:tcPr>
                  <w:tcW w:w="1350" w:type="dxa"/>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360" w:lineRule="atLeast"/>
                    <w:ind w:firstLine="0" w:firstLineChars="0"/>
                    <w:contextualSpacing/>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正常运行</w:t>
                  </w:r>
                </w:p>
              </w:tc>
              <w:tc>
                <w:tcPr>
                  <w:tcW w:w="690" w:type="dxa"/>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360" w:lineRule="atLeast"/>
                    <w:ind w:firstLine="0" w:firstLineChars="0"/>
                    <w:contextualSpacing/>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62" w:hRule="atLeast"/>
                <w:jc w:val="center"/>
              </w:trPr>
              <w:tc>
                <w:tcPr>
                  <w:tcW w:w="268" w:type="dxa"/>
                  <w:vMerge w:val="continue"/>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360" w:lineRule="atLeast"/>
                    <w:ind w:firstLine="0" w:firstLineChars="0"/>
                    <w:contextualSpacing/>
                    <w:textAlignment w:val="auto"/>
                    <w:rPr>
                      <w:rFonts w:hint="default" w:ascii="Times New Roman" w:hAnsi="Times New Roman" w:eastAsia="宋体" w:cs="Times New Roman"/>
                      <w:color w:val="auto"/>
                      <w:sz w:val="21"/>
                      <w:szCs w:val="21"/>
                    </w:rPr>
                  </w:pPr>
                </w:p>
              </w:tc>
              <w:tc>
                <w:tcPr>
                  <w:tcW w:w="1142" w:type="dxa"/>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360" w:lineRule="atLeast"/>
                    <w:ind w:firstLine="0" w:firstLineChars="0"/>
                    <w:contextualSpacing/>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粮食酒酿造车间搬迁及技改项目</w:t>
                  </w:r>
                </w:p>
              </w:tc>
              <w:tc>
                <w:tcPr>
                  <w:tcW w:w="1114" w:type="dxa"/>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360" w:lineRule="atLeast"/>
                    <w:ind w:firstLine="0" w:firstLineChars="0"/>
                    <w:contextualSpacing/>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淄环审</w:t>
                  </w:r>
                  <w:r>
                    <w:rPr>
                      <w:rFonts w:hint="default" w:ascii="Times New Roman" w:hAnsi="Times New Roman" w:eastAsia="宋体" w:cs="Times New Roman"/>
                      <w:color w:val="auto"/>
                      <w:sz w:val="21"/>
                      <w:szCs w:val="21"/>
                    </w:rPr>
                    <w:t>[201</w:t>
                  </w:r>
                  <w:r>
                    <w:rPr>
                      <w:rFonts w:hint="default"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42</w:t>
                  </w:r>
                  <w:r>
                    <w:rPr>
                      <w:rFonts w:hint="default" w:ascii="Times New Roman" w:hAnsi="Times New Roman" w:eastAsia="宋体" w:cs="Times New Roman"/>
                      <w:color w:val="auto"/>
                      <w:sz w:val="21"/>
                      <w:szCs w:val="21"/>
                    </w:rPr>
                    <w:t>号</w:t>
                  </w:r>
                </w:p>
              </w:tc>
              <w:tc>
                <w:tcPr>
                  <w:tcW w:w="1256" w:type="dxa"/>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360" w:lineRule="atLeast"/>
                    <w:ind w:firstLine="0" w:firstLineChars="0"/>
                    <w:contextualSpacing/>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2021.12.12自主验收</w:t>
                  </w:r>
                </w:p>
              </w:tc>
              <w:tc>
                <w:tcPr>
                  <w:tcW w:w="2117" w:type="dxa"/>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360" w:lineRule="atLeast"/>
                    <w:ind w:firstLine="0" w:firstLineChars="0"/>
                    <w:contextualSpacing/>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生产原酒</w:t>
                  </w:r>
                  <w:r>
                    <w:rPr>
                      <w:rFonts w:hint="default" w:ascii="Times New Roman" w:hAnsi="Times New Roman" w:eastAsia="宋体" w:cs="Times New Roman"/>
                      <w:color w:val="auto"/>
                      <w:sz w:val="21"/>
                      <w:szCs w:val="21"/>
                      <w:lang w:val="en-US" w:eastAsia="zh-CN"/>
                    </w:rPr>
                    <w:t>1400吨、窖池区7020m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、全自动粉碎车间280m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、扩建罐区670m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、粮仓420m</w:t>
                  </w:r>
                  <w:r>
                    <w:rPr>
                      <w:rFonts w:hint="default" w:ascii="Times New Roman" w:hAnsi="Times New Roman" w:eastAsia="宋体" w:cs="Times New Roman"/>
                      <w:color w:val="auto"/>
                      <w:sz w:val="21"/>
                      <w:szCs w:val="21"/>
                      <w:vertAlign w:val="superscript"/>
                      <w:lang w:val="en-US" w:eastAsia="zh-CN"/>
                    </w:rPr>
                    <w:t>2</w:t>
                  </w:r>
                </w:p>
              </w:tc>
              <w:tc>
                <w:tcPr>
                  <w:tcW w:w="1350" w:type="dxa"/>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360" w:lineRule="atLeast"/>
                    <w:ind w:firstLine="0" w:firstLineChars="0"/>
                    <w:contextualSpacing/>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正常运行</w:t>
                  </w:r>
                </w:p>
              </w:tc>
              <w:tc>
                <w:tcPr>
                  <w:tcW w:w="690" w:type="dxa"/>
                  <w:tcBorders>
                    <w:tl2br w:val="nil"/>
                    <w:tr2bl w:val="nil"/>
                  </w:tcBorders>
                  <w:noWrap w:val="0"/>
                  <w:vAlign w:val="center"/>
                </w:tcPr>
                <w:p>
                  <w:pPr>
                    <w:pStyle w:val="32"/>
                    <w:keepNext w:val="0"/>
                    <w:keepLines w:val="0"/>
                    <w:pageBreakBefore w:val="0"/>
                    <w:kinsoku/>
                    <w:wordWrap/>
                    <w:overflowPunct/>
                    <w:topLinePunct w:val="0"/>
                    <w:autoSpaceDE/>
                    <w:autoSpaceDN/>
                    <w:bidi w:val="0"/>
                    <w:adjustRightInd/>
                    <w:snapToGrid/>
                    <w:spacing w:line="360" w:lineRule="atLeast"/>
                    <w:ind w:firstLine="0" w:firstLineChars="0"/>
                    <w:contextualSpacing/>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left"/>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1、现有项目污染物排放情况</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2" w:firstLineChars="200"/>
              <w:jc w:val="left"/>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1.1废水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lang w:val="en-US" w:eastAsia="zh-CN"/>
              </w:rPr>
            </w:pPr>
            <w:r>
              <w:rPr>
                <w:rFonts w:hint="default"/>
                <w:color w:val="auto"/>
                <w:sz w:val="24"/>
                <w:szCs w:val="24"/>
                <w:lang w:val="en-US" w:eastAsia="zh-CN"/>
              </w:rPr>
              <w:t>厂区运营期间废水主要为酿造废水、生产废水、地面冲洗水、生活污水、洗（冲）瓶废水、反渗透装置废水以及餐饮废水。酿造废水全部回用不得外排；反渗透装置废水、餐饮废水、生产废水、地面冲洗水与生活污水经</w:t>
            </w:r>
            <w:r>
              <w:rPr>
                <w:rFonts w:hint="eastAsia"/>
                <w:color w:val="auto"/>
                <w:sz w:val="24"/>
                <w:szCs w:val="24"/>
                <w:lang w:val="en-US" w:eastAsia="zh-CN"/>
              </w:rPr>
              <w:t>山东海奥斯生物科技股份有限公司</w:t>
            </w:r>
            <w:r>
              <w:rPr>
                <w:rFonts w:hint="default"/>
                <w:color w:val="auto"/>
                <w:sz w:val="24"/>
                <w:szCs w:val="24"/>
                <w:lang w:val="en-US" w:eastAsia="zh-CN"/>
              </w:rPr>
              <w:t>污水处理站处理达标后，经市政污水管网排入光大水务（淄博）有限公司水质净化三分厂进行深度处理。</w:t>
            </w:r>
          </w:p>
          <w:p>
            <w:pPr>
              <w:pStyle w:val="2"/>
              <w:ind w:left="0" w:leftChars="0" w:firstLine="480" w:firstLineChars="0"/>
              <w:rPr>
                <w:rFonts w:hint="eastAsia"/>
                <w:color w:val="0000C7"/>
                <w:sz w:val="24"/>
                <w:szCs w:val="24"/>
                <w:lang w:val="en-US" w:eastAsia="zh-CN"/>
              </w:rPr>
            </w:pPr>
            <w:r>
              <w:rPr>
                <w:rFonts w:hint="eastAsia"/>
                <w:color w:val="0000C7"/>
                <w:sz w:val="24"/>
                <w:szCs w:val="24"/>
                <w:lang w:val="en-US" w:eastAsia="zh-CN"/>
              </w:rPr>
              <w:t>现有项目水平衡图如下：</w:t>
            </w:r>
          </w:p>
          <w:p>
            <w:pPr>
              <w:ind w:firstLine="480"/>
              <w:rPr>
                <w:rFonts w:hint="default"/>
                <w:color w:val="0000C7"/>
                <w:lang w:val="en-US" w:eastAsia="zh-CN"/>
              </w:rPr>
            </w:pPr>
            <w:r>
              <w:rPr>
                <w:rFonts w:hint="default"/>
                <w:color w:val="0000C7"/>
                <w:lang w:val="en-US" w:eastAsia="zh-CN"/>
              </w:rPr>
              <w:object>
                <v:shape id="_x0000_i1031" o:spt="75" type="#_x0000_t75" style="height:532.7pt;width:342.25pt;" o:ole="t" filled="f" o:preferrelative="t" stroked="f" coordsize="21600,21600">
                  <v:path/>
                  <v:fill on="f" focussize="0,0"/>
                  <v:stroke on="f"/>
                  <v:imagedata r:id="rId24" o:title=""/>
                  <o:lock v:ext="edit" aspectratio="f"/>
                  <w10:wrap type="none"/>
                  <w10:anchorlock/>
                </v:shape>
                <o:OLEObject Type="Embed" ProgID="Visio.Drawing.11" ShapeID="_x0000_i1031" DrawAspect="Content" ObjectID="_1468075731" r:id="rId23">
                  <o:LockedField>false</o:LockedField>
                </o:OLEObject>
              </w:objec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lang w:val="en-US" w:eastAsia="zh-CN"/>
              </w:rPr>
            </w:pPr>
            <w:r>
              <w:rPr>
                <w:rFonts w:hint="default" w:ascii="Times New Roman" w:hAnsi="Times New Roman" w:eastAsia="黑体" w:cs="Times New Roman"/>
                <w:b/>
                <w:bCs/>
                <w:color w:val="0000C7"/>
                <w:lang w:val="en-US" w:eastAsia="zh-CN"/>
              </w:rPr>
              <w:t>图2-</w:t>
            </w:r>
            <w:r>
              <w:rPr>
                <w:rFonts w:hint="eastAsia" w:eastAsia="黑体" w:cs="Times New Roman"/>
                <w:b/>
                <w:bCs/>
                <w:color w:val="0000C7"/>
                <w:lang w:val="en-US" w:eastAsia="zh-CN"/>
              </w:rPr>
              <w:t xml:space="preserve">8 </w:t>
            </w:r>
            <w:r>
              <w:rPr>
                <w:rFonts w:hint="default" w:ascii="Times New Roman" w:hAnsi="Times New Roman" w:eastAsia="黑体" w:cs="Times New Roman"/>
                <w:b/>
                <w:bCs/>
                <w:color w:val="0000C7"/>
                <w:lang w:val="en-US" w:eastAsia="zh-CN"/>
              </w:rPr>
              <w:t>黄河龙厂区现有项目水平衡图</w:t>
            </w:r>
            <w:r>
              <w:rPr>
                <w:rFonts w:hint="eastAsia" w:eastAsia="黑体" w:cs="Times New Roman"/>
                <w:b/>
                <w:bCs/>
                <w:color w:val="0000C7"/>
                <w:lang w:val="en-US" w:eastAsia="zh-CN"/>
              </w:rPr>
              <w:t>（t/a）</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现有项目废水处理依托海奥斯污水处理站处理，根据企业提供数据，在线监测数据如下：</w:t>
            </w:r>
          </w:p>
          <w:p>
            <w:pPr>
              <w:keepNext w:val="0"/>
              <w:keepLines w:val="0"/>
              <w:pageBreakBefore w:val="0"/>
              <w:kinsoku/>
              <w:wordWrap/>
              <w:overflowPunct/>
              <w:topLinePunct w:val="0"/>
              <w:autoSpaceDE/>
              <w:autoSpaceDN/>
              <w:bidi w:val="0"/>
              <w:spacing w:line="360" w:lineRule="auto"/>
              <w:jc w:val="center"/>
              <w:rPr>
                <w:rFonts w:hint="default"/>
                <w:b/>
                <w:bCs/>
                <w:color w:val="auto"/>
                <w:sz w:val="24"/>
                <w:szCs w:val="24"/>
                <w:lang w:val="en-US" w:eastAsia="zh-CN"/>
              </w:rPr>
            </w:pPr>
            <w:r>
              <w:rPr>
                <w:rFonts w:hint="default"/>
                <w:b/>
                <w:bCs/>
                <w:color w:val="auto"/>
                <w:sz w:val="24"/>
                <w:szCs w:val="24"/>
                <w:lang w:val="en-US" w:eastAsia="zh-CN"/>
              </w:rPr>
              <w:t>表</w:t>
            </w:r>
            <w:r>
              <w:rPr>
                <w:rFonts w:hint="eastAsia"/>
                <w:b/>
                <w:bCs/>
                <w:color w:val="auto"/>
                <w:sz w:val="24"/>
                <w:szCs w:val="24"/>
                <w:lang w:val="en-US" w:eastAsia="zh-CN"/>
              </w:rPr>
              <w:t xml:space="preserve">22 </w:t>
            </w:r>
            <w:r>
              <w:rPr>
                <w:rFonts w:hint="default"/>
                <w:b/>
                <w:bCs/>
                <w:color w:val="auto"/>
                <w:sz w:val="24"/>
                <w:szCs w:val="24"/>
                <w:lang w:val="en-US" w:eastAsia="zh-CN"/>
              </w:rPr>
              <w:t>现有项目污水处理设施在线监测数据</w:t>
            </w:r>
          </w:p>
          <w:tbl>
            <w:tblPr>
              <w:tblStyle w:val="20"/>
              <w:tblW w:w="793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768"/>
              <w:gridCol w:w="1035"/>
              <w:gridCol w:w="1017"/>
              <w:gridCol w:w="1033"/>
              <w:gridCol w:w="1017"/>
              <w:gridCol w:w="1033"/>
              <w:gridCol w:w="103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55" w:hRule="atLeast"/>
                <w:jc w:val="center"/>
              </w:trPr>
              <w:tc>
                <w:tcPr>
                  <w:tcW w:w="176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时间</w:t>
                  </w:r>
                </w:p>
              </w:tc>
              <w:tc>
                <w:tcPr>
                  <w:tcW w:w="103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化学需氧量(mg/L)</w:t>
                  </w:r>
                </w:p>
              </w:tc>
              <w:tc>
                <w:tcPr>
                  <w:tcW w:w="101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氨氮(mg/L)</w:t>
                  </w:r>
                </w:p>
              </w:tc>
              <w:tc>
                <w:tcPr>
                  <w:tcW w:w="103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总磷(mg/L)</w:t>
                  </w:r>
                </w:p>
              </w:tc>
              <w:tc>
                <w:tcPr>
                  <w:tcW w:w="101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总氮(mg/L)</w:t>
                  </w:r>
                </w:p>
              </w:tc>
              <w:tc>
                <w:tcPr>
                  <w:tcW w:w="103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pH</w:t>
                  </w:r>
                </w:p>
              </w:tc>
              <w:tc>
                <w:tcPr>
                  <w:tcW w:w="1034"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流量(m</w:t>
                  </w:r>
                  <w:r>
                    <w:rPr>
                      <w:rFonts w:hint="default"/>
                      <w:color w:val="auto"/>
                      <w:sz w:val="21"/>
                      <w:szCs w:val="21"/>
                      <w:vertAlign w:val="superscript"/>
                      <w:lang w:val="en-US" w:eastAsia="zh-CN"/>
                    </w:rPr>
                    <w:t>3</w:t>
                  </w:r>
                  <w:r>
                    <w:rPr>
                      <w:rFonts w:hint="default"/>
                      <w:color w:val="auto"/>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55" w:hRule="atLeast"/>
                <w:jc w:val="center"/>
              </w:trPr>
              <w:tc>
                <w:tcPr>
                  <w:tcW w:w="176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2022-09-01</w:t>
                  </w:r>
                </w:p>
              </w:tc>
              <w:tc>
                <w:tcPr>
                  <w:tcW w:w="103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28.8</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2.10</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1.13</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11.6</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7.50</w:t>
                  </w:r>
                </w:p>
              </w:tc>
              <w:tc>
                <w:tcPr>
                  <w:tcW w:w="103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1042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55" w:hRule="atLeast"/>
                <w:jc w:val="center"/>
              </w:trPr>
              <w:tc>
                <w:tcPr>
                  <w:tcW w:w="176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2022-09-02</w:t>
                  </w:r>
                </w:p>
              </w:tc>
              <w:tc>
                <w:tcPr>
                  <w:tcW w:w="103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30.2</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2.27</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0.565</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10.7</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7.56</w:t>
                  </w:r>
                </w:p>
              </w:tc>
              <w:tc>
                <w:tcPr>
                  <w:tcW w:w="103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1060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55" w:hRule="atLeast"/>
                <w:jc w:val="center"/>
              </w:trPr>
              <w:tc>
                <w:tcPr>
                  <w:tcW w:w="176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2022-09-03</w:t>
                  </w:r>
                </w:p>
              </w:tc>
              <w:tc>
                <w:tcPr>
                  <w:tcW w:w="103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28.8</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2.45</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1.33</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10.4</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7.53</w:t>
                  </w:r>
                </w:p>
              </w:tc>
              <w:tc>
                <w:tcPr>
                  <w:tcW w:w="103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1035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55" w:hRule="atLeast"/>
                <w:jc w:val="center"/>
              </w:trPr>
              <w:tc>
                <w:tcPr>
                  <w:tcW w:w="176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2022-09-04</w:t>
                  </w:r>
                </w:p>
              </w:tc>
              <w:tc>
                <w:tcPr>
                  <w:tcW w:w="103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31.0</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2.35</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1.08</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11.1</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7.59</w:t>
                  </w:r>
                </w:p>
              </w:tc>
              <w:tc>
                <w:tcPr>
                  <w:tcW w:w="103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1048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55" w:hRule="atLeast"/>
                <w:jc w:val="center"/>
              </w:trPr>
              <w:tc>
                <w:tcPr>
                  <w:tcW w:w="176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2022-09-05</w:t>
                  </w:r>
                </w:p>
              </w:tc>
              <w:tc>
                <w:tcPr>
                  <w:tcW w:w="103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29.9</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2.38</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0.921</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12.2</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7.49</w:t>
                  </w:r>
                </w:p>
              </w:tc>
              <w:tc>
                <w:tcPr>
                  <w:tcW w:w="103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1184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5" w:hRule="atLeast"/>
                <w:jc w:val="center"/>
              </w:trPr>
              <w:tc>
                <w:tcPr>
                  <w:tcW w:w="176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2022-09-06</w:t>
                  </w:r>
                </w:p>
              </w:tc>
              <w:tc>
                <w:tcPr>
                  <w:tcW w:w="103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31.2</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2.54</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1.02</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10.5</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7.49</w:t>
                  </w:r>
                </w:p>
              </w:tc>
              <w:tc>
                <w:tcPr>
                  <w:tcW w:w="103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1126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55" w:hRule="atLeast"/>
                <w:jc w:val="center"/>
              </w:trPr>
              <w:tc>
                <w:tcPr>
                  <w:tcW w:w="176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2022-09-07</w:t>
                  </w:r>
                </w:p>
              </w:tc>
              <w:tc>
                <w:tcPr>
                  <w:tcW w:w="103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28.5</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2.44</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1.19</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11.8</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7.54</w:t>
                  </w:r>
                </w:p>
              </w:tc>
              <w:tc>
                <w:tcPr>
                  <w:tcW w:w="103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919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55" w:hRule="atLeast"/>
                <w:jc w:val="center"/>
              </w:trPr>
              <w:tc>
                <w:tcPr>
                  <w:tcW w:w="176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2022-09-08</w:t>
                  </w:r>
                </w:p>
              </w:tc>
              <w:tc>
                <w:tcPr>
                  <w:tcW w:w="103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30.2</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2.35</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1.10</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12.4</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7.52</w:t>
                  </w:r>
                </w:p>
              </w:tc>
              <w:tc>
                <w:tcPr>
                  <w:tcW w:w="103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1112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55" w:hRule="atLeast"/>
                <w:jc w:val="center"/>
              </w:trPr>
              <w:tc>
                <w:tcPr>
                  <w:tcW w:w="176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2022-09-09</w:t>
                  </w:r>
                </w:p>
              </w:tc>
              <w:tc>
                <w:tcPr>
                  <w:tcW w:w="103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30.0</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3.89</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1.51</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11.0</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7.53</w:t>
                  </w:r>
                </w:p>
              </w:tc>
              <w:tc>
                <w:tcPr>
                  <w:tcW w:w="103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1019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55" w:hRule="atLeast"/>
                <w:jc w:val="center"/>
              </w:trPr>
              <w:tc>
                <w:tcPr>
                  <w:tcW w:w="176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2022-09-10</w:t>
                  </w:r>
                </w:p>
              </w:tc>
              <w:tc>
                <w:tcPr>
                  <w:tcW w:w="103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31.7</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2.41</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0.678</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11.4</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7.50</w:t>
                  </w:r>
                </w:p>
              </w:tc>
              <w:tc>
                <w:tcPr>
                  <w:tcW w:w="103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762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55" w:hRule="atLeast"/>
                <w:jc w:val="center"/>
              </w:trPr>
              <w:tc>
                <w:tcPr>
                  <w:tcW w:w="176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2022-09-11</w:t>
                  </w:r>
                </w:p>
              </w:tc>
              <w:tc>
                <w:tcPr>
                  <w:tcW w:w="103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30.9</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2.55</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0.319</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12.4</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7.49</w:t>
                  </w:r>
                </w:p>
              </w:tc>
              <w:tc>
                <w:tcPr>
                  <w:tcW w:w="103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764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55" w:hRule="atLeast"/>
                <w:jc w:val="center"/>
              </w:trPr>
              <w:tc>
                <w:tcPr>
                  <w:tcW w:w="176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2022-09-12</w:t>
                  </w:r>
                </w:p>
              </w:tc>
              <w:tc>
                <w:tcPr>
                  <w:tcW w:w="103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31.4</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2.58</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0.924</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10.8</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7.54</w:t>
                  </w:r>
                </w:p>
              </w:tc>
              <w:tc>
                <w:tcPr>
                  <w:tcW w:w="103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768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55" w:hRule="atLeast"/>
                <w:jc w:val="center"/>
              </w:trPr>
              <w:tc>
                <w:tcPr>
                  <w:tcW w:w="176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2022-09-13</w:t>
                  </w:r>
                </w:p>
              </w:tc>
              <w:tc>
                <w:tcPr>
                  <w:tcW w:w="103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29.6</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2.46</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0.720</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9.99</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7.49</w:t>
                  </w:r>
                </w:p>
              </w:tc>
              <w:tc>
                <w:tcPr>
                  <w:tcW w:w="103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874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55" w:hRule="atLeast"/>
                <w:jc w:val="center"/>
              </w:trPr>
              <w:tc>
                <w:tcPr>
                  <w:tcW w:w="176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2022-09-14</w:t>
                  </w:r>
                </w:p>
              </w:tc>
              <w:tc>
                <w:tcPr>
                  <w:tcW w:w="103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30.2</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2.41</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1.52</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10.3</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7.43</w:t>
                  </w:r>
                </w:p>
              </w:tc>
              <w:tc>
                <w:tcPr>
                  <w:tcW w:w="103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955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55" w:hRule="atLeast"/>
                <w:jc w:val="center"/>
              </w:trPr>
              <w:tc>
                <w:tcPr>
                  <w:tcW w:w="176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2022-09-15</w:t>
                  </w:r>
                </w:p>
              </w:tc>
              <w:tc>
                <w:tcPr>
                  <w:tcW w:w="103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31.2</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2.47</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0.775</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10.6</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7.53</w:t>
                  </w:r>
                </w:p>
              </w:tc>
              <w:tc>
                <w:tcPr>
                  <w:tcW w:w="103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989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55" w:hRule="atLeast"/>
                <w:jc w:val="center"/>
              </w:trPr>
              <w:tc>
                <w:tcPr>
                  <w:tcW w:w="176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2022-09-16</w:t>
                  </w:r>
                </w:p>
              </w:tc>
              <w:tc>
                <w:tcPr>
                  <w:tcW w:w="103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32.4</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2.49</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1.17</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12.4</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7.49</w:t>
                  </w:r>
                </w:p>
              </w:tc>
              <w:tc>
                <w:tcPr>
                  <w:tcW w:w="103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970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55" w:hRule="atLeast"/>
                <w:jc w:val="center"/>
              </w:trPr>
              <w:tc>
                <w:tcPr>
                  <w:tcW w:w="176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2022-09-17</w:t>
                  </w:r>
                </w:p>
              </w:tc>
              <w:tc>
                <w:tcPr>
                  <w:tcW w:w="103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31.0</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2.34</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0.817</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9.90</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7.61</w:t>
                  </w:r>
                </w:p>
              </w:tc>
              <w:tc>
                <w:tcPr>
                  <w:tcW w:w="103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873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55" w:hRule="atLeast"/>
                <w:jc w:val="center"/>
              </w:trPr>
              <w:tc>
                <w:tcPr>
                  <w:tcW w:w="176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2022-09-18</w:t>
                  </w:r>
                </w:p>
              </w:tc>
              <w:tc>
                <w:tcPr>
                  <w:tcW w:w="103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29.7</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2.32</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0.892</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10.6</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7.50</w:t>
                  </w:r>
                </w:p>
              </w:tc>
              <w:tc>
                <w:tcPr>
                  <w:tcW w:w="103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753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55" w:hRule="atLeast"/>
                <w:jc w:val="center"/>
              </w:trPr>
              <w:tc>
                <w:tcPr>
                  <w:tcW w:w="176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2022-09-19</w:t>
                  </w:r>
                </w:p>
              </w:tc>
              <w:tc>
                <w:tcPr>
                  <w:tcW w:w="103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37.6</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2.23</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1.17</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9.33</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7.61</w:t>
                  </w:r>
                </w:p>
              </w:tc>
              <w:tc>
                <w:tcPr>
                  <w:tcW w:w="103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723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55" w:hRule="atLeast"/>
                <w:jc w:val="center"/>
              </w:trPr>
              <w:tc>
                <w:tcPr>
                  <w:tcW w:w="176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2022-09-20</w:t>
                  </w:r>
                </w:p>
              </w:tc>
              <w:tc>
                <w:tcPr>
                  <w:tcW w:w="103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27.2</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2.29</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0.209</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11.0</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7.57</w:t>
                  </w:r>
                </w:p>
              </w:tc>
              <w:tc>
                <w:tcPr>
                  <w:tcW w:w="103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798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55" w:hRule="atLeast"/>
                <w:jc w:val="center"/>
              </w:trPr>
              <w:tc>
                <w:tcPr>
                  <w:tcW w:w="176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2022-09-21</w:t>
                  </w:r>
                </w:p>
              </w:tc>
              <w:tc>
                <w:tcPr>
                  <w:tcW w:w="103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7.55</w:t>
                  </w:r>
                </w:p>
              </w:tc>
              <w:tc>
                <w:tcPr>
                  <w:tcW w:w="103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935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55" w:hRule="atLeast"/>
                <w:jc w:val="center"/>
              </w:trPr>
              <w:tc>
                <w:tcPr>
                  <w:tcW w:w="176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2022-09-22</w:t>
                  </w:r>
                </w:p>
              </w:tc>
              <w:tc>
                <w:tcPr>
                  <w:tcW w:w="103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7.59</w:t>
                  </w:r>
                </w:p>
              </w:tc>
              <w:tc>
                <w:tcPr>
                  <w:tcW w:w="103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956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55" w:hRule="atLeast"/>
                <w:jc w:val="center"/>
              </w:trPr>
              <w:tc>
                <w:tcPr>
                  <w:tcW w:w="176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2022-09-23</w:t>
                  </w:r>
                </w:p>
              </w:tc>
              <w:tc>
                <w:tcPr>
                  <w:tcW w:w="103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7.63</w:t>
                  </w:r>
                </w:p>
              </w:tc>
              <w:tc>
                <w:tcPr>
                  <w:tcW w:w="103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715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55" w:hRule="atLeast"/>
                <w:jc w:val="center"/>
              </w:trPr>
              <w:tc>
                <w:tcPr>
                  <w:tcW w:w="176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2022-09-24</w:t>
                  </w:r>
                </w:p>
              </w:tc>
              <w:tc>
                <w:tcPr>
                  <w:tcW w:w="103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81.0</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14.6</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0.0178</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13.6</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7.61</w:t>
                  </w:r>
                </w:p>
              </w:tc>
              <w:tc>
                <w:tcPr>
                  <w:tcW w:w="103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811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55" w:hRule="atLeast"/>
                <w:jc w:val="center"/>
              </w:trPr>
              <w:tc>
                <w:tcPr>
                  <w:tcW w:w="176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2022-09-25</w:t>
                  </w:r>
                </w:p>
              </w:tc>
              <w:tc>
                <w:tcPr>
                  <w:tcW w:w="103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57.8</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9.21</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0.0739</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14.6</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7.57</w:t>
                  </w:r>
                </w:p>
              </w:tc>
              <w:tc>
                <w:tcPr>
                  <w:tcW w:w="103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940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55" w:hRule="atLeast"/>
                <w:jc w:val="center"/>
              </w:trPr>
              <w:tc>
                <w:tcPr>
                  <w:tcW w:w="176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2022-09-26</w:t>
                  </w:r>
                </w:p>
              </w:tc>
              <w:tc>
                <w:tcPr>
                  <w:tcW w:w="103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37.4</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7.49</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0.173</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14.4</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7.55</w:t>
                  </w:r>
                </w:p>
              </w:tc>
              <w:tc>
                <w:tcPr>
                  <w:tcW w:w="103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845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55" w:hRule="atLeast"/>
                <w:jc w:val="center"/>
              </w:trPr>
              <w:tc>
                <w:tcPr>
                  <w:tcW w:w="176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2022-09-27</w:t>
                  </w:r>
                </w:p>
              </w:tc>
              <w:tc>
                <w:tcPr>
                  <w:tcW w:w="103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29.6</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1.10</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0.122</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11.4</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7.53</w:t>
                  </w:r>
                </w:p>
              </w:tc>
              <w:tc>
                <w:tcPr>
                  <w:tcW w:w="103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768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55" w:hRule="atLeast"/>
                <w:jc w:val="center"/>
              </w:trPr>
              <w:tc>
                <w:tcPr>
                  <w:tcW w:w="176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2022-09-28</w:t>
                  </w:r>
                </w:p>
              </w:tc>
              <w:tc>
                <w:tcPr>
                  <w:tcW w:w="103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19.1</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0.700</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0.0975</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13.4</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7.56</w:t>
                  </w:r>
                </w:p>
              </w:tc>
              <w:tc>
                <w:tcPr>
                  <w:tcW w:w="103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845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55" w:hRule="atLeast"/>
                <w:jc w:val="center"/>
              </w:trPr>
              <w:tc>
                <w:tcPr>
                  <w:tcW w:w="176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2022-09-29</w:t>
                  </w:r>
                </w:p>
              </w:tc>
              <w:tc>
                <w:tcPr>
                  <w:tcW w:w="103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27.9</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1.76</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0.191</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16.8</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7.47</w:t>
                  </w:r>
                </w:p>
              </w:tc>
              <w:tc>
                <w:tcPr>
                  <w:tcW w:w="103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699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55" w:hRule="atLeast"/>
                <w:jc w:val="center"/>
              </w:trPr>
              <w:tc>
                <w:tcPr>
                  <w:tcW w:w="176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2022-09-30</w:t>
                  </w:r>
                </w:p>
              </w:tc>
              <w:tc>
                <w:tcPr>
                  <w:tcW w:w="103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32.5</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1.46</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0.0658</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20.4</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7.54</w:t>
                  </w:r>
                </w:p>
              </w:tc>
              <w:tc>
                <w:tcPr>
                  <w:tcW w:w="103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815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55" w:hRule="atLeast"/>
                <w:jc w:val="center"/>
              </w:trPr>
              <w:tc>
                <w:tcPr>
                  <w:tcW w:w="176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平均值</w:t>
                  </w:r>
                </w:p>
              </w:tc>
              <w:tc>
                <w:tcPr>
                  <w:tcW w:w="103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33.2</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3.17</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0.733</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12.0</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7.54</w:t>
                  </w:r>
                </w:p>
              </w:tc>
              <w:tc>
                <w:tcPr>
                  <w:tcW w:w="103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903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176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最大值</w:t>
                  </w:r>
                </w:p>
              </w:tc>
              <w:tc>
                <w:tcPr>
                  <w:tcW w:w="103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81.0</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14.6</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1.52</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20.4</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7.63</w:t>
                  </w:r>
                </w:p>
              </w:tc>
              <w:tc>
                <w:tcPr>
                  <w:tcW w:w="103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1184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176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最小值</w:t>
                  </w:r>
                </w:p>
              </w:tc>
              <w:tc>
                <w:tcPr>
                  <w:tcW w:w="103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19.1</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0.700</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0.0178</w:t>
                  </w:r>
                </w:p>
              </w:tc>
              <w:tc>
                <w:tcPr>
                  <w:tcW w:w="101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9.33</w:t>
                  </w:r>
                </w:p>
              </w:tc>
              <w:tc>
                <w:tcPr>
                  <w:tcW w:w="103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7.43</w:t>
                  </w:r>
                </w:p>
              </w:tc>
              <w:tc>
                <w:tcPr>
                  <w:tcW w:w="103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699</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35"/>
              <w:textAlignment w:val="auto"/>
              <w:rPr>
                <w:rFonts w:hint="default"/>
                <w:color w:val="auto"/>
                <w:sz w:val="24"/>
                <w:szCs w:val="24"/>
                <w:lang w:val="en-US" w:eastAsia="zh-CN"/>
              </w:rPr>
            </w:pPr>
            <w:r>
              <w:rPr>
                <w:rFonts w:hint="default"/>
                <w:color w:val="auto"/>
                <w:sz w:val="24"/>
                <w:szCs w:val="24"/>
              </w:rPr>
              <w:t>根据在线监测及企业监测数据，现有污水处理站外排废水水质能够满足《污水排入城镇下水道水质标准》（GB/T31962-2015）表1中B等级标准。</w:t>
            </w:r>
            <w:r>
              <w:rPr>
                <w:rFonts w:hint="eastAsia"/>
                <w:color w:val="auto"/>
                <w:sz w:val="24"/>
                <w:szCs w:val="24"/>
                <w:lang w:eastAsia="zh-CN"/>
              </w:rPr>
              <w:t>污水处理站同时处理黄河龙与海奥斯两个厂区的废水，</w:t>
            </w:r>
            <w:r>
              <w:rPr>
                <w:rFonts w:hint="default"/>
                <w:color w:val="auto"/>
                <w:sz w:val="24"/>
                <w:szCs w:val="24"/>
              </w:rPr>
              <w:t>根据企业</w:t>
            </w:r>
            <w:r>
              <w:rPr>
                <w:rFonts w:hint="eastAsia"/>
                <w:color w:val="auto"/>
                <w:sz w:val="24"/>
                <w:szCs w:val="24"/>
                <w:lang w:eastAsia="zh-CN"/>
              </w:rPr>
              <w:t>提供资料</w:t>
            </w:r>
            <w:r>
              <w:rPr>
                <w:rFonts w:hint="default"/>
                <w:color w:val="auto"/>
                <w:sz w:val="24"/>
                <w:szCs w:val="24"/>
              </w:rPr>
              <w:t>，</w:t>
            </w:r>
            <w:r>
              <w:rPr>
                <w:rFonts w:hint="eastAsia"/>
                <w:color w:val="auto"/>
                <w:sz w:val="24"/>
                <w:szCs w:val="24"/>
                <w:lang w:eastAsia="zh-CN"/>
              </w:rPr>
              <w:t>处理黄河龙酒厂废水量约为</w:t>
            </w:r>
            <w:r>
              <w:rPr>
                <w:rFonts w:hint="eastAsia"/>
                <w:color w:val="auto"/>
                <w:sz w:val="24"/>
                <w:szCs w:val="24"/>
                <w:lang w:val="en-US" w:eastAsia="zh-CN"/>
              </w:rPr>
              <w:t>180m</w:t>
            </w:r>
            <w:r>
              <w:rPr>
                <w:rFonts w:hint="eastAsia"/>
                <w:color w:val="auto"/>
                <w:sz w:val="24"/>
                <w:szCs w:val="24"/>
                <w:vertAlign w:val="superscript"/>
                <w:lang w:val="en-US" w:eastAsia="zh-CN"/>
              </w:rPr>
              <w:t>3</w:t>
            </w:r>
            <w:r>
              <w:rPr>
                <w:rFonts w:hint="eastAsia"/>
                <w:color w:val="auto"/>
                <w:sz w:val="24"/>
                <w:szCs w:val="24"/>
                <w:vertAlign w:val="baseline"/>
                <w:lang w:val="en-US" w:eastAsia="zh-CN"/>
              </w:rPr>
              <w:t>/d（54000t/a）</w:t>
            </w:r>
            <w:r>
              <w:rPr>
                <w:rFonts w:hint="default"/>
                <w:color w:val="auto"/>
                <w:sz w:val="24"/>
                <w:szCs w:val="24"/>
              </w:rPr>
              <w:t>，COD排放量为</w:t>
            </w:r>
            <w:r>
              <w:rPr>
                <w:rFonts w:hint="eastAsia"/>
                <w:color w:val="auto"/>
                <w:sz w:val="24"/>
                <w:szCs w:val="24"/>
                <w:lang w:val="en-US" w:eastAsia="zh-CN"/>
              </w:rPr>
              <w:t>1.793</w:t>
            </w:r>
            <w:r>
              <w:rPr>
                <w:rFonts w:hint="default"/>
                <w:color w:val="auto"/>
                <w:sz w:val="24"/>
                <w:szCs w:val="24"/>
              </w:rPr>
              <w:t>t/a、氨氮排放量为</w:t>
            </w:r>
            <w:r>
              <w:rPr>
                <w:rFonts w:hint="eastAsia"/>
                <w:color w:val="auto"/>
                <w:sz w:val="24"/>
                <w:szCs w:val="24"/>
                <w:lang w:val="en-US" w:eastAsia="zh-CN"/>
              </w:rPr>
              <w:t>0.171</w:t>
            </w:r>
            <w:r>
              <w:rPr>
                <w:rFonts w:hint="default"/>
                <w:color w:val="auto"/>
                <w:sz w:val="24"/>
                <w:szCs w:val="24"/>
              </w:rPr>
              <w:t>t/a。</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2" w:firstLineChars="200"/>
              <w:jc w:val="left"/>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1.2废气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lang w:val="en-US" w:eastAsia="zh-CN"/>
              </w:rPr>
            </w:pPr>
            <w:r>
              <w:rPr>
                <w:rFonts w:hint="default"/>
                <w:color w:val="auto"/>
                <w:sz w:val="24"/>
                <w:szCs w:val="24"/>
                <w:lang w:val="en-US" w:eastAsia="zh-CN"/>
              </w:rPr>
              <w:t>项目废气主要为：粮食酒酿造车间搬迁及技改项目中酿酒车间原料除杂粉碎过程产生的粉尘，经全自动粉碎机自带脉冲布袋除尘器处理后经一根15米</w:t>
            </w:r>
            <w:r>
              <w:rPr>
                <w:rFonts w:hint="eastAsia"/>
                <w:color w:val="auto"/>
                <w:sz w:val="24"/>
                <w:szCs w:val="24"/>
                <w:lang w:val="en-US" w:eastAsia="zh-CN"/>
              </w:rPr>
              <w:t>高</w:t>
            </w:r>
            <w:r>
              <w:rPr>
                <w:rFonts w:hint="default"/>
                <w:color w:val="auto"/>
                <w:sz w:val="24"/>
                <w:szCs w:val="24"/>
                <w:lang w:val="en-US" w:eastAsia="zh-CN"/>
              </w:rPr>
              <w:t>排气筒</w:t>
            </w:r>
            <w:r>
              <w:rPr>
                <w:rFonts w:hint="eastAsia"/>
                <w:color w:val="auto"/>
                <w:sz w:val="24"/>
                <w:szCs w:val="24"/>
                <w:lang w:val="en-US" w:eastAsia="zh-CN"/>
              </w:rPr>
              <w:t>P1</w:t>
            </w:r>
            <w:r>
              <w:rPr>
                <w:rFonts w:hint="default"/>
                <w:color w:val="auto"/>
                <w:sz w:val="24"/>
                <w:szCs w:val="24"/>
                <w:lang w:val="en-US" w:eastAsia="zh-CN"/>
              </w:rPr>
              <w:t>排放</w:t>
            </w:r>
            <w:r>
              <w:rPr>
                <w:rFonts w:hint="eastAsia"/>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lang w:val="en-US" w:eastAsia="zh-CN"/>
              </w:rPr>
            </w:pPr>
            <w:r>
              <w:rPr>
                <w:rFonts w:hint="default"/>
                <w:color w:val="auto"/>
                <w:sz w:val="24"/>
                <w:szCs w:val="24"/>
                <w:lang w:val="en-US" w:eastAsia="zh-CN"/>
              </w:rPr>
              <w:t>企业委托山东尚水检测有限公司于2022年8月11日对厂区现有污染物进行了监测，测期间原有项目处于正常生产状态。检测结果如下：</w:t>
            </w:r>
          </w:p>
          <w:p>
            <w:pPr>
              <w:keepNext w:val="0"/>
              <w:keepLines w:val="0"/>
              <w:pageBreakBefore w:val="0"/>
              <w:kinsoku/>
              <w:wordWrap/>
              <w:overflowPunct/>
              <w:topLinePunct w:val="0"/>
              <w:autoSpaceDE/>
              <w:autoSpaceDN/>
              <w:bidi w:val="0"/>
              <w:spacing w:line="360" w:lineRule="auto"/>
              <w:ind w:firstLine="420"/>
              <w:jc w:val="center"/>
              <w:rPr>
                <w:rFonts w:hint="default"/>
                <w:b/>
                <w:bCs/>
                <w:color w:val="auto"/>
                <w:sz w:val="24"/>
                <w:szCs w:val="24"/>
                <w:lang w:val="en-US" w:eastAsia="zh-CN"/>
              </w:rPr>
            </w:pPr>
            <w:r>
              <w:rPr>
                <w:rFonts w:hint="default"/>
                <w:b/>
                <w:bCs/>
                <w:color w:val="auto"/>
                <w:sz w:val="24"/>
                <w:szCs w:val="24"/>
                <w:lang w:val="en-US" w:eastAsia="zh-CN"/>
              </w:rPr>
              <w:t>表</w:t>
            </w:r>
            <w:r>
              <w:rPr>
                <w:rFonts w:hint="eastAsia"/>
                <w:b/>
                <w:bCs/>
                <w:color w:val="auto"/>
                <w:sz w:val="24"/>
                <w:szCs w:val="24"/>
                <w:lang w:val="en-US" w:eastAsia="zh-CN"/>
              </w:rPr>
              <w:t xml:space="preserve">23 </w:t>
            </w:r>
            <w:r>
              <w:rPr>
                <w:rFonts w:hint="default"/>
                <w:b/>
                <w:bCs/>
                <w:color w:val="auto"/>
                <w:sz w:val="24"/>
                <w:szCs w:val="24"/>
                <w:lang w:val="en-US" w:eastAsia="zh-CN"/>
              </w:rPr>
              <w:t>现有项目有组织废气检测结果表</w:t>
            </w:r>
          </w:p>
          <w:tbl>
            <w:tblPr>
              <w:tblStyle w:val="20"/>
              <w:tblW w:w="832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819"/>
              <w:gridCol w:w="1376"/>
              <w:gridCol w:w="459"/>
              <w:gridCol w:w="917"/>
              <w:gridCol w:w="918"/>
              <w:gridCol w:w="458"/>
              <w:gridCol w:w="13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2819"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点位名称</w:t>
                  </w:r>
                </w:p>
              </w:tc>
              <w:tc>
                <w:tcPr>
                  <w:tcW w:w="5506" w:type="dxa"/>
                  <w:gridSpan w:val="6"/>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P1排气筒出口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2819"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排气筒高度（m）</w:t>
                  </w:r>
                </w:p>
              </w:tc>
              <w:tc>
                <w:tcPr>
                  <w:tcW w:w="1835" w:type="dxa"/>
                  <w:gridSpan w:val="2"/>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15</w:t>
                  </w:r>
                </w:p>
              </w:tc>
              <w:tc>
                <w:tcPr>
                  <w:tcW w:w="1835" w:type="dxa"/>
                  <w:gridSpan w:val="2"/>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排气筒内径（m）</w:t>
                  </w:r>
                </w:p>
              </w:tc>
              <w:tc>
                <w:tcPr>
                  <w:tcW w:w="1836" w:type="dxa"/>
                  <w:gridSpan w:val="2"/>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3" w:hRule="atLeast"/>
                <w:jc w:val="center"/>
              </w:trPr>
              <w:tc>
                <w:tcPr>
                  <w:tcW w:w="2819" w:type="dxa"/>
                  <w:tcBorders>
                    <w:tl2br w:val="nil"/>
                    <w:tr2bl w:val="nil"/>
                  </w:tcBorders>
                  <w:shd w:val="clear" w:color="auto" w:fill="auto"/>
                  <w:vAlign w:val="center"/>
                  <mc:AlternateContent>
                    <mc:Choice Requires="wpsCustomData">
                      <wpsCustomData:diagonals>
                        <wpsCustomData:diagonal from="10000" to="30000">
                          <wpsCustomData:border w:val="single" w:color="auto" w:sz="12" w:space="0"/>
                        </wpsCustomData:diagonal>
                      </wpsCustomData:diagonals>
                    </mc:Choice>
                  </mc:AlternateContent>
                </w:tcPr>
                <w:p>
                  <w:pPr>
                    <w:keepNext w:val="0"/>
                    <w:keepLines w:val="0"/>
                    <w:pageBreakBefore w:val="0"/>
                    <w:widowControl/>
                    <w:suppressLineNumbers w:val="0"/>
                    <w:kinsoku/>
                    <w:wordWrap/>
                    <w:overflowPunct/>
                    <w:topLinePunct w:val="0"/>
                    <w:autoSpaceDE/>
                    <w:autoSpaceDN/>
                    <w:bidi w:val="0"/>
                    <w:adjustRightInd/>
                    <w:snapToGrid w:val="0"/>
                    <w:spacing w:line="360" w:lineRule="atLeast"/>
                    <w:jc w:val="left"/>
                    <w:textAlignment w:val="center"/>
                    <w:rPr>
                      <w:rFonts w:hint="default"/>
                      <w:color w:val="auto"/>
                      <w:sz w:val="21"/>
                      <w:szCs w:val="21"/>
                      <w:lang w:val="en-US" w:eastAsia="zh-CN"/>
                    </w:rPr>
                  </w:pPr>
                  <w:r>
                    <w:rPr>
                      <w:rFonts w:hint="default"/>
                      <w:color w:val="auto"/>
                      <w:sz w:val="21"/>
                      <w:szCs w:val="21"/>
                      <w:lang w:val="en-US" w:eastAsia="zh-CN"/>
                    </w:rPr>
                    <w:t xml:space="preserve">             </w:t>
                  </w:r>
                </w:p>
                <w:p>
                  <w:pPr>
                    <w:keepNext w:val="0"/>
                    <w:keepLines w:val="0"/>
                    <w:pageBreakBefore w:val="0"/>
                    <w:widowControl/>
                    <w:suppressLineNumbers w:val="0"/>
                    <w:kinsoku/>
                    <w:wordWrap/>
                    <w:overflowPunct/>
                    <w:topLinePunct w:val="0"/>
                    <w:autoSpaceDE/>
                    <w:autoSpaceDN/>
                    <w:bidi w:val="0"/>
                    <w:adjustRightInd/>
                    <w:snapToGrid w:val="0"/>
                    <w:spacing w:line="360" w:lineRule="atLeast"/>
                    <w:jc w:val="left"/>
                    <w:textAlignment w:val="center"/>
                    <mc:AlternateContent>
                      <mc:Choice Requires="wpsCustomData">
                        <wpsCustomData:diagonalParaType/>
                      </mc:Choice>
                    </mc:AlternateContent>
                    <w:rPr>
                      <w:rFonts w:hint="default"/>
                      <w:color w:val="auto"/>
                      <w:sz w:val="21"/>
                      <w:szCs w:val="21"/>
                    </w:rPr>
                  </w:pPr>
                  <w:r>
                    <w:rPr>
                      <w:rFonts w:hint="default"/>
                      <w:color w:val="auto"/>
                      <w:sz w:val="21"/>
                      <w:szCs w:val="21"/>
                      <w:lang w:val="en-US" w:eastAsia="zh-CN"/>
                    </w:rPr>
                    <w:t>检测项目</w:t>
                  </w:r>
                </w:p>
                <w:p>
                  <w:pPr>
                    <w:keepNext w:val="0"/>
                    <w:keepLines w:val="0"/>
                    <w:pageBreakBefore w:val="0"/>
                    <w:widowControl/>
                    <w:suppressLineNumbers w:val="0"/>
                    <w:kinsoku/>
                    <w:wordWrap/>
                    <w:overflowPunct/>
                    <w:topLinePunct w:val="0"/>
                    <w:autoSpaceDE/>
                    <w:autoSpaceDN/>
                    <w:bidi w:val="0"/>
                    <w:adjustRightInd/>
                    <w:snapToGrid/>
                    <w:spacing w:line="360" w:lineRule="atLeast"/>
                    <w:jc w:val="left"/>
                    <w:textAlignment w:val="center"/>
                    <w:rPr>
                      <w:rFonts w:hint="default"/>
                      <w:color w:val="auto"/>
                      <w:sz w:val="21"/>
                      <w:szCs w:val="21"/>
                      <w:lang w:val="en-US" w:eastAsia="zh-CN"/>
                    </w:rPr>
                  </w:pPr>
                  <w:r>
                    <w:rPr>
                      <w:rFonts w:hint="default"/>
                      <w:color w:val="auto"/>
                      <w:sz w:val="21"/>
                      <w:szCs w:val="21"/>
                      <w:lang w:val="en-US" w:eastAsia="zh-CN"/>
                    </w:rPr>
                    <w:t>频次</w:t>
                  </w:r>
                </w:p>
              </w:tc>
              <w:tc>
                <w:tcPr>
                  <w:tcW w:w="137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第一次</w:t>
                  </w:r>
                </w:p>
              </w:tc>
              <w:tc>
                <w:tcPr>
                  <w:tcW w:w="1376" w:type="dxa"/>
                  <w:gridSpan w:val="2"/>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第二次</w:t>
                  </w:r>
                </w:p>
              </w:tc>
              <w:tc>
                <w:tcPr>
                  <w:tcW w:w="1376" w:type="dxa"/>
                  <w:gridSpan w:val="2"/>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第三次</w:t>
                  </w:r>
                </w:p>
              </w:tc>
              <w:tc>
                <w:tcPr>
                  <w:tcW w:w="137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平均值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jc w:val="center"/>
              </w:trPr>
              <w:tc>
                <w:tcPr>
                  <w:tcW w:w="2819"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标杆流量（m</w:t>
                  </w:r>
                  <w:r>
                    <w:rPr>
                      <w:rFonts w:hint="default"/>
                      <w:color w:val="auto"/>
                      <w:sz w:val="21"/>
                      <w:szCs w:val="21"/>
                      <w:vertAlign w:val="superscript"/>
                      <w:lang w:val="en-US" w:eastAsia="zh-CN"/>
                    </w:rPr>
                    <w:t>3</w:t>
                  </w:r>
                  <w:r>
                    <w:rPr>
                      <w:rFonts w:hint="default"/>
                      <w:color w:val="auto"/>
                      <w:sz w:val="21"/>
                      <w:szCs w:val="21"/>
                      <w:lang w:val="en-US" w:eastAsia="zh-CN"/>
                    </w:rPr>
                    <w:t>/h）</w:t>
                  </w:r>
                </w:p>
              </w:tc>
              <w:tc>
                <w:tcPr>
                  <w:tcW w:w="137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14197</w:t>
                  </w:r>
                </w:p>
              </w:tc>
              <w:tc>
                <w:tcPr>
                  <w:tcW w:w="1376" w:type="dxa"/>
                  <w:gridSpan w:val="2"/>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13959</w:t>
                  </w:r>
                </w:p>
              </w:tc>
              <w:tc>
                <w:tcPr>
                  <w:tcW w:w="1376" w:type="dxa"/>
                  <w:gridSpan w:val="2"/>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14444</w:t>
                  </w:r>
                </w:p>
              </w:tc>
              <w:tc>
                <w:tcPr>
                  <w:tcW w:w="137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 xml:space="preserve">14200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819"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颗粒物实测浓度（mg/m</w:t>
                  </w:r>
                  <w:r>
                    <w:rPr>
                      <w:rFonts w:hint="default"/>
                      <w:color w:val="auto"/>
                      <w:sz w:val="21"/>
                      <w:szCs w:val="21"/>
                      <w:vertAlign w:val="superscript"/>
                      <w:lang w:val="en-US" w:eastAsia="zh-CN"/>
                    </w:rPr>
                    <w:t>3</w:t>
                  </w:r>
                  <w:r>
                    <w:rPr>
                      <w:rFonts w:hint="default"/>
                      <w:color w:val="auto"/>
                      <w:sz w:val="21"/>
                      <w:szCs w:val="21"/>
                      <w:lang w:val="en-US" w:eastAsia="zh-CN"/>
                    </w:rPr>
                    <w:t>）</w:t>
                  </w:r>
                </w:p>
              </w:tc>
              <w:tc>
                <w:tcPr>
                  <w:tcW w:w="137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4.4</w:t>
                  </w:r>
                </w:p>
              </w:tc>
              <w:tc>
                <w:tcPr>
                  <w:tcW w:w="1376" w:type="dxa"/>
                  <w:gridSpan w:val="2"/>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4.3</w:t>
                  </w:r>
                </w:p>
              </w:tc>
              <w:tc>
                <w:tcPr>
                  <w:tcW w:w="1376" w:type="dxa"/>
                  <w:gridSpan w:val="2"/>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4.6</w:t>
                  </w:r>
                </w:p>
              </w:tc>
              <w:tc>
                <w:tcPr>
                  <w:tcW w:w="137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 xml:space="preserve">4.4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819"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颗粒物排放速率（kg/h）</w:t>
                  </w:r>
                </w:p>
              </w:tc>
              <w:tc>
                <w:tcPr>
                  <w:tcW w:w="137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0.062</w:t>
                  </w:r>
                </w:p>
              </w:tc>
              <w:tc>
                <w:tcPr>
                  <w:tcW w:w="1376" w:type="dxa"/>
                  <w:gridSpan w:val="2"/>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 xml:space="preserve">0.060 </w:t>
                  </w:r>
                </w:p>
              </w:tc>
              <w:tc>
                <w:tcPr>
                  <w:tcW w:w="1376" w:type="dxa"/>
                  <w:gridSpan w:val="2"/>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0.066</w:t>
                  </w:r>
                </w:p>
              </w:tc>
              <w:tc>
                <w:tcPr>
                  <w:tcW w:w="137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lang w:val="en-US"/>
                    </w:rPr>
                  </w:pPr>
                  <w:r>
                    <w:rPr>
                      <w:rFonts w:hint="default"/>
                      <w:color w:val="auto"/>
                      <w:sz w:val="21"/>
                      <w:szCs w:val="21"/>
                      <w:lang w:val="en-US" w:eastAsia="zh-CN"/>
                    </w:rPr>
                    <w:t>0.06</w:t>
                  </w:r>
                  <w:r>
                    <w:rPr>
                      <w:rFonts w:hint="eastAsia"/>
                      <w:color w:val="auto"/>
                      <w:sz w:val="21"/>
                      <w:szCs w:val="21"/>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8325" w:type="dxa"/>
                  <w:gridSpan w:val="7"/>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left"/>
                    <w:textAlignment w:val="center"/>
                    <w:rPr>
                      <w:rFonts w:hint="default"/>
                      <w:color w:val="auto"/>
                      <w:sz w:val="21"/>
                      <w:szCs w:val="21"/>
                    </w:rPr>
                  </w:pPr>
                  <w:r>
                    <w:rPr>
                      <w:rFonts w:hint="default"/>
                      <w:color w:val="auto"/>
                      <w:sz w:val="21"/>
                      <w:szCs w:val="21"/>
                      <w:lang w:val="en-US" w:eastAsia="zh-CN"/>
                    </w:rPr>
                    <w:t>备注：/</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lang w:val="en-US" w:eastAsia="zh-CN"/>
              </w:rPr>
            </w:pPr>
            <w:r>
              <w:rPr>
                <w:rFonts w:hint="default"/>
                <w:color w:val="auto"/>
                <w:sz w:val="24"/>
                <w:szCs w:val="24"/>
                <w:lang w:val="en-US" w:eastAsia="zh-CN"/>
              </w:rPr>
              <w:t>根据上述检测结果，项目P1排气筒出口颗粒物有组织排放浓度最大值为4.6mg/m</w:t>
            </w:r>
            <w:r>
              <w:rPr>
                <w:rFonts w:hint="default"/>
                <w:color w:val="auto"/>
                <w:sz w:val="24"/>
                <w:szCs w:val="24"/>
                <w:vertAlign w:val="superscript"/>
                <w:lang w:val="en-US" w:eastAsia="zh-CN"/>
              </w:rPr>
              <w:t>3</w:t>
            </w:r>
            <w:r>
              <w:rPr>
                <w:rFonts w:hint="default"/>
                <w:color w:val="auto"/>
                <w:sz w:val="24"/>
                <w:szCs w:val="24"/>
                <w:lang w:val="en-US" w:eastAsia="zh-CN"/>
              </w:rPr>
              <w:t>，满足《区域性大气污染物综合排放标准》（DB37/2376-2019）表1大气污染物排放浓度限值中重点控制区限值要求：10mg/m</w:t>
            </w:r>
            <w:r>
              <w:rPr>
                <w:rFonts w:hint="default"/>
                <w:color w:val="auto"/>
                <w:sz w:val="24"/>
                <w:szCs w:val="24"/>
                <w:vertAlign w:val="superscript"/>
                <w:lang w:val="en-US" w:eastAsia="zh-CN"/>
              </w:rPr>
              <w:t>3</w:t>
            </w:r>
            <w:r>
              <w:rPr>
                <w:rFonts w:hint="eastAsia"/>
                <w:color w:val="auto"/>
                <w:sz w:val="24"/>
                <w:szCs w:val="24"/>
                <w:vertAlign w:val="baseline"/>
                <w:lang w:val="en-US" w:eastAsia="zh-CN"/>
              </w:rPr>
              <w:t>。</w:t>
            </w:r>
          </w:p>
          <w:p>
            <w:pPr>
              <w:keepNext w:val="0"/>
              <w:keepLines w:val="0"/>
              <w:pageBreakBefore w:val="0"/>
              <w:kinsoku/>
              <w:wordWrap/>
              <w:overflowPunct/>
              <w:topLinePunct w:val="0"/>
              <w:autoSpaceDE/>
              <w:autoSpaceDN/>
              <w:bidi w:val="0"/>
              <w:spacing w:line="360" w:lineRule="auto"/>
              <w:rPr>
                <w:rFonts w:hint="default"/>
                <w:color w:val="auto"/>
                <w:sz w:val="24"/>
                <w:szCs w:val="24"/>
                <w:lang w:val="en-US" w:eastAsia="zh-CN"/>
              </w:rPr>
            </w:pPr>
            <w:r>
              <w:rPr>
                <w:rFonts w:hint="default"/>
                <w:color w:val="auto"/>
                <w:sz w:val="24"/>
                <w:szCs w:val="24"/>
                <w:lang w:val="en-US" w:eastAsia="zh-CN"/>
              </w:rPr>
              <w:t xml:space="preserve">   厂界无组织废气监测结果如下：</w:t>
            </w:r>
          </w:p>
          <w:p>
            <w:pPr>
              <w:keepNext w:val="0"/>
              <w:keepLines w:val="0"/>
              <w:pageBreakBefore w:val="0"/>
              <w:kinsoku/>
              <w:wordWrap/>
              <w:overflowPunct/>
              <w:topLinePunct w:val="0"/>
              <w:autoSpaceDE/>
              <w:autoSpaceDN/>
              <w:bidi w:val="0"/>
              <w:spacing w:line="360" w:lineRule="auto"/>
              <w:jc w:val="center"/>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表24 现有项目厂界无组织废气检测结果表</w:t>
            </w:r>
          </w:p>
          <w:tbl>
            <w:tblPr>
              <w:tblStyle w:val="20"/>
              <w:tblW w:w="833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23"/>
              <w:gridCol w:w="1035"/>
              <w:gridCol w:w="1441"/>
              <w:gridCol w:w="1154"/>
              <w:gridCol w:w="1095"/>
              <w:gridCol w:w="820"/>
              <w:gridCol w:w="17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rPr>
                <w:trHeight w:val="0" w:hRule="atLeast"/>
                <w:jc w:val="center"/>
              </w:trPr>
              <w:tc>
                <w:tcPr>
                  <w:tcW w:w="1023" w:type="dxa"/>
                  <w:vMerge w:val="restar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采样点位</w:t>
                  </w:r>
                </w:p>
              </w:tc>
              <w:tc>
                <w:tcPr>
                  <w:tcW w:w="2476" w:type="dxa"/>
                  <w:gridSpan w:val="2"/>
                  <w:vMerge w:val="restar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采样时间</w:t>
                  </w:r>
                </w:p>
              </w:tc>
              <w:tc>
                <w:tcPr>
                  <w:tcW w:w="4836" w:type="dxa"/>
                  <w:gridSpan w:val="4"/>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r>
                    <w:rPr>
                      <w:rFonts w:hint="default"/>
                      <w:color w:val="auto"/>
                      <w:sz w:val="21"/>
                      <w:szCs w:val="21"/>
                      <w:lang w:val="en-US" w:eastAsia="zh-CN"/>
                    </w:rPr>
                    <w:t>检测参数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023"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2476" w:type="dxa"/>
                  <w:gridSpan w:val="2"/>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115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氨（mg/m</w:t>
                  </w:r>
                  <w:r>
                    <w:rPr>
                      <w:rFonts w:hint="default"/>
                      <w:color w:val="auto"/>
                      <w:sz w:val="21"/>
                      <w:szCs w:val="21"/>
                      <w:vertAlign w:val="superscript"/>
                      <w:lang w:val="en-US" w:eastAsia="zh-CN"/>
                    </w:rPr>
                    <w:t>3</w:t>
                  </w:r>
                  <w:r>
                    <w:rPr>
                      <w:rFonts w:hint="default"/>
                      <w:color w:val="auto"/>
                      <w:sz w:val="21"/>
                      <w:szCs w:val="21"/>
                      <w:lang w:val="en-US" w:eastAsia="zh-CN"/>
                    </w:rPr>
                    <w:t>）</w:t>
                  </w:r>
                </w:p>
              </w:tc>
              <w:tc>
                <w:tcPr>
                  <w:tcW w:w="109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硫化氢（mg/m</w:t>
                  </w:r>
                  <w:r>
                    <w:rPr>
                      <w:rFonts w:hint="default"/>
                      <w:color w:val="auto"/>
                      <w:sz w:val="21"/>
                      <w:szCs w:val="21"/>
                      <w:vertAlign w:val="superscript"/>
                      <w:lang w:val="en-US" w:eastAsia="zh-CN"/>
                    </w:rPr>
                    <w:t>3</w:t>
                  </w:r>
                  <w:r>
                    <w:rPr>
                      <w:rFonts w:hint="default"/>
                      <w:color w:val="auto"/>
                      <w:sz w:val="21"/>
                      <w:szCs w:val="21"/>
                      <w:lang w:val="en-US" w:eastAsia="zh-CN"/>
                    </w:rPr>
                    <w:t>）</w:t>
                  </w:r>
                </w:p>
              </w:tc>
              <w:tc>
                <w:tcPr>
                  <w:tcW w:w="82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臭气浓度</w:t>
                  </w:r>
                </w:p>
              </w:tc>
              <w:tc>
                <w:tcPr>
                  <w:tcW w:w="176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VOC</w:t>
                  </w:r>
                  <w:r>
                    <w:rPr>
                      <w:rFonts w:hint="default"/>
                      <w:color w:val="auto"/>
                      <w:sz w:val="21"/>
                      <w:szCs w:val="21"/>
                      <w:vertAlign w:val="subscript"/>
                      <w:lang w:val="en-US" w:eastAsia="zh-CN"/>
                    </w:rPr>
                    <w:t>S</w:t>
                  </w:r>
                  <w:r>
                    <w:rPr>
                      <w:rFonts w:hint="default"/>
                      <w:color w:val="auto"/>
                      <w:sz w:val="21"/>
                      <w:szCs w:val="21"/>
                      <w:lang w:val="en-US" w:eastAsia="zh-CN"/>
                    </w:rPr>
                    <w:t>（以非甲烷总烃计）（mg/m</w:t>
                  </w:r>
                  <w:r>
                    <w:rPr>
                      <w:rFonts w:hint="default"/>
                      <w:color w:val="auto"/>
                      <w:sz w:val="21"/>
                      <w:szCs w:val="21"/>
                      <w:vertAlign w:val="superscript"/>
                      <w:lang w:val="en-US" w:eastAsia="zh-CN"/>
                    </w:rPr>
                    <w:t>3</w:t>
                  </w:r>
                  <w:r>
                    <w:rPr>
                      <w:rFonts w:hint="default"/>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023" w:type="dxa"/>
                  <w:vMerge w:val="restar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上风向</w:t>
                  </w:r>
                </w:p>
              </w:tc>
              <w:tc>
                <w:tcPr>
                  <w:tcW w:w="1035" w:type="dxa"/>
                  <w:vMerge w:val="restar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2022.08.11</w:t>
                  </w:r>
                </w:p>
              </w:tc>
              <w:tc>
                <w:tcPr>
                  <w:tcW w:w="14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第一次</w:t>
                  </w:r>
                </w:p>
              </w:tc>
              <w:tc>
                <w:tcPr>
                  <w:tcW w:w="115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0.09</w:t>
                  </w:r>
                </w:p>
              </w:tc>
              <w:tc>
                <w:tcPr>
                  <w:tcW w:w="109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0.008</w:t>
                  </w:r>
                </w:p>
              </w:tc>
              <w:tc>
                <w:tcPr>
                  <w:tcW w:w="82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11</w:t>
                  </w:r>
                </w:p>
              </w:tc>
              <w:tc>
                <w:tcPr>
                  <w:tcW w:w="176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023"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1035"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144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第二次</w:t>
                  </w:r>
                </w:p>
              </w:tc>
              <w:tc>
                <w:tcPr>
                  <w:tcW w:w="115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0.1</w:t>
                  </w:r>
                </w:p>
              </w:tc>
              <w:tc>
                <w:tcPr>
                  <w:tcW w:w="109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0.01</w:t>
                  </w:r>
                </w:p>
              </w:tc>
              <w:tc>
                <w:tcPr>
                  <w:tcW w:w="82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﹤10</w:t>
                  </w:r>
                </w:p>
              </w:tc>
              <w:tc>
                <w:tcPr>
                  <w:tcW w:w="176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023"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1035"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144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第三次</w:t>
                  </w:r>
                </w:p>
              </w:tc>
              <w:tc>
                <w:tcPr>
                  <w:tcW w:w="115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0.12</w:t>
                  </w:r>
                </w:p>
              </w:tc>
              <w:tc>
                <w:tcPr>
                  <w:tcW w:w="109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0.012</w:t>
                  </w:r>
                </w:p>
              </w:tc>
              <w:tc>
                <w:tcPr>
                  <w:tcW w:w="82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﹤10</w:t>
                  </w:r>
                </w:p>
              </w:tc>
              <w:tc>
                <w:tcPr>
                  <w:tcW w:w="176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023"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1035"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144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第四次</w:t>
                  </w:r>
                </w:p>
              </w:tc>
              <w:tc>
                <w:tcPr>
                  <w:tcW w:w="115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w:t>
                  </w:r>
                </w:p>
              </w:tc>
              <w:tc>
                <w:tcPr>
                  <w:tcW w:w="109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w:t>
                  </w:r>
                </w:p>
              </w:tc>
              <w:tc>
                <w:tcPr>
                  <w:tcW w:w="82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11</w:t>
                  </w:r>
                </w:p>
              </w:tc>
              <w:tc>
                <w:tcPr>
                  <w:tcW w:w="176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023" w:type="dxa"/>
                  <w:vMerge w:val="restar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1#下风向</w:t>
                  </w:r>
                </w:p>
              </w:tc>
              <w:tc>
                <w:tcPr>
                  <w:tcW w:w="1035"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14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第一次</w:t>
                  </w:r>
                </w:p>
              </w:tc>
              <w:tc>
                <w:tcPr>
                  <w:tcW w:w="115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0.22</w:t>
                  </w:r>
                </w:p>
              </w:tc>
              <w:tc>
                <w:tcPr>
                  <w:tcW w:w="109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0.02</w:t>
                  </w:r>
                </w:p>
              </w:tc>
              <w:tc>
                <w:tcPr>
                  <w:tcW w:w="82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13</w:t>
                  </w:r>
                </w:p>
              </w:tc>
              <w:tc>
                <w:tcPr>
                  <w:tcW w:w="176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023"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1035"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144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第二次</w:t>
                  </w:r>
                </w:p>
              </w:tc>
              <w:tc>
                <w:tcPr>
                  <w:tcW w:w="115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0.18</w:t>
                  </w:r>
                </w:p>
              </w:tc>
              <w:tc>
                <w:tcPr>
                  <w:tcW w:w="109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0.019</w:t>
                  </w:r>
                </w:p>
              </w:tc>
              <w:tc>
                <w:tcPr>
                  <w:tcW w:w="82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13</w:t>
                  </w:r>
                </w:p>
              </w:tc>
              <w:tc>
                <w:tcPr>
                  <w:tcW w:w="176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023"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1035"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144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第三次</w:t>
                  </w:r>
                </w:p>
              </w:tc>
              <w:tc>
                <w:tcPr>
                  <w:tcW w:w="115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0.23</w:t>
                  </w:r>
                </w:p>
              </w:tc>
              <w:tc>
                <w:tcPr>
                  <w:tcW w:w="109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0.022</w:t>
                  </w:r>
                </w:p>
              </w:tc>
              <w:tc>
                <w:tcPr>
                  <w:tcW w:w="82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12</w:t>
                  </w:r>
                </w:p>
              </w:tc>
              <w:tc>
                <w:tcPr>
                  <w:tcW w:w="176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023"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1035"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144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第四次</w:t>
                  </w:r>
                </w:p>
              </w:tc>
              <w:tc>
                <w:tcPr>
                  <w:tcW w:w="115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w:t>
                  </w:r>
                </w:p>
              </w:tc>
              <w:tc>
                <w:tcPr>
                  <w:tcW w:w="109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w:t>
                  </w:r>
                </w:p>
              </w:tc>
              <w:tc>
                <w:tcPr>
                  <w:tcW w:w="82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15</w:t>
                  </w:r>
                </w:p>
              </w:tc>
              <w:tc>
                <w:tcPr>
                  <w:tcW w:w="176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3" w:type="dxa"/>
                  <w:vMerge w:val="restar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2#下风向</w:t>
                  </w:r>
                </w:p>
              </w:tc>
              <w:tc>
                <w:tcPr>
                  <w:tcW w:w="1035"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14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第一次</w:t>
                  </w:r>
                </w:p>
              </w:tc>
              <w:tc>
                <w:tcPr>
                  <w:tcW w:w="115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0.19</w:t>
                  </w:r>
                </w:p>
              </w:tc>
              <w:tc>
                <w:tcPr>
                  <w:tcW w:w="109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0.024</w:t>
                  </w:r>
                </w:p>
              </w:tc>
              <w:tc>
                <w:tcPr>
                  <w:tcW w:w="82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12</w:t>
                  </w:r>
                </w:p>
              </w:tc>
              <w:tc>
                <w:tcPr>
                  <w:tcW w:w="176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3"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1035"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144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第二次</w:t>
                  </w:r>
                </w:p>
              </w:tc>
              <w:tc>
                <w:tcPr>
                  <w:tcW w:w="115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0.24</w:t>
                  </w:r>
                </w:p>
              </w:tc>
              <w:tc>
                <w:tcPr>
                  <w:tcW w:w="109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0.023</w:t>
                  </w:r>
                </w:p>
              </w:tc>
              <w:tc>
                <w:tcPr>
                  <w:tcW w:w="82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12</w:t>
                  </w:r>
                </w:p>
              </w:tc>
              <w:tc>
                <w:tcPr>
                  <w:tcW w:w="176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3"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1035"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144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第三次</w:t>
                  </w:r>
                </w:p>
              </w:tc>
              <w:tc>
                <w:tcPr>
                  <w:tcW w:w="115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0.25</w:t>
                  </w:r>
                </w:p>
              </w:tc>
              <w:tc>
                <w:tcPr>
                  <w:tcW w:w="109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0.022</w:t>
                  </w:r>
                </w:p>
              </w:tc>
              <w:tc>
                <w:tcPr>
                  <w:tcW w:w="82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14</w:t>
                  </w:r>
                </w:p>
              </w:tc>
              <w:tc>
                <w:tcPr>
                  <w:tcW w:w="176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3"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1035"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1441"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lang w:eastAsia="zh-CN"/>
                    </w:rPr>
                  </w:pPr>
                  <w:r>
                    <w:rPr>
                      <w:rFonts w:hint="default"/>
                      <w:color w:val="auto"/>
                      <w:sz w:val="21"/>
                      <w:szCs w:val="21"/>
                      <w:lang w:eastAsia="zh-CN"/>
                    </w:rPr>
                    <w:t>第四次</w:t>
                  </w:r>
                </w:p>
              </w:tc>
              <w:tc>
                <w:tcPr>
                  <w:tcW w:w="115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w:t>
                  </w:r>
                </w:p>
              </w:tc>
              <w:tc>
                <w:tcPr>
                  <w:tcW w:w="109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w:t>
                  </w:r>
                </w:p>
              </w:tc>
              <w:tc>
                <w:tcPr>
                  <w:tcW w:w="82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11</w:t>
                  </w:r>
                </w:p>
              </w:tc>
              <w:tc>
                <w:tcPr>
                  <w:tcW w:w="176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3" w:type="dxa"/>
                  <w:vMerge w:val="restar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3#下风向</w:t>
                  </w:r>
                </w:p>
              </w:tc>
              <w:tc>
                <w:tcPr>
                  <w:tcW w:w="1035"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144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第一次</w:t>
                  </w:r>
                </w:p>
              </w:tc>
              <w:tc>
                <w:tcPr>
                  <w:tcW w:w="115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0.18</w:t>
                  </w:r>
                </w:p>
              </w:tc>
              <w:tc>
                <w:tcPr>
                  <w:tcW w:w="109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0.023</w:t>
                  </w:r>
                </w:p>
              </w:tc>
              <w:tc>
                <w:tcPr>
                  <w:tcW w:w="82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12</w:t>
                  </w:r>
                </w:p>
              </w:tc>
              <w:tc>
                <w:tcPr>
                  <w:tcW w:w="176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3"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1035"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144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第二次</w:t>
                  </w:r>
                </w:p>
              </w:tc>
              <w:tc>
                <w:tcPr>
                  <w:tcW w:w="115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0.23</w:t>
                  </w:r>
                </w:p>
              </w:tc>
              <w:tc>
                <w:tcPr>
                  <w:tcW w:w="109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0.022</w:t>
                  </w:r>
                </w:p>
              </w:tc>
              <w:tc>
                <w:tcPr>
                  <w:tcW w:w="82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13</w:t>
                  </w:r>
                </w:p>
              </w:tc>
              <w:tc>
                <w:tcPr>
                  <w:tcW w:w="176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3"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1035"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144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第三次</w:t>
                  </w:r>
                </w:p>
              </w:tc>
              <w:tc>
                <w:tcPr>
                  <w:tcW w:w="115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0.2</w:t>
                  </w:r>
                </w:p>
              </w:tc>
              <w:tc>
                <w:tcPr>
                  <w:tcW w:w="109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0.022</w:t>
                  </w:r>
                </w:p>
              </w:tc>
              <w:tc>
                <w:tcPr>
                  <w:tcW w:w="82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13</w:t>
                  </w:r>
                </w:p>
              </w:tc>
              <w:tc>
                <w:tcPr>
                  <w:tcW w:w="176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3"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1035"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144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第四次</w:t>
                  </w:r>
                </w:p>
              </w:tc>
              <w:tc>
                <w:tcPr>
                  <w:tcW w:w="115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w:t>
                  </w:r>
                </w:p>
              </w:tc>
              <w:tc>
                <w:tcPr>
                  <w:tcW w:w="109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w:t>
                  </w:r>
                </w:p>
              </w:tc>
              <w:tc>
                <w:tcPr>
                  <w:tcW w:w="82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13</w:t>
                  </w:r>
                </w:p>
              </w:tc>
              <w:tc>
                <w:tcPr>
                  <w:tcW w:w="176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1.27</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无组织废气颗粒物检测为2022.2.22日由山东邦杰环境检测有限公司进行检测，检测结果如下：</w:t>
            </w:r>
          </w:p>
          <w:p>
            <w:pPr>
              <w:keepNext w:val="0"/>
              <w:keepLines w:val="0"/>
              <w:pageBreakBefore w:val="0"/>
              <w:kinsoku/>
              <w:wordWrap/>
              <w:overflowPunct/>
              <w:topLinePunct w:val="0"/>
              <w:autoSpaceDE/>
              <w:autoSpaceDN/>
              <w:bidi w:val="0"/>
              <w:spacing w:line="360" w:lineRule="auto"/>
              <w:jc w:val="center"/>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表25 现有项目厂界无组织废气检测结果表</w:t>
            </w:r>
          </w:p>
          <w:tbl>
            <w:tblPr>
              <w:tblStyle w:val="20"/>
              <w:tblW w:w="83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716"/>
              <w:gridCol w:w="1380"/>
              <w:gridCol w:w="2500"/>
              <w:gridCol w:w="1380"/>
              <w:gridCol w:w="13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rPr>
                <w:trHeight w:val="796" w:hRule="atLeast"/>
                <w:jc w:val="center"/>
              </w:trPr>
              <w:tc>
                <w:tcPr>
                  <w:tcW w:w="171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采样日期</w:t>
                  </w:r>
                </w:p>
              </w:tc>
              <w:tc>
                <w:tcPr>
                  <w:tcW w:w="13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检测项目</w:t>
                  </w:r>
                </w:p>
              </w:tc>
              <w:tc>
                <w:tcPr>
                  <w:tcW w:w="250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样品编号</w:t>
                  </w:r>
                </w:p>
              </w:tc>
              <w:tc>
                <w:tcPr>
                  <w:tcW w:w="13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监测点</w:t>
                  </w:r>
                </w:p>
              </w:tc>
              <w:tc>
                <w:tcPr>
                  <w:tcW w:w="13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检测浓度（mg/m</w:t>
                  </w:r>
                  <w:r>
                    <w:rPr>
                      <w:rFonts w:hint="default"/>
                      <w:color w:val="auto"/>
                      <w:sz w:val="21"/>
                      <w:szCs w:val="21"/>
                      <w:vertAlign w:val="superscript"/>
                      <w:lang w:val="en-US" w:eastAsia="zh-CN"/>
                    </w:rPr>
                    <w:t>3</w:t>
                  </w:r>
                  <w:r>
                    <w:rPr>
                      <w:rFonts w:hint="default"/>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rPr>
                <w:trHeight w:val="384" w:hRule="atLeast"/>
                <w:jc w:val="center"/>
              </w:trPr>
              <w:tc>
                <w:tcPr>
                  <w:tcW w:w="1716" w:type="dxa"/>
                  <w:vMerge w:val="restar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2022.02.22</w:t>
                  </w:r>
                </w:p>
              </w:tc>
              <w:tc>
                <w:tcPr>
                  <w:tcW w:w="1380" w:type="dxa"/>
                  <w:vMerge w:val="restar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颗粒物</w:t>
                  </w:r>
                </w:p>
              </w:tc>
              <w:tc>
                <w:tcPr>
                  <w:tcW w:w="250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2022022114HQ013</w:t>
                  </w:r>
                </w:p>
              </w:tc>
              <w:tc>
                <w:tcPr>
                  <w:tcW w:w="13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1#上风向</w:t>
                  </w:r>
                </w:p>
              </w:tc>
              <w:tc>
                <w:tcPr>
                  <w:tcW w:w="13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rPr>
                <w:trHeight w:val="384" w:hRule="atLeast"/>
                <w:jc w:val="center"/>
              </w:trPr>
              <w:tc>
                <w:tcPr>
                  <w:tcW w:w="1716"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1380"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250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2022022114HQ014</w:t>
                  </w:r>
                </w:p>
              </w:tc>
              <w:tc>
                <w:tcPr>
                  <w:tcW w:w="13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1#上风向</w:t>
                  </w:r>
                </w:p>
              </w:tc>
              <w:tc>
                <w:tcPr>
                  <w:tcW w:w="13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0.283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rPr>
                <w:trHeight w:val="384" w:hRule="atLeast"/>
                <w:jc w:val="center"/>
              </w:trPr>
              <w:tc>
                <w:tcPr>
                  <w:tcW w:w="1716"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1380"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250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2022022114HQ015</w:t>
                  </w:r>
                </w:p>
              </w:tc>
              <w:tc>
                <w:tcPr>
                  <w:tcW w:w="13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1#上风向</w:t>
                  </w:r>
                </w:p>
              </w:tc>
              <w:tc>
                <w:tcPr>
                  <w:tcW w:w="13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0.266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rPr>
                <w:trHeight w:val="384" w:hRule="atLeast"/>
                <w:jc w:val="center"/>
              </w:trPr>
              <w:tc>
                <w:tcPr>
                  <w:tcW w:w="1716"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1380"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250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2022022114HQ016</w:t>
                  </w:r>
                </w:p>
              </w:tc>
              <w:tc>
                <w:tcPr>
                  <w:tcW w:w="13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2#下风向</w:t>
                  </w:r>
                </w:p>
              </w:tc>
              <w:tc>
                <w:tcPr>
                  <w:tcW w:w="13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0.490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rPr>
                <w:trHeight w:val="384" w:hRule="atLeast"/>
                <w:jc w:val="center"/>
              </w:trPr>
              <w:tc>
                <w:tcPr>
                  <w:tcW w:w="1716"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1380"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250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2022022114HQ017</w:t>
                  </w:r>
                </w:p>
              </w:tc>
              <w:tc>
                <w:tcPr>
                  <w:tcW w:w="13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2#下风向</w:t>
                  </w:r>
                </w:p>
              </w:tc>
              <w:tc>
                <w:tcPr>
                  <w:tcW w:w="13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0.433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rPr>
                <w:trHeight w:val="384" w:hRule="atLeast"/>
                <w:jc w:val="center"/>
              </w:trPr>
              <w:tc>
                <w:tcPr>
                  <w:tcW w:w="1716"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1380"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250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2022022114HQ018</w:t>
                  </w:r>
                </w:p>
              </w:tc>
              <w:tc>
                <w:tcPr>
                  <w:tcW w:w="13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2#下风向</w:t>
                  </w:r>
                </w:p>
              </w:tc>
              <w:tc>
                <w:tcPr>
                  <w:tcW w:w="13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0.466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4" w:hRule="atLeast"/>
                <w:jc w:val="center"/>
              </w:trPr>
              <w:tc>
                <w:tcPr>
                  <w:tcW w:w="1716"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1380"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250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2022022114HQ019</w:t>
                  </w:r>
                </w:p>
              </w:tc>
              <w:tc>
                <w:tcPr>
                  <w:tcW w:w="13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3#下风向</w:t>
                  </w:r>
                </w:p>
              </w:tc>
              <w:tc>
                <w:tcPr>
                  <w:tcW w:w="13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0.416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23" w:hRule="atLeast"/>
                <w:jc w:val="center"/>
              </w:trPr>
              <w:tc>
                <w:tcPr>
                  <w:tcW w:w="1716"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1380"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250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2022022114HQ020</w:t>
                  </w:r>
                </w:p>
              </w:tc>
              <w:tc>
                <w:tcPr>
                  <w:tcW w:w="13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3#下风向</w:t>
                  </w:r>
                </w:p>
              </w:tc>
              <w:tc>
                <w:tcPr>
                  <w:tcW w:w="13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84" w:hRule="atLeast"/>
                <w:jc w:val="center"/>
              </w:trPr>
              <w:tc>
                <w:tcPr>
                  <w:tcW w:w="1716"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1380"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250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2022022114HQ021</w:t>
                  </w:r>
                </w:p>
              </w:tc>
              <w:tc>
                <w:tcPr>
                  <w:tcW w:w="13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3#下风向</w:t>
                  </w:r>
                </w:p>
              </w:tc>
              <w:tc>
                <w:tcPr>
                  <w:tcW w:w="13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0.450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84" w:hRule="atLeast"/>
                <w:jc w:val="center"/>
              </w:trPr>
              <w:tc>
                <w:tcPr>
                  <w:tcW w:w="1716"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1380"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250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2022022114HQ022</w:t>
                  </w:r>
                </w:p>
              </w:tc>
              <w:tc>
                <w:tcPr>
                  <w:tcW w:w="13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4#下风向</w:t>
                  </w:r>
                </w:p>
              </w:tc>
              <w:tc>
                <w:tcPr>
                  <w:tcW w:w="13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0.383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84" w:hRule="atLeast"/>
                <w:jc w:val="center"/>
              </w:trPr>
              <w:tc>
                <w:tcPr>
                  <w:tcW w:w="1716"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1380"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250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2022022114HQ023</w:t>
                  </w:r>
                </w:p>
              </w:tc>
              <w:tc>
                <w:tcPr>
                  <w:tcW w:w="13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4#下风向</w:t>
                  </w:r>
                </w:p>
              </w:tc>
              <w:tc>
                <w:tcPr>
                  <w:tcW w:w="13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0.483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84" w:hRule="atLeast"/>
                <w:jc w:val="center"/>
              </w:trPr>
              <w:tc>
                <w:tcPr>
                  <w:tcW w:w="1716"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1380"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auto"/>
                      <w:sz w:val="21"/>
                      <w:szCs w:val="21"/>
                    </w:rPr>
                  </w:pPr>
                </w:p>
              </w:tc>
              <w:tc>
                <w:tcPr>
                  <w:tcW w:w="250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2022022114HQ024</w:t>
                  </w:r>
                </w:p>
              </w:tc>
              <w:tc>
                <w:tcPr>
                  <w:tcW w:w="13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4#下风向</w:t>
                  </w:r>
                </w:p>
              </w:tc>
              <w:tc>
                <w:tcPr>
                  <w:tcW w:w="138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0.417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73" w:hRule="atLeast"/>
                <w:jc w:val="center"/>
              </w:trPr>
              <w:tc>
                <w:tcPr>
                  <w:tcW w:w="171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备注</w:t>
                  </w:r>
                </w:p>
              </w:tc>
              <w:tc>
                <w:tcPr>
                  <w:tcW w:w="6640" w:type="dxa"/>
                  <w:gridSpan w:val="4"/>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根据上述检测分析结果：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default"/>
                <w:color w:val="auto"/>
                <w:sz w:val="24"/>
                <w:szCs w:val="24"/>
                <w:lang w:val="en-US" w:eastAsia="zh-CN"/>
              </w:rPr>
              <w:t>原有项目厂界无组织VOCs(以非甲烷总烃计)浓度最大值为1.28mg/m</w:t>
            </w:r>
            <w:r>
              <w:rPr>
                <w:rFonts w:hint="default"/>
                <w:color w:val="auto"/>
                <w:sz w:val="24"/>
                <w:szCs w:val="24"/>
                <w:vertAlign w:val="superscript"/>
                <w:lang w:val="en-US" w:eastAsia="zh-CN"/>
              </w:rPr>
              <w:t>3</w:t>
            </w:r>
            <w:r>
              <w:rPr>
                <w:rFonts w:hint="eastAsia"/>
                <w:color w:val="auto"/>
                <w:sz w:val="24"/>
                <w:szCs w:val="24"/>
                <w:vertAlign w:val="baseline"/>
                <w:lang w:val="en-US" w:eastAsia="zh-CN"/>
              </w:rPr>
              <w:t>、臭气浓度最大值为15、氨最大浓度值为0.25</w:t>
            </w:r>
            <w:r>
              <w:rPr>
                <w:rFonts w:hint="default"/>
                <w:color w:val="auto"/>
                <w:sz w:val="24"/>
                <w:szCs w:val="24"/>
                <w:lang w:val="en-US" w:eastAsia="zh-CN"/>
              </w:rPr>
              <w:t>mg/m</w:t>
            </w:r>
            <w:r>
              <w:rPr>
                <w:rFonts w:hint="default"/>
                <w:color w:val="auto"/>
                <w:sz w:val="24"/>
                <w:szCs w:val="24"/>
                <w:vertAlign w:val="superscript"/>
                <w:lang w:val="en-US" w:eastAsia="zh-CN"/>
              </w:rPr>
              <w:t>3</w:t>
            </w:r>
            <w:r>
              <w:rPr>
                <w:rFonts w:hint="eastAsia"/>
                <w:color w:val="auto"/>
                <w:sz w:val="24"/>
                <w:szCs w:val="24"/>
                <w:vertAlign w:val="baseline"/>
                <w:lang w:val="en-US" w:eastAsia="zh-CN"/>
              </w:rPr>
              <w:t>、硫化氢最大浓度值为0.024</w:t>
            </w:r>
            <w:r>
              <w:rPr>
                <w:rFonts w:hint="default"/>
                <w:color w:val="auto"/>
                <w:sz w:val="24"/>
                <w:szCs w:val="24"/>
                <w:lang w:val="en-US" w:eastAsia="zh-CN"/>
              </w:rPr>
              <w:t>mg/m</w:t>
            </w:r>
            <w:r>
              <w:rPr>
                <w:rFonts w:hint="default"/>
                <w:color w:val="auto"/>
                <w:sz w:val="24"/>
                <w:szCs w:val="24"/>
                <w:vertAlign w:val="superscript"/>
                <w:lang w:val="en-US" w:eastAsia="zh-CN"/>
              </w:rPr>
              <w:t>3</w:t>
            </w:r>
            <w:r>
              <w:rPr>
                <w:rFonts w:hint="eastAsia"/>
                <w:color w:val="auto"/>
                <w:sz w:val="24"/>
                <w:szCs w:val="24"/>
                <w:vertAlign w:val="baseline"/>
                <w:lang w:val="en-US" w:eastAsia="zh-CN"/>
              </w:rPr>
              <w:t>，无组织VOC</w:t>
            </w:r>
            <w:r>
              <w:rPr>
                <w:rFonts w:hint="eastAsia"/>
                <w:color w:val="auto"/>
                <w:sz w:val="24"/>
                <w:szCs w:val="24"/>
                <w:vertAlign w:val="subscript"/>
                <w:lang w:val="en-US" w:eastAsia="zh-CN"/>
              </w:rPr>
              <w:t>S</w:t>
            </w:r>
            <w:r>
              <w:rPr>
                <w:rFonts w:hint="eastAsia"/>
                <w:color w:val="auto"/>
                <w:sz w:val="24"/>
                <w:szCs w:val="24"/>
                <w:vertAlign w:val="baseline"/>
                <w:lang w:val="en-US" w:eastAsia="zh-CN"/>
              </w:rPr>
              <w:t>、臭气浓度</w:t>
            </w:r>
            <w:r>
              <w:rPr>
                <w:rFonts w:hint="default"/>
                <w:color w:val="auto"/>
                <w:sz w:val="24"/>
                <w:szCs w:val="24"/>
                <w:lang w:val="en-US" w:eastAsia="zh-CN"/>
              </w:rPr>
              <w:t>满足《挥发性有机物排放标准第7部分：其他行业》（DB37/2801.7-2019）表2厂界监控点浓度限值（VOC</w:t>
            </w:r>
            <w:r>
              <w:rPr>
                <w:rFonts w:hint="default"/>
                <w:color w:val="auto"/>
                <w:sz w:val="24"/>
                <w:szCs w:val="24"/>
                <w:vertAlign w:val="subscript"/>
                <w:lang w:val="en-US" w:eastAsia="zh-CN"/>
              </w:rPr>
              <w:t>S</w:t>
            </w:r>
            <w:r>
              <w:rPr>
                <w:rFonts w:hint="default"/>
                <w:color w:val="auto"/>
                <w:sz w:val="24"/>
                <w:szCs w:val="24"/>
                <w:lang w:val="en-US" w:eastAsia="zh-CN"/>
              </w:rPr>
              <w:t>：2.0mg/m</w:t>
            </w:r>
            <w:r>
              <w:rPr>
                <w:rFonts w:hint="default"/>
                <w:color w:val="auto"/>
                <w:sz w:val="24"/>
                <w:szCs w:val="24"/>
                <w:vertAlign w:val="superscript"/>
                <w:lang w:val="en-US" w:eastAsia="zh-CN"/>
              </w:rPr>
              <w:t>3</w:t>
            </w:r>
            <w:r>
              <w:rPr>
                <w:rFonts w:hint="eastAsia"/>
                <w:color w:val="auto"/>
                <w:sz w:val="24"/>
                <w:szCs w:val="24"/>
                <w:vertAlign w:val="baseline"/>
                <w:lang w:val="en-US" w:eastAsia="zh-CN"/>
              </w:rPr>
              <w:t>、臭气浓度16</w:t>
            </w:r>
            <w:r>
              <w:rPr>
                <w:rFonts w:hint="default"/>
                <w:color w:val="auto"/>
                <w:sz w:val="24"/>
                <w:szCs w:val="24"/>
                <w:lang w:val="en-US" w:eastAsia="zh-CN"/>
              </w:rPr>
              <w:t>）</w:t>
            </w:r>
            <w:r>
              <w:rPr>
                <w:rFonts w:hint="eastAsia"/>
                <w:color w:val="auto"/>
                <w:sz w:val="24"/>
                <w:szCs w:val="24"/>
                <w:lang w:val="en-US" w:eastAsia="zh-CN"/>
              </w:rPr>
              <w:t>；无组织氨、硫化氢浓度能满足</w:t>
            </w:r>
            <w:r>
              <w:rPr>
                <w:rFonts w:hint="eastAsia"/>
                <w:bCs/>
                <w:color w:val="auto"/>
                <w:kern w:val="36"/>
                <w:sz w:val="24"/>
                <w:szCs w:val="24"/>
              </w:rPr>
              <w:t>《恶臭污染物排放标准》（GB14554-93）中表1标准要求（硫化氢0.</w:t>
            </w:r>
            <w:r>
              <w:rPr>
                <w:rFonts w:hint="eastAsia"/>
                <w:bCs/>
                <w:color w:val="auto"/>
                <w:kern w:val="36"/>
                <w:sz w:val="24"/>
                <w:szCs w:val="24"/>
                <w:lang w:val="en-US" w:eastAsia="zh-CN"/>
              </w:rPr>
              <w:t>1</w:t>
            </w:r>
            <w:r>
              <w:rPr>
                <w:rFonts w:hint="eastAsia"/>
                <w:bCs/>
                <w:color w:val="auto"/>
                <w:kern w:val="36"/>
                <w:sz w:val="24"/>
                <w:szCs w:val="24"/>
              </w:rPr>
              <w:t>mg/m</w:t>
            </w:r>
            <w:r>
              <w:rPr>
                <w:rFonts w:hint="eastAsia"/>
                <w:bCs/>
                <w:color w:val="auto"/>
                <w:kern w:val="36"/>
                <w:sz w:val="24"/>
                <w:szCs w:val="24"/>
                <w:vertAlign w:val="superscript"/>
              </w:rPr>
              <w:t>3</w:t>
            </w:r>
            <w:r>
              <w:rPr>
                <w:rFonts w:hint="eastAsia"/>
                <w:bCs/>
                <w:color w:val="auto"/>
                <w:kern w:val="36"/>
                <w:sz w:val="24"/>
                <w:szCs w:val="24"/>
              </w:rPr>
              <w:t>、氨</w:t>
            </w:r>
            <w:r>
              <w:rPr>
                <w:rFonts w:hint="eastAsia"/>
                <w:bCs/>
                <w:color w:val="auto"/>
                <w:kern w:val="36"/>
                <w:sz w:val="24"/>
                <w:szCs w:val="24"/>
                <w:lang w:val="en-US" w:eastAsia="zh-CN"/>
              </w:rPr>
              <w:t>2.0</w:t>
            </w:r>
            <w:r>
              <w:rPr>
                <w:rFonts w:hint="eastAsia"/>
                <w:bCs/>
                <w:color w:val="auto"/>
                <w:kern w:val="36"/>
                <w:sz w:val="24"/>
                <w:szCs w:val="24"/>
              </w:rPr>
              <w:t>mg/m</w:t>
            </w:r>
            <w:r>
              <w:rPr>
                <w:rFonts w:hint="eastAsia"/>
                <w:bCs/>
                <w:color w:val="auto"/>
                <w:kern w:val="36"/>
                <w:sz w:val="24"/>
                <w:szCs w:val="24"/>
                <w:vertAlign w:val="superscript"/>
              </w:rPr>
              <w:t>3</w:t>
            </w:r>
            <w:r>
              <w:rPr>
                <w:rFonts w:hint="eastAsia"/>
                <w:bCs/>
                <w:color w:val="auto"/>
                <w:kern w:val="36"/>
                <w:sz w:val="24"/>
                <w:szCs w:val="24"/>
              </w:rPr>
              <w:t>）</w:t>
            </w:r>
            <w:r>
              <w:rPr>
                <w:rFonts w:hint="default"/>
                <w:color w:val="auto"/>
                <w:sz w:val="24"/>
                <w:szCs w:val="24"/>
                <w:lang w:val="en-US" w:eastAsia="zh-CN"/>
              </w:rPr>
              <w:t>。</w:t>
            </w:r>
            <w:r>
              <w:rPr>
                <w:rFonts w:hint="default"/>
                <w:color w:val="auto"/>
                <w:sz w:val="24"/>
                <w:szCs w:val="24"/>
                <w:lang w:eastAsia="zh-CN"/>
              </w:rPr>
              <w:t>原有</w:t>
            </w:r>
            <w:r>
              <w:rPr>
                <w:rFonts w:hint="default"/>
                <w:color w:val="auto"/>
                <w:sz w:val="24"/>
                <w:szCs w:val="24"/>
              </w:rPr>
              <w:t>项目厂界无组织</w:t>
            </w:r>
            <w:r>
              <w:rPr>
                <w:rFonts w:hint="default"/>
                <w:color w:val="auto"/>
                <w:sz w:val="24"/>
                <w:szCs w:val="24"/>
                <w:lang w:eastAsia="zh-CN"/>
              </w:rPr>
              <w:t>颗粒物浓度最大值为</w:t>
            </w:r>
            <w:r>
              <w:rPr>
                <w:rFonts w:hint="default"/>
                <w:color w:val="auto"/>
                <w:sz w:val="24"/>
                <w:szCs w:val="24"/>
                <w:lang w:val="en-US" w:eastAsia="zh-CN"/>
              </w:rPr>
              <w:t>0.49mg/m</w:t>
            </w:r>
            <w:r>
              <w:rPr>
                <w:rFonts w:hint="default"/>
                <w:color w:val="auto"/>
                <w:sz w:val="24"/>
                <w:szCs w:val="24"/>
                <w:vertAlign w:val="superscript"/>
                <w:lang w:val="en-US" w:eastAsia="zh-CN"/>
              </w:rPr>
              <w:t>3</w:t>
            </w:r>
            <w:r>
              <w:rPr>
                <w:rFonts w:hint="default"/>
                <w:color w:val="auto"/>
                <w:sz w:val="24"/>
                <w:szCs w:val="24"/>
                <w:lang w:val="en-US" w:eastAsia="zh-CN"/>
              </w:rPr>
              <w:t>，</w:t>
            </w:r>
            <w:r>
              <w:rPr>
                <w:rFonts w:hint="default"/>
                <w:color w:val="auto"/>
                <w:sz w:val="24"/>
                <w:szCs w:val="24"/>
              </w:rPr>
              <w:t>满足《大气污染物综合排放标准》（</w:t>
            </w:r>
            <w:r>
              <w:rPr>
                <w:rFonts w:hint="default"/>
                <w:color w:val="auto"/>
                <w:sz w:val="24"/>
                <w:szCs w:val="24"/>
                <w:lang w:val="en-US" w:eastAsia="zh-CN"/>
              </w:rPr>
              <w:t>GB</w:t>
            </w:r>
            <w:r>
              <w:rPr>
                <w:rFonts w:hint="default"/>
                <w:color w:val="auto"/>
                <w:sz w:val="24"/>
                <w:szCs w:val="24"/>
              </w:rPr>
              <w:t>16297－19</w:t>
            </w:r>
            <w:r>
              <w:rPr>
                <w:rFonts w:hint="default"/>
                <w:color w:val="auto"/>
                <w:sz w:val="24"/>
                <w:szCs w:val="24"/>
                <w:lang w:val="en-US" w:eastAsia="zh-CN"/>
              </w:rPr>
              <w:t>9</w:t>
            </w:r>
            <w:r>
              <w:rPr>
                <w:rFonts w:hint="default"/>
                <w:color w:val="auto"/>
                <w:sz w:val="24"/>
                <w:szCs w:val="24"/>
              </w:rPr>
              <w:t>6）表2中排放限值</w:t>
            </w:r>
            <w:r>
              <w:rPr>
                <w:rFonts w:hint="default"/>
                <w:color w:val="auto"/>
                <w:sz w:val="24"/>
                <w:szCs w:val="24"/>
                <w:lang w:eastAsia="zh-CN"/>
              </w:rPr>
              <w:t>（</w:t>
            </w:r>
            <w:r>
              <w:rPr>
                <w:rFonts w:hint="default"/>
                <w:color w:val="auto"/>
                <w:sz w:val="24"/>
                <w:szCs w:val="24"/>
                <w:lang w:val="en-US" w:eastAsia="zh-CN"/>
              </w:rPr>
              <w:t>1.0mg/m</w:t>
            </w:r>
            <w:r>
              <w:rPr>
                <w:rFonts w:hint="default"/>
                <w:color w:val="auto"/>
                <w:sz w:val="24"/>
                <w:szCs w:val="24"/>
                <w:vertAlign w:val="superscript"/>
                <w:lang w:val="en-US" w:eastAsia="zh-CN"/>
              </w:rPr>
              <w:t>3</w:t>
            </w:r>
            <w:r>
              <w:rPr>
                <w:rFonts w:hint="default"/>
                <w:color w:val="auto"/>
                <w:sz w:val="24"/>
                <w:szCs w:val="24"/>
                <w:lang w:eastAsia="zh-CN"/>
              </w:rPr>
              <w:t>）</w:t>
            </w:r>
            <w:r>
              <w:rPr>
                <w:rFonts w:hint="default"/>
                <w:color w:val="auto"/>
                <w:sz w:val="24"/>
                <w:szCs w:val="24"/>
              </w:rPr>
              <w:t>要求</w:t>
            </w:r>
            <w:r>
              <w:rPr>
                <w:rFonts w:hint="default"/>
                <w:color w:val="auto"/>
                <w:sz w:val="24"/>
                <w:szCs w:val="24"/>
                <w:lang w:eastAsia="zh-CN"/>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465" w:leftChars="0"/>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1.3噪声</w:t>
            </w:r>
          </w:p>
          <w:p>
            <w:pPr>
              <w:pStyle w:val="2"/>
              <w:keepNext w:val="0"/>
              <w:keepLines w:val="0"/>
              <w:pageBreakBefore w:val="0"/>
              <w:kinsoku/>
              <w:wordWrap/>
              <w:overflowPunct/>
              <w:topLinePunct w:val="0"/>
              <w:autoSpaceDE/>
              <w:autoSpaceDN/>
              <w:bidi w:val="0"/>
              <w:spacing w:line="360" w:lineRule="auto"/>
              <w:ind w:left="0" w:leftChars="0" w:firstLine="420" w:firstLineChars="0"/>
              <w:rPr>
                <w:rFonts w:hint="default"/>
                <w:color w:val="auto"/>
                <w:sz w:val="24"/>
                <w:szCs w:val="24"/>
                <w:lang w:val="en-US" w:eastAsia="zh-CN"/>
              </w:rPr>
            </w:pPr>
            <w:r>
              <w:rPr>
                <w:rFonts w:hint="default"/>
                <w:color w:val="auto"/>
                <w:sz w:val="24"/>
                <w:szCs w:val="24"/>
                <w:lang w:val="en-US" w:eastAsia="zh-CN"/>
              </w:rPr>
              <w:t>企业委托山东尚水检测有限公司于2022年8月11日对厂界噪声进行了监测，监测期间，原有项目处于正常生产状态。检测结果如下：</w:t>
            </w:r>
          </w:p>
          <w:p>
            <w:pPr>
              <w:keepNext w:val="0"/>
              <w:keepLines w:val="0"/>
              <w:pageBreakBefore w:val="0"/>
              <w:kinsoku/>
              <w:wordWrap/>
              <w:overflowPunct/>
              <w:topLinePunct w:val="0"/>
              <w:autoSpaceDE/>
              <w:autoSpaceDN/>
              <w:bidi w:val="0"/>
              <w:spacing w:line="360" w:lineRule="auto"/>
              <w:ind w:firstLine="420"/>
              <w:jc w:val="center"/>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表26 厂界噪声检测结果表</w:t>
            </w:r>
          </w:p>
          <w:tbl>
            <w:tblPr>
              <w:tblStyle w:val="20"/>
              <w:tblW w:w="832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578"/>
              <w:gridCol w:w="2379"/>
              <w:gridCol w:w="23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rPr>
                <w:trHeight w:val="270" w:hRule="atLeast"/>
                <w:jc w:val="center"/>
              </w:trPr>
              <w:tc>
                <w:tcPr>
                  <w:tcW w:w="357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auto"/>
                      <w:sz w:val="21"/>
                      <w:szCs w:val="21"/>
                    </w:rPr>
                  </w:pPr>
                  <w:r>
                    <w:rPr>
                      <w:rFonts w:hint="default"/>
                      <w:color w:val="auto"/>
                      <w:sz w:val="21"/>
                      <w:szCs w:val="21"/>
                      <w:lang w:val="en-US" w:eastAsia="zh-CN"/>
                    </w:rPr>
                    <w:t>项目</w:t>
                  </w:r>
                </w:p>
              </w:tc>
              <w:tc>
                <w:tcPr>
                  <w:tcW w:w="4747" w:type="dxa"/>
                  <w:gridSpan w:val="2"/>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ind w:firstLine="420" w:firstLineChars="200"/>
                    <w:jc w:val="center"/>
                    <w:textAlignment w:val="center"/>
                    <w:rPr>
                      <w:rFonts w:hint="default"/>
                      <w:color w:val="auto"/>
                      <w:sz w:val="21"/>
                      <w:szCs w:val="21"/>
                    </w:rPr>
                  </w:pPr>
                  <w:r>
                    <w:rPr>
                      <w:rFonts w:hint="default"/>
                      <w:color w:val="auto"/>
                      <w:sz w:val="21"/>
                      <w:szCs w:val="21"/>
                      <w:lang w:val="en-US" w:eastAsia="zh-CN"/>
                    </w:rPr>
                    <w:t>等效连续A声级（dB（A））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578" w:type="dxa"/>
                  <w:vMerge w:val="restart"/>
                  <w:tcBorders>
                    <w:tl2br w:val="nil"/>
                    <w:tr2bl w:val="nil"/>
                  </w:tcBorders>
                  <w:shd w:val="clear" w:color="auto" w:fill="auto"/>
                  <w:noWrap/>
                  <w:vAlign w:val="center"/>
                  <mc:AlternateContent>
                    <mc:Choice Requires="wpsCustomData">
                      <wpsCustomData:diagonals>
                        <wpsCustomData:diagonal from="10000" to="30000">
                          <wpsCustomData:border w:val="single" w:color="auto" w:sz="12" w:space="0"/>
                        </wpsCustomData:diagonal>
                      </wpsCustomData:diagonals>
                    </mc:Choice>
                  </mc:AlternateContent>
                </w:tcPr>
                <w:p>
                  <w:pPr>
                    <w:keepNext w:val="0"/>
                    <w:keepLines w:val="0"/>
                    <w:pageBreakBefore w:val="0"/>
                    <w:widowControl/>
                    <w:kinsoku/>
                    <w:wordWrap/>
                    <w:overflowPunct/>
                    <w:topLinePunct w:val="0"/>
                    <w:autoSpaceDE/>
                    <w:autoSpaceDN/>
                    <w:bidi w:val="0"/>
                    <w:adjustRightInd/>
                    <w:snapToGrid/>
                    <w:spacing w:line="360" w:lineRule="atLeast"/>
                    <w:jc w:val="left"/>
                    <w:rPr>
                      <w:rFonts w:hint="default"/>
                      <w:color w:val="auto"/>
                      <w:sz w:val="21"/>
                      <w:szCs w:val="21"/>
                      <w:lang w:eastAsia="zh-CN"/>
                    </w:rPr>
                  </w:pPr>
                </w:p>
                <w:p>
                  <w:pPr>
                    <w:keepNext w:val="0"/>
                    <w:keepLines w:val="0"/>
                    <w:pageBreakBefore w:val="0"/>
                    <w:widowControl/>
                    <w:kinsoku/>
                    <w:wordWrap/>
                    <w:overflowPunct/>
                    <w:topLinePunct w:val="0"/>
                    <w:autoSpaceDE/>
                    <w:autoSpaceDN/>
                    <w:bidi w:val="0"/>
                    <w:adjustRightInd/>
                    <w:snapToGrid/>
                    <w:spacing w:line="360" w:lineRule="atLeast"/>
                    <w:jc w:val="left"/>
                    <mc:AlternateContent>
                      <mc:Choice Requires="wpsCustomData">
                        <wpsCustomData:diagonalParaType/>
                      </mc:Choice>
                    </mc:AlternateContent>
                    <w:rPr>
                      <w:rFonts w:hint="default"/>
                      <w:color w:val="auto"/>
                      <w:sz w:val="21"/>
                      <w:szCs w:val="21"/>
                      <w:lang w:eastAsia="zh-CN"/>
                    </w:rPr>
                  </w:pPr>
                  <w:r>
                    <w:rPr>
                      <w:rFonts w:hint="default"/>
                      <w:color w:val="auto"/>
                      <w:sz w:val="21"/>
                      <w:szCs w:val="21"/>
                      <w:lang w:eastAsia="zh-CN"/>
                    </w:rPr>
                    <w:t>采样点位</w:t>
                  </w:r>
                </w:p>
                <w:p>
                  <w:pPr>
                    <w:keepNext w:val="0"/>
                    <w:keepLines w:val="0"/>
                    <w:pageBreakBefore w:val="0"/>
                    <w:widowControl/>
                    <w:kinsoku/>
                    <w:wordWrap/>
                    <w:overflowPunct/>
                    <w:topLinePunct w:val="0"/>
                    <w:autoSpaceDE/>
                    <w:autoSpaceDN/>
                    <w:bidi w:val="0"/>
                    <w:adjustRightInd/>
                    <w:snapToGrid/>
                    <w:spacing w:line="360" w:lineRule="atLeast"/>
                    <w:ind w:firstLine="420" w:firstLineChars="200"/>
                    <w:jc w:val="left"/>
                    <w:rPr>
                      <w:rFonts w:hint="default"/>
                      <w:color w:val="auto"/>
                      <w:sz w:val="21"/>
                      <w:szCs w:val="21"/>
                      <w:lang w:eastAsia="zh-CN"/>
                    </w:rPr>
                  </w:pPr>
                  <w:r>
                    <w:rPr>
                      <w:rFonts w:hint="default"/>
                      <w:color w:val="auto"/>
                      <w:sz w:val="21"/>
                      <w:szCs w:val="21"/>
                      <w:lang w:eastAsia="zh-CN"/>
                    </w:rPr>
                    <w:t>采样时间</w:t>
                  </w:r>
                </w:p>
              </w:tc>
              <w:tc>
                <w:tcPr>
                  <w:tcW w:w="4747" w:type="dxa"/>
                  <w:gridSpan w:val="2"/>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ind w:firstLine="420" w:firstLineChars="200"/>
                    <w:jc w:val="center"/>
                    <w:textAlignment w:val="center"/>
                    <w:rPr>
                      <w:rFonts w:hint="default"/>
                      <w:color w:val="auto"/>
                      <w:sz w:val="21"/>
                      <w:szCs w:val="21"/>
                    </w:rPr>
                  </w:pPr>
                  <w:r>
                    <w:rPr>
                      <w:rFonts w:hint="default"/>
                      <w:color w:val="auto"/>
                      <w:sz w:val="21"/>
                      <w:szCs w:val="21"/>
                      <w:lang w:val="en-US" w:eastAsia="zh-CN"/>
                    </w:rPr>
                    <w:t>2022.08.11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3578"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ind w:firstLine="420" w:firstLineChars="200"/>
                    <w:jc w:val="left"/>
                    <w:rPr>
                      <w:rFonts w:hint="default"/>
                      <w:color w:val="auto"/>
                      <w:sz w:val="21"/>
                      <w:szCs w:val="21"/>
                    </w:rPr>
                  </w:pPr>
                </w:p>
              </w:tc>
              <w:tc>
                <w:tcPr>
                  <w:tcW w:w="2379"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ind w:firstLine="0" w:firstLineChars="0"/>
                    <w:jc w:val="center"/>
                    <w:textAlignment w:val="center"/>
                    <w:rPr>
                      <w:rFonts w:hint="default"/>
                      <w:color w:val="auto"/>
                      <w:sz w:val="21"/>
                      <w:szCs w:val="21"/>
                    </w:rPr>
                  </w:pPr>
                  <w:r>
                    <w:rPr>
                      <w:rFonts w:hint="default"/>
                      <w:color w:val="auto"/>
                      <w:sz w:val="21"/>
                      <w:szCs w:val="21"/>
                      <w:lang w:val="en-US" w:eastAsia="zh-CN"/>
                    </w:rPr>
                    <w:t>昼间</w:t>
                  </w:r>
                </w:p>
              </w:tc>
              <w:tc>
                <w:tcPr>
                  <w:tcW w:w="236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ind w:firstLine="0" w:firstLineChars="0"/>
                    <w:jc w:val="center"/>
                    <w:textAlignment w:val="center"/>
                    <w:rPr>
                      <w:rFonts w:hint="default"/>
                      <w:color w:val="auto"/>
                      <w:sz w:val="21"/>
                      <w:szCs w:val="21"/>
                    </w:rPr>
                  </w:pPr>
                  <w:r>
                    <w:rPr>
                      <w:rFonts w:hint="default"/>
                      <w:color w:val="auto"/>
                      <w:sz w:val="21"/>
                      <w:szCs w:val="21"/>
                      <w:lang w:val="en-US" w:eastAsia="zh-CN"/>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57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ind w:firstLine="0" w:firstLineChars="0"/>
                    <w:jc w:val="center"/>
                    <w:textAlignment w:val="center"/>
                    <w:rPr>
                      <w:rFonts w:hint="default"/>
                      <w:color w:val="auto"/>
                      <w:sz w:val="21"/>
                      <w:szCs w:val="21"/>
                    </w:rPr>
                  </w:pPr>
                  <w:r>
                    <w:rPr>
                      <w:rFonts w:hint="default"/>
                      <w:color w:val="auto"/>
                      <w:sz w:val="21"/>
                      <w:szCs w:val="21"/>
                      <w:lang w:val="en-US" w:eastAsia="zh-CN"/>
                    </w:rPr>
                    <w:t>1#东厂界</w:t>
                  </w:r>
                </w:p>
              </w:tc>
              <w:tc>
                <w:tcPr>
                  <w:tcW w:w="2379"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ind w:firstLine="0" w:firstLineChars="0"/>
                    <w:jc w:val="center"/>
                    <w:textAlignment w:val="center"/>
                    <w:rPr>
                      <w:rFonts w:hint="default"/>
                      <w:color w:val="auto"/>
                      <w:sz w:val="21"/>
                      <w:szCs w:val="21"/>
                    </w:rPr>
                  </w:pPr>
                  <w:r>
                    <w:rPr>
                      <w:rFonts w:hint="default"/>
                      <w:color w:val="auto"/>
                      <w:sz w:val="21"/>
                      <w:szCs w:val="21"/>
                      <w:lang w:val="en-US" w:eastAsia="zh-CN"/>
                    </w:rPr>
                    <w:t>57</w:t>
                  </w:r>
                </w:p>
              </w:tc>
              <w:tc>
                <w:tcPr>
                  <w:tcW w:w="236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ind w:firstLine="0" w:firstLineChars="0"/>
                    <w:jc w:val="center"/>
                    <w:textAlignment w:val="center"/>
                    <w:rPr>
                      <w:rFonts w:hint="default"/>
                      <w:color w:val="auto"/>
                      <w:sz w:val="21"/>
                      <w:szCs w:val="21"/>
                    </w:rPr>
                  </w:pPr>
                  <w:r>
                    <w:rPr>
                      <w:rFonts w:hint="default"/>
                      <w:color w:val="auto"/>
                      <w:sz w:val="21"/>
                      <w:szCs w:val="21"/>
                      <w:lang w:val="en-US" w:eastAsia="zh-CN"/>
                    </w:rPr>
                    <w:t>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57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ind w:firstLine="0" w:firstLineChars="0"/>
                    <w:jc w:val="center"/>
                    <w:textAlignment w:val="center"/>
                    <w:rPr>
                      <w:rFonts w:hint="default"/>
                      <w:color w:val="auto"/>
                      <w:sz w:val="21"/>
                      <w:szCs w:val="21"/>
                    </w:rPr>
                  </w:pPr>
                  <w:r>
                    <w:rPr>
                      <w:rFonts w:hint="default"/>
                      <w:color w:val="auto"/>
                      <w:sz w:val="21"/>
                      <w:szCs w:val="21"/>
                      <w:lang w:val="en-US" w:eastAsia="zh-CN"/>
                    </w:rPr>
                    <w:t>2#南厂界</w:t>
                  </w:r>
                </w:p>
              </w:tc>
              <w:tc>
                <w:tcPr>
                  <w:tcW w:w="2379"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ind w:firstLine="0" w:firstLineChars="0"/>
                    <w:jc w:val="center"/>
                    <w:textAlignment w:val="center"/>
                    <w:rPr>
                      <w:rFonts w:hint="default"/>
                      <w:color w:val="auto"/>
                      <w:sz w:val="21"/>
                      <w:szCs w:val="21"/>
                    </w:rPr>
                  </w:pPr>
                  <w:r>
                    <w:rPr>
                      <w:rFonts w:hint="default"/>
                      <w:color w:val="auto"/>
                      <w:sz w:val="21"/>
                      <w:szCs w:val="21"/>
                      <w:lang w:val="en-US" w:eastAsia="zh-CN"/>
                    </w:rPr>
                    <w:t>67</w:t>
                  </w:r>
                </w:p>
              </w:tc>
              <w:tc>
                <w:tcPr>
                  <w:tcW w:w="236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ind w:firstLine="0" w:firstLineChars="0"/>
                    <w:jc w:val="center"/>
                    <w:textAlignment w:val="center"/>
                    <w:rPr>
                      <w:rFonts w:hint="default"/>
                      <w:color w:val="auto"/>
                      <w:sz w:val="21"/>
                      <w:szCs w:val="21"/>
                    </w:rPr>
                  </w:pPr>
                  <w:r>
                    <w:rPr>
                      <w:rFonts w:hint="default"/>
                      <w:color w:val="auto"/>
                      <w:sz w:val="21"/>
                      <w:szCs w:val="21"/>
                      <w:lang w:val="en-US" w:eastAsia="zh-CN"/>
                    </w:rPr>
                    <w:t>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0" w:hRule="atLeast"/>
                <w:jc w:val="center"/>
              </w:trPr>
              <w:tc>
                <w:tcPr>
                  <w:tcW w:w="357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ind w:firstLine="0" w:firstLineChars="0"/>
                    <w:jc w:val="center"/>
                    <w:textAlignment w:val="center"/>
                    <w:rPr>
                      <w:rFonts w:hint="default"/>
                      <w:color w:val="auto"/>
                      <w:sz w:val="21"/>
                      <w:szCs w:val="21"/>
                    </w:rPr>
                  </w:pPr>
                  <w:r>
                    <w:rPr>
                      <w:rFonts w:hint="default"/>
                      <w:color w:val="auto"/>
                      <w:sz w:val="21"/>
                      <w:szCs w:val="21"/>
                      <w:lang w:val="en-US" w:eastAsia="zh-CN"/>
                    </w:rPr>
                    <w:t>3#西厂界</w:t>
                  </w:r>
                </w:p>
              </w:tc>
              <w:tc>
                <w:tcPr>
                  <w:tcW w:w="2379"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ind w:firstLine="0" w:firstLineChars="0"/>
                    <w:jc w:val="center"/>
                    <w:textAlignment w:val="center"/>
                    <w:rPr>
                      <w:rFonts w:hint="default"/>
                      <w:color w:val="auto"/>
                      <w:sz w:val="21"/>
                      <w:szCs w:val="21"/>
                    </w:rPr>
                  </w:pPr>
                  <w:r>
                    <w:rPr>
                      <w:rFonts w:hint="default"/>
                      <w:color w:val="auto"/>
                      <w:sz w:val="21"/>
                      <w:szCs w:val="21"/>
                      <w:lang w:val="en-US" w:eastAsia="zh-CN"/>
                    </w:rPr>
                    <w:t>69</w:t>
                  </w:r>
                </w:p>
              </w:tc>
              <w:tc>
                <w:tcPr>
                  <w:tcW w:w="236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ind w:firstLine="0" w:firstLineChars="0"/>
                    <w:jc w:val="center"/>
                    <w:textAlignment w:val="center"/>
                    <w:rPr>
                      <w:rFonts w:hint="default"/>
                      <w:color w:val="auto"/>
                      <w:sz w:val="21"/>
                      <w:szCs w:val="21"/>
                    </w:rPr>
                  </w:pPr>
                  <w:r>
                    <w:rPr>
                      <w:rFonts w:hint="default"/>
                      <w:color w:val="auto"/>
                      <w:sz w:val="21"/>
                      <w:szCs w:val="21"/>
                      <w:lang w:val="en-US" w:eastAsia="zh-CN"/>
                    </w:rPr>
                    <w:t>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0" w:hRule="atLeast"/>
                <w:jc w:val="center"/>
              </w:trPr>
              <w:tc>
                <w:tcPr>
                  <w:tcW w:w="357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ind w:firstLine="0" w:firstLineChars="0"/>
                    <w:jc w:val="center"/>
                    <w:textAlignment w:val="center"/>
                    <w:rPr>
                      <w:rFonts w:hint="default"/>
                      <w:color w:val="auto"/>
                      <w:sz w:val="21"/>
                      <w:szCs w:val="21"/>
                    </w:rPr>
                  </w:pPr>
                  <w:r>
                    <w:rPr>
                      <w:rFonts w:hint="default"/>
                      <w:color w:val="auto"/>
                      <w:sz w:val="21"/>
                      <w:szCs w:val="21"/>
                      <w:lang w:val="en-US" w:eastAsia="zh-CN"/>
                    </w:rPr>
                    <w:t>4#北厂界</w:t>
                  </w:r>
                </w:p>
              </w:tc>
              <w:tc>
                <w:tcPr>
                  <w:tcW w:w="2379"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ind w:firstLine="0" w:firstLineChars="0"/>
                    <w:jc w:val="center"/>
                    <w:textAlignment w:val="center"/>
                    <w:rPr>
                      <w:rFonts w:hint="default"/>
                      <w:color w:val="auto"/>
                      <w:sz w:val="21"/>
                      <w:szCs w:val="21"/>
                    </w:rPr>
                  </w:pPr>
                  <w:r>
                    <w:rPr>
                      <w:rFonts w:hint="default"/>
                      <w:color w:val="auto"/>
                      <w:sz w:val="21"/>
                      <w:szCs w:val="21"/>
                      <w:lang w:val="en-US" w:eastAsia="zh-CN"/>
                    </w:rPr>
                    <w:t>58</w:t>
                  </w:r>
                </w:p>
              </w:tc>
              <w:tc>
                <w:tcPr>
                  <w:tcW w:w="2368"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ind w:firstLine="0" w:firstLineChars="0"/>
                    <w:jc w:val="center"/>
                    <w:textAlignment w:val="center"/>
                    <w:rPr>
                      <w:rFonts w:hint="default"/>
                      <w:color w:val="auto"/>
                      <w:sz w:val="21"/>
                      <w:szCs w:val="21"/>
                    </w:rPr>
                  </w:pPr>
                  <w:r>
                    <w:rPr>
                      <w:rFonts w:hint="default"/>
                      <w:color w:val="auto"/>
                      <w:sz w:val="21"/>
                      <w:szCs w:val="21"/>
                      <w:lang w:val="en-US" w:eastAsia="zh-CN"/>
                    </w:rPr>
                    <w:t>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70" w:hRule="atLeast"/>
                <w:jc w:val="center"/>
              </w:trPr>
              <w:tc>
                <w:tcPr>
                  <w:tcW w:w="8325" w:type="dxa"/>
                  <w:gridSpan w:val="3"/>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left"/>
                    <w:textAlignment w:val="center"/>
                    <w:rPr>
                      <w:rFonts w:hint="default"/>
                      <w:color w:val="auto"/>
                      <w:sz w:val="21"/>
                      <w:szCs w:val="21"/>
                    </w:rPr>
                  </w:pPr>
                  <w:r>
                    <w:rPr>
                      <w:rFonts w:hint="default"/>
                      <w:color w:val="auto"/>
                      <w:sz w:val="21"/>
                      <w:szCs w:val="21"/>
                      <w:lang w:val="en-US" w:eastAsia="zh-CN"/>
                    </w:rPr>
                    <w:t>备注：本次检测期间无雨雪、无雷电，且风速小于5m/s</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lang w:val="en-US" w:eastAsia="zh-CN"/>
              </w:rPr>
            </w:pPr>
            <w:r>
              <w:rPr>
                <w:rFonts w:hint="default"/>
                <w:color w:val="auto"/>
                <w:sz w:val="24"/>
                <w:szCs w:val="24"/>
                <w:lang w:val="en-US" w:eastAsia="zh-CN"/>
              </w:rPr>
              <w:t>根据检测结果，厂界噪声能够满足《工业企业厂界环境噪声排放标准》（GB12348-2003）2类标准要求。项目噪声达标排放，对周围环境影响很小。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1.4固废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default"/>
                <w:color w:val="auto"/>
                <w:sz w:val="24"/>
                <w:szCs w:val="24"/>
                <w:lang w:val="en-US" w:eastAsia="zh-CN"/>
              </w:rPr>
              <w:t>固废产生情况如下：</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left"/>
              <w:textAlignment w:val="auto"/>
              <w:rPr>
                <w:rFonts w:hint="default"/>
                <w:color w:val="auto"/>
                <w:sz w:val="24"/>
                <w:szCs w:val="24"/>
                <w:lang w:val="en-US" w:eastAsia="zh-CN"/>
              </w:rPr>
            </w:pPr>
            <w:r>
              <w:rPr>
                <w:rFonts w:hint="default"/>
                <w:color w:val="auto"/>
                <w:sz w:val="24"/>
                <w:szCs w:val="24"/>
                <w:lang w:val="en-US" w:eastAsia="zh-CN"/>
              </w:rPr>
              <w:t>（1）粉碎过程收集的粉尘成分为粮食，全部回用；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lang w:val="en-US" w:eastAsia="zh-CN"/>
              </w:rPr>
            </w:pPr>
            <w:r>
              <w:rPr>
                <w:rFonts w:hint="default"/>
                <w:color w:val="auto"/>
                <w:sz w:val="24"/>
                <w:szCs w:val="24"/>
                <w:lang w:val="en-US" w:eastAsia="zh-CN"/>
              </w:rPr>
              <w:t>（2）除杂过程中杂质、酿造车间产生的废弃酒糟暂存在一般固废暂存处，外卖作动物食料；</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left"/>
              <w:textAlignment w:val="auto"/>
              <w:rPr>
                <w:rFonts w:hint="default"/>
                <w:color w:val="auto"/>
                <w:sz w:val="24"/>
                <w:szCs w:val="24"/>
                <w:lang w:val="en-US" w:eastAsia="zh-CN"/>
              </w:rPr>
            </w:pPr>
            <w:r>
              <w:rPr>
                <w:rFonts w:hint="default"/>
                <w:color w:val="auto"/>
                <w:sz w:val="24"/>
                <w:szCs w:val="24"/>
                <w:lang w:val="en-US" w:eastAsia="zh-CN"/>
              </w:rPr>
              <w:t>（3）原材料，废包装袋，废酒瓶，废瓶盖，废包装箱年集中收集后暂存在一般固废暂存处，定期外售；</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left"/>
              <w:textAlignment w:val="auto"/>
              <w:rPr>
                <w:rFonts w:hint="default"/>
                <w:color w:val="auto"/>
                <w:sz w:val="24"/>
                <w:szCs w:val="24"/>
                <w:lang w:val="en-US" w:eastAsia="zh-CN"/>
              </w:rPr>
            </w:pPr>
            <w:r>
              <w:rPr>
                <w:rFonts w:hint="default"/>
                <w:color w:val="auto"/>
                <w:sz w:val="24"/>
                <w:szCs w:val="24"/>
                <w:lang w:val="en-US" w:eastAsia="zh-CN"/>
              </w:rPr>
              <w:t>（4）化粪池、沉淀池产生的污泥及职工日常生活产生的生活垃圾集中收集，由环卫部门统一处理；</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default"/>
                <w:color w:val="auto"/>
                <w:sz w:val="24"/>
                <w:szCs w:val="24"/>
                <w:lang w:val="en-US" w:eastAsia="zh-CN"/>
              </w:rPr>
            </w:pPr>
            <w:r>
              <w:rPr>
                <w:rFonts w:hint="default"/>
                <w:color w:val="auto"/>
                <w:sz w:val="24"/>
                <w:szCs w:val="24"/>
                <w:lang w:val="en-US" w:eastAsia="zh-CN"/>
              </w:rPr>
              <w:t>（5）餐饮垃圾、隔油沉淀池产生的油渣，收集后放入泔水桶内，由专人每日定时运至当地部门指定场所进行处理。</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jc w:val="left"/>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二、山东海奥斯生物科技股份有限公司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olor w:val="auto"/>
                <w:sz w:val="24"/>
                <w:szCs w:val="24"/>
                <w:lang w:val="en-US" w:eastAsia="zh-CN"/>
              </w:rPr>
            </w:pPr>
            <w:r>
              <w:rPr>
                <w:rFonts w:hint="default"/>
                <w:color w:val="auto"/>
                <w:sz w:val="24"/>
                <w:szCs w:val="24"/>
                <w:lang w:val="en-US" w:eastAsia="zh-CN"/>
              </w:rPr>
              <w:t>山</w:t>
            </w:r>
            <w:r>
              <w:rPr>
                <w:rFonts w:hint="default" w:ascii="Times New Roman" w:hAnsi="Times New Roman" w:cs="Times New Roman"/>
                <w:color w:val="auto"/>
                <w:sz w:val="24"/>
                <w:szCs w:val="24"/>
                <w:lang w:val="en-US" w:eastAsia="zh-CN"/>
              </w:rPr>
              <w:t>东海奥斯生物科技股份有限公司现有生产项目为“</w:t>
            </w:r>
            <w:r>
              <w:rPr>
                <w:rFonts w:hint="default" w:ascii="Times New Roman" w:hAnsi="Times New Roman" w:cs="Times New Roman"/>
                <w:color w:val="auto"/>
                <w:sz w:val="24"/>
                <w:szCs w:val="24"/>
              </w:rPr>
              <w:t>年产10亿米高品质蛋白肠衣项目</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年产3.5亿米高品质蛋白肠衣项目</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高品质蛋白肠衣智能包装技术改造项目</w:t>
            </w:r>
            <w:r>
              <w:rPr>
                <w:rFonts w:hint="default" w:ascii="Times New Roman" w:hAnsi="Times New Roman" w:cs="Times New Roman"/>
                <w:color w:val="auto"/>
                <w:sz w:val="24"/>
                <w:szCs w:val="24"/>
                <w:lang w:val="en-US" w:eastAsia="zh-CN"/>
              </w:rPr>
              <w:t>”、“年产10亿米高品质蛋白肠衣建设项目”</w:t>
            </w:r>
            <w:r>
              <w:rPr>
                <w:rFonts w:hint="default"/>
                <w:color w:val="auto"/>
                <w:sz w:val="24"/>
                <w:szCs w:val="24"/>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cs="Times New Roman"/>
                <w:color w:val="auto"/>
                <w:sz w:val="24"/>
                <w:szCs w:val="24"/>
              </w:rPr>
            </w:pPr>
            <w:r>
              <w:rPr>
                <w:rFonts w:hint="default" w:ascii="Times New Roman" w:hAnsi="Times New Roman" w:eastAsia="黑体" w:cs="Times New Roman"/>
                <w:b/>
                <w:bCs/>
                <w:color w:val="auto"/>
                <w:sz w:val="24"/>
                <w:szCs w:val="24"/>
                <w:lang w:val="en-US" w:eastAsia="zh-CN"/>
              </w:rPr>
              <w:t>表2</w:t>
            </w:r>
            <w:r>
              <w:rPr>
                <w:rFonts w:hint="eastAsia" w:eastAsia="黑体" w:cs="Times New Roman"/>
                <w:b/>
                <w:bCs/>
                <w:color w:val="auto"/>
                <w:sz w:val="24"/>
                <w:szCs w:val="24"/>
                <w:lang w:val="en-US" w:eastAsia="zh-CN"/>
              </w:rPr>
              <w:t>7</w:t>
            </w:r>
            <w:r>
              <w:rPr>
                <w:rFonts w:hint="default" w:ascii="Times New Roman" w:hAnsi="Times New Roman" w:eastAsia="黑体" w:cs="Times New Roman"/>
                <w:b/>
                <w:bCs/>
                <w:color w:val="auto"/>
                <w:sz w:val="24"/>
                <w:szCs w:val="24"/>
                <w:lang w:val="en-US" w:eastAsia="zh-CN"/>
              </w:rPr>
              <w:t xml:space="preserve"> 山东海奥斯生物科技股份有限公司</w:t>
            </w:r>
            <w:r>
              <w:rPr>
                <w:rFonts w:hint="default" w:ascii="Times New Roman" w:hAnsi="Times New Roman" w:eastAsia="黑体" w:cs="Times New Roman"/>
                <w:b/>
                <w:bCs/>
                <w:color w:val="auto"/>
                <w:sz w:val="24"/>
                <w:szCs w:val="24"/>
              </w:rPr>
              <w:t>现有工程环保手续一览表</w:t>
            </w:r>
          </w:p>
          <w:tbl>
            <w:tblPr>
              <w:tblStyle w:val="20"/>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0"/>
              <w:gridCol w:w="1302"/>
              <w:gridCol w:w="1431"/>
              <w:gridCol w:w="1900"/>
              <w:gridCol w:w="1567"/>
              <w:gridCol w:w="867"/>
              <w:gridCol w:w="5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280" w:type="dxa"/>
                  <w:tcBorders>
                    <w:tl2br w:val="nil"/>
                    <w:tr2bl w:val="nil"/>
                  </w:tcBorders>
                  <w:noWrap w:val="0"/>
                  <w:vAlign w:val="center"/>
                </w:tcPr>
                <w:p>
                  <w:pPr>
                    <w:pStyle w:val="32"/>
                    <w:keepNext w:val="0"/>
                    <w:keepLines w:val="0"/>
                    <w:pageBreakBefore w:val="0"/>
                    <w:kinsoku/>
                    <w:wordWrap/>
                    <w:overflowPunct/>
                    <w:topLinePunct w:val="0"/>
                    <w:autoSpaceDE/>
                    <w:autoSpaceDN/>
                    <w:bidi w:val="0"/>
                    <w:spacing w:line="360" w:lineRule="atLeast"/>
                    <w:ind w:firstLine="0" w:firstLineChars="0"/>
                    <w:contextualSpacing/>
                    <w:textAlignment w:val="auto"/>
                    <w:rPr>
                      <w:rFonts w:hint="default"/>
                      <w:color w:val="auto"/>
                      <w:sz w:val="21"/>
                      <w:szCs w:val="21"/>
                    </w:rPr>
                  </w:pPr>
                  <w:r>
                    <w:rPr>
                      <w:rFonts w:hint="default"/>
                      <w:color w:val="auto"/>
                      <w:sz w:val="21"/>
                      <w:szCs w:val="21"/>
                    </w:rPr>
                    <w:t>性质</w:t>
                  </w:r>
                </w:p>
              </w:tc>
              <w:tc>
                <w:tcPr>
                  <w:tcW w:w="1302" w:type="dxa"/>
                  <w:tcBorders>
                    <w:tl2br w:val="nil"/>
                    <w:tr2bl w:val="nil"/>
                  </w:tcBorders>
                  <w:noWrap w:val="0"/>
                  <w:vAlign w:val="center"/>
                </w:tcPr>
                <w:p>
                  <w:pPr>
                    <w:pStyle w:val="32"/>
                    <w:keepNext w:val="0"/>
                    <w:keepLines w:val="0"/>
                    <w:pageBreakBefore w:val="0"/>
                    <w:kinsoku/>
                    <w:wordWrap/>
                    <w:overflowPunct/>
                    <w:topLinePunct w:val="0"/>
                    <w:autoSpaceDE/>
                    <w:autoSpaceDN/>
                    <w:bidi w:val="0"/>
                    <w:spacing w:line="360" w:lineRule="atLeast"/>
                    <w:ind w:firstLine="0" w:firstLineChars="0"/>
                    <w:contextualSpacing/>
                    <w:textAlignment w:val="auto"/>
                    <w:rPr>
                      <w:rFonts w:hint="default"/>
                      <w:color w:val="auto"/>
                      <w:sz w:val="21"/>
                      <w:szCs w:val="21"/>
                    </w:rPr>
                  </w:pPr>
                  <w:r>
                    <w:rPr>
                      <w:rFonts w:hint="default"/>
                      <w:color w:val="auto"/>
                      <w:sz w:val="21"/>
                      <w:szCs w:val="21"/>
                    </w:rPr>
                    <w:t>项目名称</w:t>
                  </w:r>
                </w:p>
              </w:tc>
              <w:tc>
                <w:tcPr>
                  <w:tcW w:w="1431" w:type="dxa"/>
                  <w:tcBorders>
                    <w:tl2br w:val="nil"/>
                    <w:tr2bl w:val="nil"/>
                  </w:tcBorders>
                  <w:noWrap w:val="0"/>
                  <w:vAlign w:val="center"/>
                </w:tcPr>
                <w:p>
                  <w:pPr>
                    <w:pStyle w:val="32"/>
                    <w:keepNext w:val="0"/>
                    <w:keepLines w:val="0"/>
                    <w:pageBreakBefore w:val="0"/>
                    <w:kinsoku/>
                    <w:wordWrap/>
                    <w:overflowPunct/>
                    <w:topLinePunct w:val="0"/>
                    <w:autoSpaceDE/>
                    <w:autoSpaceDN/>
                    <w:bidi w:val="0"/>
                    <w:spacing w:line="360" w:lineRule="atLeast"/>
                    <w:ind w:firstLine="0" w:firstLineChars="0"/>
                    <w:contextualSpacing/>
                    <w:textAlignment w:val="auto"/>
                    <w:rPr>
                      <w:rFonts w:hint="default"/>
                      <w:color w:val="auto"/>
                      <w:sz w:val="21"/>
                      <w:szCs w:val="21"/>
                    </w:rPr>
                  </w:pPr>
                  <w:r>
                    <w:rPr>
                      <w:rFonts w:hint="default"/>
                      <w:color w:val="auto"/>
                      <w:sz w:val="21"/>
                      <w:szCs w:val="21"/>
                    </w:rPr>
                    <w:t>环评批复情况</w:t>
                  </w:r>
                </w:p>
              </w:tc>
              <w:tc>
                <w:tcPr>
                  <w:tcW w:w="1900" w:type="dxa"/>
                  <w:tcBorders>
                    <w:tl2br w:val="nil"/>
                    <w:tr2bl w:val="nil"/>
                  </w:tcBorders>
                  <w:noWrap w:val="0"/>
                  <w:vAlign w:val="center"/>
                </w:tcPr>
                <w:p>
                  <w:pPr>
                    <w:pStyle w:val="32"/>
                    <w:keepNext w:val="0"/>
                    <w:keepLines w:val="0"/>
                    <w:pageBreakBefore w:val="0"/>
                    <w:kinsoku/>
                    <w:wordWrap/>
                    <w:overflowPunct/>
                    <w:topLinePunct w:val="0"/>
                    <w:autoSpaceDE/>
                    <w:autoSpaceDN/>
                    <w:bidi w:val="0"/>
                    <w:spacing w:line="360" w:lineRule="atLeast"/>
                    <w:ind w:firstLine="0" w:firstLineChars="0"/>
                    <w:contextualSpacing/>
                    <w:textAlignment w:val="auto"/>
                    <w:rPr>
                      <w:rFonts w:hint="default"/>
                      <w:color w:val="auto"/>
                      <w:sz w:val="21"/>
                      <w:szCs w:val="21"/>
                    </w:rPr>
                  </w:pPr>
                  <w:r>
                    <w:rPr>
                      <w:rFonts w:hint="default"/>
                      <w:color w:val="auto"/>
                      <w:sz w:val="21"/>
                      <w:szCs w:val="21"/>
                    </w:rPr>
                    <w:t>竣工环境保护验收</w:t>
                  </w:r>
                </w:p>
              </w:tc>
              <w:tc>
                <w:tcPr>
                  <w:tcW w:w="1567" w:type="dxa"/>
                  <w:tcBorders>
                    <w:tl2br w:val="nil"/>
                    <w:tr2bl w:val="nil"/>
                  </w:tcBorders>
                  <w:noWrap w:val="0"/>
                  <w:vAlign w:val="center"/>
                </w:tcPr>
                <w:p>
                  <w:pPr>
                    <w:pStyle w:val="32"/>
                    <w:keepNext w:val="0"/>
                    <w:keepLines w:val="0"/>
                    <w:pageBreakBefore w:val="0"/>
                    <w:kinsoku/>
                    <w:wordWrap/>
                    <w:overflowPunct/>
                    <w:topLinePunct w:val="0"/>
                    <w:autoSpaceDE/>
                    <w:autoSpaceDN/>
                    <w:bidi w:val="0"/>
                    <w:spacing w:line="360" w:lineRule="atLeast"/>
                    <w:ind w:firstLine="0" w:firstLineChars="0"/>
                    <w:contextualSpacing/>
                    <w:textAlignment w:val="auto"/>
                    <w:rPr>
                      <w:rFonts w:hint="default"/>
                      <w:color w:val="auto"/>
                      <w:sz w:val="21"/>
                      <w:szCs w:val="21"/>
                    </w:rPr>
                  </w:pPr>
                  <w:r>
                    <w:rPr>
                      <w:rFonts w:hint="default"/>
                      <w:color w:val="auto"/>
                      <w:sz w:val="21"/>
                      <w:szCs w:val="21"/>
                    </w:rPr>
                    <w:t>批复建设内容</w:t>
                  </w:r>
                </w:p>
              </w:tc>
              <w:tc>
                <w:tcPr>
                  <w:tcW w:w="867" w:type="dxa"/>
                  <w:tcBorders>
                    <w:tl2br w:val="nil"/>
                    <w:tr2bl w:val="nil"/>
                  </w:tcBorders>
                  <w:noWrap w:val="0"/>
                  <w:vAlign w:val="center"/>
                </w:tcPr>
                <w:p>
                  <w:pPr>
                    <w:pStyle w:val="32"/>
                    <w:keepNext w:val="0"/>
                    <w:keepLines w:val="0"/>
                    <w:pageBreakBefore w:val="0"/>
                    <w:kinsoku/>
                    <w:wordWrap/>
                    <w:overflowPunct/>
                    <w:topLinePunct w:val="0"/>
                    <w:autoSpaceDE/>
                    <w:autoSpaceDN/>
                    <w:bidi w:val="0"/>
                    <w:spacing w:line="360" w:lineRule="atLeast"/>
                    <w:ind w:firstLine="0" w:firstLineChars="0"/>
                    <w:contextualSpacing/>
                    <w:textAlignment w:val="auto"/>
                    <w:rPr>
                      <w:rFonts w:hint="default"/>
                      <w:color w:val="auto"/>
                      <w:sz w:val="21"/>
                      <w:szCs w:val="21"/>
                    </w:rPr>
                  </w:pPr>
                  <w:r>
                    <w:rPr>
                      <w:rFonts w:hint="default"/>
                      <w:color w:val="auto"/>
                      <w:sz w:val="21"/>
                      <w:szCs w:val="21"/>
                    </w:rPr>
                    <w:t>现状</w:t>
                  </w:r>
                </w:p>
              </w:tc>
              <w:tc>
                <w:tcPr>
                  <w:tcW w:w="590" w:type="dxa"/>
                  <w:tcBorders>
                    <w:tl2br w:val="nil"/>
                    <w:tr2bl w:val="nil"/>
                  </w:tcBorders>
                  <w:noWrap w:val="0"/>
                  <w:vAlign w:val="center"/>
                </w:tcPr>
                <w:p>
                  <w:pPr>
                    <w:pStyle w:val="32"/>
                    <w:keepNext w:val="0"/>
                    <w:keepLines w:val="0"/>
                    <w:pageBreakBefore w:val="0"/>
                    <w:kinsoku/>
                    <w:wordWrap/>
                    <w:overflowPunct/>
                    <w:topLinePunct w:val="0"/>
                    <w:autoSpaceDE/>
                    <w:autoSpaceDN/>
                    <w:bidi w:val="0"/>
                    <w:spacing w:line="360" w:lineRule="atLeast"/>
                    <w:ind w:firstLine="0" w:firstLineChars="0"/>
                    <w:contextualSpacing/>
                    <w:textAlignment w:val="auto"/>
                    <w:rPr>
                      <w:rFonts w:hint="default"/>
                      <w:color w:val="auto"/>
                      <w:sz w:val="21"/>
                      <w:szCs w:val="21"/>
                    </w:rPr>
                  </w:pPr>
                  <w:r>
                    <w:rPr>
                      <w:rFonts w:hint="default"/>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60" w:hRule="atLeast"/>
                <w:jc w:val="center"/>
              </w:trPr>
              <w:tc>
                <w:tcPr>
                  <w:tcW w:w="280" w:type="dxa"/>
                  <w:vMerge w:val="restart"/>
                  <w:tcBorders>
                    <w:tl2br w:val="nil"/>
                    <w:tr2bl w:val="nil"/>
                  </w:tcBorders>
                  <w:noWrap w:val="0"/>
                  <w:vAlign w:val="center"/>
                </w:tcPr>
                <w:p>
                  <w:pPr>
                    <w:pStyle w:val="32"/>
                    <w:keepNext w:val="0"/>
                    <w:keepLines w:val="0"/>
                    <w:pageBreakBefore w:val="0"/>
                    <w:kinsoku/>
                    <w:wordWrap/>
                    <w:overflowPunct/>
                    <w:topLinePunct w:val="0"/>
                    <w:autoSpaceDE/>
                    <w:autoSpaceDN/>
                    <w:bidi w:val="0"/>
                    <w:spacing w:line="360" w:lineRule="atLeast"/>
                    <w:ind w:firstLine="0" w:firstLineChars="0"/>
                    <w:contextualSpacing/>
                    <w:textAlignment w:val="auto"/>
                    <w:rPr>
                      <w:rFonts w:hint="default"/>
                      <w:color w:val="auto"/>
                      <w:sz w:val="21"/>
                      <w:szCs w:val="21"/>
                      <w:lang w:eastAsia="zh-CN"/>
                    </w:rPr>
                  </w:pPr>
                  <w:r>
                    <w:rPr>
                      <w:rFonts w:hint="default"/>
                      <w:color w:val="auto"/>
                      <w:sz w:val="21"/>
                      <w:szCs w:val="21"/>
                      <w:lang w:eastAsia="zh-CN"/>
                    </w:rPr>
                    <w:t>现有项目</w:t>
                  </w:r>
                </w:p>
              </w:tc>
              <w:tc>
                <w:tcPr>
                  <w:tcW w:w="1302"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atLeast"/>
                    <w:jc w:val="center"/>
                    <w:textAlignment w:val="auto"/>
                    <w:rPr>
                      <w:rFonts w:hint="default"/>
                      <w:color w:val="auto"/>
                      <w:sz w:val="21"/>
                      <w:szCs w:val="21"/>
                      <w:lang w:eastAsia="zh-CN"/>
                    </w:rPr>
                  </w:pPr>
                  <w:r>
                    <w:rPr>
                      <w:rFonts w:hint="default"/>
                      <w:color w:val="auto"/>
                      <w:sz w:val="21"/>
                      <w:szCs w:val="21"/>
                    </w:rPr>
                    <w:t>年产10亿米高品质蛋白肠衣项目</w:t>
                  </w:r>
                </w:p>
              </w:tc>
              <w:tc>
                <w:tcPr>
                  <w:tcW w:w="1431"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atLeast"/>
                    <w:jc w:val="center"/>
                    <w:textAlignment w:val="auto"/>
                    <w:rPr>
                      <w:rFonts w:hint="default"/>
                      <w:color w:val="auto"/>
                      <w:sz w:val="21"/>
                      <w:szCs w:val="21"/>
                      <w:lang w:eastAsia="zh-CN"/>
                    </w:rPr>
                  </w:pPr>
                  <w:r>
                    <w:rPr>
                      <w:rFonts w:hint="default"/>
                      <w:color w:val="auto"/>
                      <w:sz w:val="21"/>
                      <w:szCs w:val="21"/>
                    </w:rPr>
                    <w:t>桓环许字[2016]103号</w:t>
                  </w:r>
                </w:p>
              </w:tc>
              <w:tc>
                <w:tcPr>
                  <w:tcW w:w="190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atLeast"/>
                    <w:jc w:val="center"/>
                    <w:textAlignment w:val="auto"/>
                    <w:rPr>
                      <w:rFonts w:hint="default"/>
                      <w:color w:val="auto"/>
                      <w:sz w:val="21"/>
                      <w:szCs w:val="21"/>
                      <w:lang w:val="en-US" w:eastAsia="zh-CN"/>
                    </w:rPr>
                  </w:pPr>
                  <w:r>
                    <w:rPr>
                      <w:rFonts w:hint="default"/>
                      <w:color w:val="auto"/>
                      <w:sz w:val="21"/>
                      <w:szCs w:val="21"/>
                    </w:rPr>
                    <w:t>桓环验[2017]777号</w:t>
                  </w:r>
                </w:p>
              </w:tc>
              <w:tc>
                <w:tcPr>
                  <w:tcW w:w="156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atLeast"/>
                    <w:jc w:val="left"/>
                    <w:textAlignment w:val="auto"/>
                    <w:rPr>
                      <w:rFonts w:hint="default"/>
                      <w:color w:val="auto"/>
                      <w:sz w:val="21"/>
                      <w:szCs w:val="21"/>
                      <w:lang w:val="en-US" w:eastAsia="zh-CN"/>
                    </w:rPr>
                  </w:pPr>
                  <w:r>
                    <w:rPr>
                      <w:rFonts w:hint="default"/>
                      <w:color w:val="auto"/>
                      <w:sz w:val="21"/>
                      <w:szCs w:val="21"/>
                    </w:rPr>
                    <w:t>年产10亿米高品质蛋白肠衣，正常生产</w:t>
                  </w:r>
                </w:p>
              </w:tc>
              <w:tc>
                <w:tcPr>
                  <w:tcW w:w="867" w:type="dxa"/>
                  <w:tcBorders>
                    <w:tl2br w:val="nil"/>
                    <w:tr2bl w:val="nil"/>
                  </w:tcBorders>
                  <w:noWrap w:val="0"/>
                  <w:vAlign w:val="center"/>
                </w:tcPr>
                <w:p>
                  <w:pPr>
                    <w:pStyle w:val="32"/>
                    <w:keepNext w:val="0"/>
                    <w:keepLines w:val="0"/>
                    <w:pageBreakBefore w:val="0"/>
                    <w:kinsoku/>
                    <w:wordWrap/>
                    <w:overflowPunct/>
                    <w:topLinePunct w:val="0"/>
                    <w:autoSpaceDE/>
                    <w:autoSpaceDN/>
                    <w:bidi w:val="0"/>
                    <w:spacing w:line="360" w:lineRule="atLeast"/>
                    <w:ind w:firstLine="0" w:firstLineChars="0"/>
                    <w:contextualSpacing/>
                    <w:textAlignment w:val="auto"/>
                    <w:rPr>
                      <w:rFonts w:hint="default"/>
                      <w:color w:val="auto"/>
                      <w:sz w:val="21"/>
                      <w:szCs w:val="21"/>
                      <w:lang w:eastAsia="zh-CN"/>
                    </w:rPr>
                  </w:pPr>
                  <w:r>
                    <w:rPr>
                      <w:rFonts w:hint="default"/>
                      <w:color w:val="auto"/>
                      <w:sz w:val="21"/>
                      <w:szCs w:val="21"/>
                      <w:lang w:eastAsia="zh-CN"/>
                    </w:rPr>
                    <w:t>正常运行</w:t>
                  </w:r>
                </w:p>
              </w:tc>
              <w:tc>
                <w:tcPr>
                  <w:tcW w:w="590" w:type="dxa"/>
                  <w:tcBorders>
                    <w:tl2br w:val="nil"/>
                    <w:tr2bl w:val="nil"/>
                  </w:tcBorders>
                  <w:noWrap w:val="0"/>
                  <w:vAlign w:val="center"/>
                </w:tcPr>
                <w:p>
                  <w:pPr>
                    <w:pStyle w:val="33"/>
                    <w:keepNext w:val="0"/>
                    <w:keepLines w:val="0"/>
                    <w:pageBreakBefore w:val="0"/>
                    <w:kinsoku/>
                    <w:wordWrap/>
                    <w:overflowPunct/>
                    <w:topLinePunct w:val="0"/>
                    <w:autoSpaceDE/>
                    <w:autoSpaceDN/>
                    <w:bidi w:val="0"/>
                    <w:spacing w:line="360" w:lineRule="atLeast"/>
                    <w:ind w:firstLine="0" w:firstLineChars="0"/>
                    <w:jc w:val="center"/>
                    <w:textAlignment w:val="auto"/>
                    <w:rPr>
                      <w:rFonts w:hint="default"/>
                      <w:color w:val="auto"/>
                      <w:sz w:val="21"/>
                      <w:szCs w:val="21"/>
                      <w:lang w:val="en-US" w:eastAsia="zh-CN"/>
                    </w:rPr>
                  </w:pPr>
                  <w:r>
                    <w:rPr>
                      <w:rFonts w:hint="default"/>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60" w:hRule="atLeast"/>
                <w:jc w:val="center"/>
              </w:trPr>
              <w:tc>
                <w:tcPr>
                  <w:tcW w:w="280" w:type="dxa"/>
                  <w:vMerge w:val="continue"/>
                  <w:tcBorders>
                    <w:tl2br w:val="nil"/>
                    <w:tr2bl w:val="nil"/>
                  </w:tcBorders>
                  <w:noWrap w:val="0"/>
                  <w:vAlign w:val="center"/>
                </w:tcPr>
                <w:p>
                  <w:pPr>
                    <w:pStyle w:val="32"/>
                    <w:keepNext w:val="0"/>
                    <w:keepLines w:val="0"/>
                    <w:pageBreakBefore w:val="0"/>
                    <w:kinsoku/>
                    <w:wordWrap/>
                    <w:overflowPunct/>
                    <w:topLinePunct w:val="0"/>
                    <w:autoSpaceDE/>
                    <w:autoSpaceDN/>
                    <w:bidi w:val="0"/>
                    <w:spacing w:line="360" w:lineRule="atLeast"/>
                    <w:ind w:firstLine="0" w:firstLineChars="0"/>
                    <w:contextualSpacing/>
                    <w:textAlignment w:val="auto"/>
                    <w:rPr>
                      <w:rFonts w:hint="default"/>
                      <w:color w:val="auto"/>
                      <w:sz w:val="21"/>
                      <w:szCs w:val="21"/>
                    </w:rPr>
                  </w:pPr>
                </w:p>
              </w:tc>
              <w:tc>
                <w:tcPr>
                  <w:tcW w:w="1302"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atLeast"/>
                    <w:jc w:val="center"/>
                    <w:textAlignment w:val="auto"/>
                    <w:rPr>
                      <w:rFonts w:hint="default"/>
                      <w:color w:val="auto"/>
                      <w:sz w:val="21"/>
                      <w:szCs w:val="21"/>
                      <w:lang w:eastAsia="zh-CN"/>
                    </w:rPr>
                  </w:pPr>
                  <w:r>
                    <w:rPr>
                      <w:rFonts w:hint="default"/>
                      <w:color w:val="auto"/>
                      <w:sz w:val="21"/>
                      <w:szCs w:val="21"/>
                    </w:rPr>
                    <w:t>年产3.5亿米高品质蛋白肠衣项目</w:t>
                  </w:r>
                </w:p>
              </w:tc>
              <w:tc>
                <w:tcPr>
                  <w:tcW w:w="1431"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atLeast"/>
                    <w:jc w:val="center"/>
                    <w:textAlignment w:val="auto"/>
                    <w:rPr>
                      <w:rFonts w:hint="default"/>
                      <w:color w:val="auto"/>
                      <w:sz w:val="21"/>
                      <w:szCs w:val="21"/>
                    </w:rPr>
                  </w:pPr>
                  <w:r>
                    <w:rPr>
                      <w:rFonts w:hint="default"/>
                      <w:color w:val="auto"/>
                      <w:sz w:val="21"/>
                      <w:szCs w:val="21"/>
                    </w:rPr>
                    <w:t>桓环许字[2017]11号</w:t>
                  </w:r>
                </w:p>
              </w:tc>
              <w:tc>
                <w:tcPr>
                  <w:tcW w:w="1900"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atLeast"/>
                    <w:jc w:val="center"/>
                    <w:textAlignment w:val="auto"/>
                    <w:rPr>
                      <w:rFonts w:hint="default"/>
                      <w:color w:val="auto"/>
                      <w:sz w:val="21"/>
                      <w:szCs w:val="21"/>
                      <w:lang w:val="en-US" w:eastAsia="zh-CN"/>
                    </w:rPr>
                  </w:pPr>
                  <w:r>
                    <w:rPr>
                      <w:rFonts w:hint="default"/>
                      <w:color w:val="auto"/>
                      <w:sz w:val="21"/>
                      <w:szCs w:val="21"/>
                    </w:rPr>
                    <w:t>桓环验[2017]776号</w:t>
                  </w:r>
                </w:p>
              </w:tc>
              <w:tc>
                <w:tcPr>
                  <w:tcW w:w="156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atLeast"/>
                    <w:jc w:val="left"/>
                    <w:textAlignment w:val="auto"/>
                    <w:rPr>
                      <w:rFonts w:hint="default"/>
                      <w:color w:val="auto"/>
                      <w:sz w:val="21"/>
                      <w:szCs w:val="21"/>
                      <w:lang w:val="en-US" w:eastAsia="zh-CN"/>
                    </w:rPr>
                  </w:pPr>
                  <w:r>
                    <w:rPr>
                      <w:rFonts w:hint="default"/>
                      <w:color w:val="auto"/>
                      <w:sz w:val="21"/>
                      <w:szCs w:val="21"/>
                    </w:rPr>
                    <w:t>年产3.5亿米高品质蛋白肠衣，正常生产</w:t>
                  </w:r>
                </w:p>
              </w:tc>
              <w:tc>
                <w:tcPr>
                  <w:tcW w:w="867" w:type="dxa"/>
                  <w:tcBorders>
                    <w:tl2br w:val="nil"/>
                    <w:tr2bl w:val="nil"/>
                  </w:tcBorders>
                  <w:noWrap w:val="0"/>
                  <w:vAlign w:val="center"/>
                </w:tcPr>
                <w:p>
                  <w:pPr>
                    <w:pStyle w:val="32"/>
                    <w:keepNext w:val="0"/>
                    <w:keepLines w:val="0"/>
                    <w:pageBreakBefore w:val="0"/>
                    <w:kinsoku/>
                    <w:wordWrap/>
                    <w:overflowPunct/>
                    <w:topLinePunct w:val="0"/>
                    <w:autoSpaceDE/>
                    <w:autoSpaceDN/>
                    <w:bidi w:val="0"/>
                    <w:spacing w:line="360" w:lineRule="atLeast"/>
                    <w:ind w:firstLine="0" w:firstLineChars="0"/>
                    <w:contextualSpacing/>
                    <w:textAlignment w:val="auto"/>
                    <w:rPr>
                      <w:rFonts w:hint="default"/>
                      <w:color w:val="auto"/>
                      <w:sz w:val="21"/>
                      <w:szCs w:val="21"/>
                      <w:lang w:eastAsia="zh-CN"/>
                    </w:rPr>
                  </w:pPr>
                  <w:r>
                    <w:rPr>
                      <w:rFonts w:hint="default"/>
                      <w:color w:val="auto"/>
                      <w:sz w:val="21"/>
                      <w:szCs w:val="21"/>
                      <w:lang w:eastAsia="zh-CN"/>
                    </w:rPr>
                    <w:t>正常运行</w:t>
                  </w:r>
                </w:p>
              </w:tc>
              <w:tc>
                <w:tcPr>
                  <w:tcW w:w="590" w:type="dxa"/>
                  <w:tcBorders>
                    <w:tl2br w:val="nil"/>
                    <w:tr2bl w:val="nil"/>
                  </w:tcBorders>
                  <w:noWrap w:val="0"/>
                  <w:vAlign w:val="center"/>
                </w:tcPr>
                <w:p>
                  <w:pPr>
                    <w:pStyle w:val="32"/>
                    <w:keepNext w:val="0"/>
                    <w:keepLines w:val="0"/>
                    <w:pageBreakBefore w:val="0"/>
                    <w:kinsoku/>
                    <w:wordWrap/>
                    <w:overflowPunct/>
                    <w:topLinePunct w:val="0"/>
                    <w:autoSpaceDE/>
                    <w:autoSpaceDN/>
                    <w:bidi w:val="0"/>
                    <w:spacing w:line="360" w:lineRule="atLeast"/>
                    <w:ind w:firstLine="0" w:firstLineChars="0"/>
                    <w:contextualSpacing/>
                    <w:textAlignment w:val="auto"/>
                    <w:rPr>
                      <w:rFonts w:hint="default"/>
                      <w:color w:val="auto"/>
                      <w:sz w:val="21"/>
                      <w:szCs w:val="21"/>
                      <w:lang w:val="en-US" w:eastAsia="zh-CN"/>
                    </w:rPr>
                  </w:pPr>
                  <w:r>
                    <w:rPr>
                      <w:rFonts w:hint="default"/>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62" w:hRule="atLeast"/>
                <w:jc w:val="center"/>
              </w:trPr>
              <w:tc>
                <w:tcPr>
                  <w:tcW w:w="280" w:type="dxa"/>
                  <w:vMerge w:val="continue"/>
                  <w:tcBorders>
                    <w:tl2br w:val="nil"/>
                    <w:tr2bl w:val="nil"/>
                  </w:tcBorders>
                  <w:noWrap w:val="0"/>
                  <w:vAlign w:val="center"/>
                </w:tcPr>
                <w:p>
                  <w:pPr>
                    <w:pStyle w:val="32"/>
                    <w:keepNext w:val="0"/>
                    <w:keepLines w:val="0"/>
                    <w:pageBreakBefore w:val="0"/>
                    <w:kinsoku/>
                    <w:wordWrap/>
                    <w:overflowPunct/>
                    <w:topLinePunct w:val="0"/>
                    <w:autoSpaceDE/>
                    <w:autoSpaceDN/>
                    <w:bidi w:val="0"/>
                    <w:spacing w:line="360" w:lineRule="atLeast"/>
                    <w:ind w:firstLine="0" w:firstLineChars="0"/>
                    <w:contextualSpacing/>
                    <w:textAlignment w:val="auto"/>
                    <w:rPr>
                      <w:rFonts w:hint="default"/>
                      <w:color w:val="auto"/>
                      <w:sz w:val="21"/>
                      <w:szCs w:val="21"/>
                    </w:rPr>
                  </w:pPr>
                </w:p>
              </w:tc>
              <w:tc>
                <w:tcPr>
                  <w:tcW w:w="1302"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atLeast"/>
                    <w:jc w:val="center"/>
                    <w:textAlignment w:val="auto"/>
                    <w:rPr>
                      <w:rFonts w:hint="default"/>
                      <w:color w:val="auto"/>
                      <w:sz w:val="21"/>
                      <w:szCs w:val="21"/>
                      <w:lang w:val="en-US" w:eastAsia="zh-CN"/>
                    </w:rPr>
                  </w:pPr>
                  <w:r>
                    <w:rPr>
                      <w:rFonts w:hint="default"/>
                      <w:color w:val="auto"/>
                      <w:sz w:val="21"/>
                      <w:szCs w:val="21"/>
                    </w:rPr>
                    <w:t>高品质蛋白肠衣智能包装技术改造项目</w:t>
                  </w:r>
                </w:p>
              </w:tc>
              <w:tc>
                <w:tcPr>
                  <w:tcW w:w="1431"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atLeast"/>
                    <w:jc w:val="center"/>
                    <w:textAlignment w:val="auto"/>
                    <w:rPr>
                      <w:rFonts w:hint="default"/>
                      <w:color w:val="auto"/>
                      <w:sz w:val="21"/>
                      <w:szCs w:val="21"/>
                      <w:lang w:eastAsia="zh-CN"/>
                    </w:rPr>
                  </w:pPr>
                  <w:r>
                    <w:rPr>
                      <w:rFonts w:hint="default"/>
                      <w:color w:val="auto"/>
                      <w:sz w:val="21"/>
                      <w:szCs w:val="21"/>
                    </w:rPr>
                    <w:t>桓环许字[2020]74号</w:t>
                  </w:r>
                </w:p>
              </w:tc>
              <w:tc>
                <w:tcPr>
                  <w:tcW w:w="1900" w:type="dxa"/>
                  <w:tcBorders>
                    <w:tl2br w:val="nil"/>
                    <w:tr2bl w:val="nil"/>
                  </w:tcBorders>
                  <w:noWrap w:val="0"/>
                  <w:vAlign w:val="center"/>
                </w:tcPr>
                <w:p>
                  <w:pPr>
                    <w:pStyle w:val="32"/>
                    <w:keepNext w:val="0"/>
                    <w:keepLines w:val="0"/>
                    <w:pageBreakBefore w:val="0"/>
                    <w:kinsoku/>
                    <w:wordWrap/>
                    <w:overflowPunct/>
                    <w:topLinePunct w:val="0"/>
                    <w:autoSpaceDE/>
                    <w:autoSpaceDN/>
                    <w:bidi w:val="0"/>
                    <w:spacing w:line="360" w:lineRule="atLeast"/>
                    <w:ind w:firstLine="0" w:firstLineChars="0"/>
                    <w:contextualSpacing/>
                    <w:textAlignment w:val="auto"/>
                    <w:rPr>
                      <w:rFonts w:hint="default"/>
                      <w:color w:val="auto"/>
                      <w:sz w:val="21"/>
                      <w:szCs w:val="21"/>
                      <w:lang w:val="en-US" w:eastAsia="zh-CN"/>
                    </w:rPr>
                  </w:pPr>
                  <w:r>
                    <w:rPr>
                      <w:rFonts w:hint="default"/>
                      <w:color w:val="auto"/>
                      <w:sz w:val="21"/>
                      <w:szCs w:val="21"/>
                      <w:lang w:val="en-US" w:eastAsia="zh-CN"/>
                    </w:rPr>
                    <w:t>正在建设</w:t>
                  </w:r>
                </w:p>
              </w:tc>
              <w:tc>
                <w:tcPr>
                  <w:tcW w:w="156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atLeast"/>
                    <w:jc w:val="left"/>
                    <w:textAlignment w:val="auto"/>
                    <w:rPr>
                      <w:rFonts w:hint="default"/>
                      <w:color w:val="auto"/>
                      <w:sz w:val="21"/>
                      <w:szCs w:val="21"/>
                      <w:lang w:val="en-US" w:eastAsia="zh-CN"/>
                    </w:rPr>
                  </w:pPr>
                  <w:r>
                    <w:rPr>
                      <w:rFonts w:hint="default"/>
                      <w:color w:val="auto"/>
                      <w:sz w:val="21"/>
                      <w:szCs w:val="21"/>
                    </w:rPr>
                    <w:t>对现有10亿生产线的包装设备升级改造，正在建设</w:t>
                  </w:r>
                </w:p>
              </w:tc>
              <w:tc>
                <w:tcPr>
                  <w:tcW w:w="867" w:type="dxa"/>
                  <w:tcBorders>
                    <w:tl2br w:val="nil"/>
                    <w:tr2bl w:val="nil"/>
                  </w:tcBorders>
                  <w:noWrap w:val="0"/>
                  <w:vAlign w:val="center"/>
                </w:tcPr>
                <w:p>
                  <w:pPr>
                    <w:pStyle w:val="32"/>
                    <w:keepNext w:val="0"/>
                    <w:keepLines w:val="0"/>
                    <w:pageBreakBefore w:val="0"/>
                    <w:kinsoku/>
                    <w:wordWrap/>
                    <w:overflowPunct/>
                    <w:topLinePunct w:val="0"/>
                    <w:autoSpaceDE/>
                    <w:autoSpaceDN/>
                    <w:bidi w:val="0"/>
                    <w:spacing w:line="360" w:lineRule="atLeast"/>
                    <w:ind w:firstLine="0" w:firstLineChars="0"/>
                    <w:contextualSpacing/>
                    <w:textAlignment w:val="auto"/>
                    <w:rPr>
                      <w:rFonts w:hint="default"/>
                      <w:color w:val="auto"/>
                      <w:sz w:val="21"/>
                      <w:szCs w:val="21"/>
                      <w:lang w:val="en-US" w:eastAsia="zh-CN"/>
                    </w:rPr>
                  </w:pPr>
                  <w:r>
                    <w:rPr>
                      <w:rFonts w:hint="default"/>
                      <w:color w:val="auto"/>
                      <w:sz w:val="21"/>
                      <w:szCs w:val="21"/>
                      <w:lang w:val="en-US" w:eastAsia="zh-CN"/>
                    </w:rPr>
                    <w:t>/</w:t>
                  </w:r>
                </w:p>
              </w:tc>
              <w:tc>
                <w:tcPr>
                  <w:tcW w:w="590" w:type="dxa"/>
                  <w:tcBorders>
                    <w:tl2br w:val="nil"/>
                    <w:tr2bl w:val="nil"/>
                  </w:tcBorders>
                  <w:noWrap w:val="0"/>
                  <w:vAlign w:val="center"/>
                </w:tcPr>
                <w:p>
                  <w:pPr>
                    <w:pStyle w:val="32"/>
                    <w:keepNext w:val="0"/>
                    <w:keepLines w:val="0"/>
                    <w:pageBreakBefore w:val="0"/>
                    <w:kinsoku/>
                    <w:wordWrap/>
                    <w:overflowPunct/>
                    <w:topLinePunct w:val="0"/>
                    <w:autoSpaceDE/>
                    <w:autoSpaceDN/>
                    <w:bidi w:val="0"/>
                    <w:spacing w:line="360" w:lineRule="atLeast"/>
                    <w:ind w:firstLine="0" w:firstLineChars="0"/>
                    <w:contextualSpacing/>
                    <w:textAlignment w:val="auto"/>
                    <w:rPr>
                      <w:rFonts w:hint="default"/>
                      <w:color w:val="auto"/>
                      <w:sz w:val="21"/>
                      <w:szCs w:val="21"/>
                      <w:lang w:val="en-US" w:eastAsia="zh-CN"/>
                    </w:rPr>
                  </w:pPr>
                  <w:r>
                    <w:rPr>
                      <w:rFonts w:hint="default"/>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62" w:hRule="atLeast"/>
                <w:jc w:val="center"/>
              </w:trPr>
              <w:tc>
                <w:tcPr>
                  <w:tcW w:w="280" w:type="dxa"/>
                  <w:vMerge w:val="continue"/>
                  <w:tcBorders>
                    <w:tl2br w:val="nil"/>
                    <w:tr2bl w:val="nil"/>
                  </w:tcBorders>
                  <w:noWrap w:val="0"/>
                  <w:vAlign w:val="center"/>
                </w:tcPr>
                <w:p>
                  <w:pPr>
                    <w:pStyle w:val="32"/>
                    <w:keepNext w:val="0"/>
                    <w:keepLines w:val="0"/>
                    <w:pageBreakBefore w:val="0"/>
                    <w:kinsoku/>
                    <w:wordWrap/>
                    <w:overflowPunct/>
                    <w:topLinePunct w:val="0"/>
                    <w:autoSpaceDE/>
                    <w:autoSpaceDN/>
                    <w:bidi w:val="0"/>
                    <w:spacing w:line="360" w:lineRule="atLeast"/>
                    <w:ind w:firstLine="0" w:firstLineChars="0"/>
                    <w:contextualSpacing/>
                    <w:textAlignment w:val="auto"/>
                    <w:rPr>
                      <w:rFonts w:hint="default"/>
                      <w:color w:val="auto"/>
                      <w:sz w:val="21"/>
                      <w:szCs w:val="21"/>
                    </w:rPr>
                  </w:pPr>
                </w:p>
              </w:tc>
              <w:tc>
                <w:tcPr>
                  <w:tcW w:w="1302"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atLeast"/>
                    <w:jc w:val="center"/>
                    <w:textAlignment w:val="auto"/>
                    <w:rPr>
                      <w:rFonts w:hint="default" w:eastAsia="宋体"/>
                      <w:color w:val="auto"/>
                      <w:sz w:val="21"/>
                      <w:szCs w:val="21"/>
                      <w:lang w:val="en-US" w:eastAsia="zh-CN"/>
                    </w:rPr>
                  </w:pPr>
                  <w:r>
                    <w:rPr>
                      <w:rFonts w:hint="eastAsia"/>
                      <w:color w:val="auto"/>
                      <w:sz w:val="21"/>
                      <w:szCs w:val="21"/>
                      <w:lang w:eastAsia="zh-CN"/>
                    </w:rPr>
                    <w:t>年产</w:t>
                  </w:r>
                  <w:r>
                    <w:rPr>
                      <w:rFonts w:hint="eastAsia"/>
                      <w:color w:val="auto"/>
                      <w:sz w:val="21"/>
                      <w:szCs w:val="21"/>
                      <w:lang w:val="en-US" w:eastAsia="zh-CN"/>
                    </w:rPr>
                    <w:t>10亿米高品质蛋白肠衣建设项目</w:t>
                  </w:r>
                </w:p>
              </w:tc>
              <w:tc>
                <w:tcPr>
                  <w:tcW w:w="143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桓环许字</w:t>
                  </w:r>
                </w:p>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color w:val="auto"/>
                      <w:sz w:val="21"/>
                      <w:szCs w:val="21"/>
                    </w:rPr>
                  </w:pPr>
                  <w:r>
                    <w:rPr>
                      <w:rFonts w:hint="default" w:ascii="Times New Roman" w:hAnsi="Times New Roman" w:eastAsia="宋体" w:cs="Times New Roman"/>
                      <w:color w:val="auto"/>
                      <w:sz w:val="21"/>
                      <w:szCs w:val="21"/>
                      <w:lang w:val="en-US" w:eastAsia="zh-CN"/>
                    </w:rPr>
                    <w:t>[2022] 3 号</w:t>
                  </w:r>
                </w:p>
              </w:tc>
              <w:tc>
                <w:tcPr>
                  <w:tcW w:w="1900" w:type="dxa"/>
                  <w:tcBorders>
                    <w:tl2br w:val="nil"/>
                    <w:tr2bl w:val="nil"/>
                  </w:tcBorders>
                  <w:noWrap w:val="0"/>
                  <w:vAlign w:val="center"/>
                </w:tcPr>
                <w:p>
                  <w:pPr>
                    <w:pStyle w:val="32"/>
                    <w:keepNext w:val="0"/>
                    <w:keepLines w:val="0"/>
                    <w:pageBreakBefore w:val="0"/>
                    <w:kinsoku/>
                    <w:wordWrap/>
                    <w:overflowPunct/>
                    <w:topLinePunct w:val="0"/>
                    <w:autoSpaceDE/>
                    <w:autoSpaceDN/>
                    <w:bidi w:val="0"/>
                    <w:spacing w:line="360" w:lineRule="atLeast"/>
                    <w:ind w:firstLine="0" w:firstLineChars="0"/>
                    <w:contextualSpacing/>
                    <w:textAlignment w:val="auto"/>
                    <w:rPr>
                      <w:rFonts w:hint="default"/>
                      <w:color w:val="auto"/>
                      <w:sz w:val="21"/>
                      <w:szCs w:val="21"/>
                      <w:lang w:val="en-US" w:eastAsia="zh-CN"/>
                    </w:rPr>
                  </w:pPr>
                  <w:r>
                    <w:rPr>
                      <w:rFonts w:hint="eastAsia"/>
                      <w:color w:val="auto"/>
                      <w:sz w:val="21"/>
                      <w:szCs w:val="21"/>
                      <w:lang w:val="en-US" w:eastAsia="zh-CN"/>
                    </w:rPr>
                    <w:t>2022年8月自主验收</w:t>
                  </w:r>
                </w:p>
              </w:tc>
              <w:tc>
                <w:tcPr>
                  <w:tcW w:w="1567"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360" w:lineRule="atLeast"/>
                    <w:jc w:val="left"/>
                    <w:textAlignment w:val="auto"/>
                    <w:rPr>
                      <w:rFonts w:hint="default" w:eastAsia="宋体"/>
                      <w:color w:val="auto"/>
                      <w:sz w:val="21"/>
                      <w:szCs w:val="21"/>
                      <w:lang w:val="en-US" w:eastAsia="zh-CN"/>
                    </w:rPr>
                  </w:pPr>
                  <w:r>
                    <w:rPr>
                      <w:rFonts w:hint="eastAsia"/>
                      <w:color w:val="auto"/>
                      <w:sz w:val="21"/>
                      <w:szCs w:val="21"/>
                      <w:lang w:eastAsia="zh-CN"/>
                    </w:rPr>
                    <w:t>年产</w:t>
                  </w:r>
                  <w:r>
                    <w:rPr>
                      <w:rFonts w:hint="eastAsia"/>
                      <w:color w:val="auto"/>
                      <w:sz w:val="21"/>
                      <w:szCs w:val="21"/>
                      <w:lang w:val="en-US" w:eastAsia="zh-CN"/>
                    </w:rPr>
                    <w:t>10亿米高品质蛋白肠衣，正常生产</w:t>
                  </w:r>
                </w:p>
              </w:tc>
              <w:tc>
                <w:tcPr>
                  <w:tcW w:w="867" w:type="dxa"/>
                  <w:tcBorders>
                    <w:tl2br w:val="nil"/>
                    <w:tr2bl w:val="nil"/>
                  </w:tcBorders>
                  <w:noWrap w:val="0"/>
                  <w:vAlign w:val="center"/>
                </w:tcPr>
                <w:p>
                  <w:pPr>
                    <w:pStyle w:val="32"/>
                    <w:keepNext w:val="0"/>
                    <w:keepLines w:val="0"/>
                    <w:pageBreakBefore w:val="0"/>
                    <w:kinsoku/>
                    <w:wordWrap/>
                    <w:overflowPunct/>
                    <w:topLinePunct w:val="0"/>
                    <w:autoSpaceDE/>
                    <w:autoSpaceDN/>
                    <w:bidi w:val="0"/>
                    <w:spacing w:line="360" w:lineRule="atLeast"/>
                    <w:ind w:firstLine="0" w:firstLineChars="0"/>
                    <w:contextualSpacing/>
                    <w:textAlignment w:val="auto"/>
                    <w:rPr>
                      <w:rFonts w:hint="default"/>
                      <w:color w:val="auto"/>
                      <w:sz w:val="21"/>
                      <w:szCs w:val="21"/>
                      <w:lang w:val="en-US" w:eastAsia="zh-CN"/>
                    </w:rPr>
                  </w:pPr>
                  <w:r>
                    <w:rPr>
                      <w:rFonts w:hint="eastAsia"/>
                      <w:color w:val="auto"/>
                      <w:sz w:val="21"/>
                      <w:szCs w:val="21"/>
                      <w:lang w:val="en-US" w:eastAsia="zh-CN"/>
                    </w:rPr>
                    <w:t>正常运行</w:t>
                  </w:r>
                </w:p>
              </w:tc>
              <w:tc>
                <w:tcPr>
                  <w:tcW w:w="590" w:type="dxa"/>
                  <w:tcBorders>
                    <w:tl2br w:val="nil"/>
                    <w:tr2bl w:val="nil"/>
                  </w:tcBorders>
                  <w:noWrap w:val="0"/>
                  <w:vAlign w:val="center"/>
                </w:tcPr>
                <w:p>
                  <w:pPr>
                    <w:pStyle w:val="32"/>
                    <w:keepNext w:val="0"/>
                    <w:keepLines w:val="0"/>
                    <w:pageBreakBefore w:val="0"/>
                    <w:kinsoku/>
                    <w:wordWrap/>
                    <w:overflowPunct/>
                    <w:topLinePunct w:val="0"/>
                    <w:autoSpaceDE/>
                    <w:autoSpaceDN/>
                    <w:bidi w:val="0"/>
                    <w:spacing w:line="360" w:lineRule="atLeast"/>
                    <w:ind w:firstLine="0" w:firstLineChars="0"/>
                    <w:contextualSpacing/>
                    <w:textAlignment w:val="auto"/>
                    <w:rPr>
                      <w:rFonts w:hint="default"/>
                      <w:color w:val="auto"/>
                      <w:sz w:val="21"/>
                      <w:szCs w:val="21"/>
                      <w:lang w:val="en-US" w:eastAsia="zh-CN"/>
                    </w:rPr>
                  </w:pPr>
                  <w:r>
                    <w:rPr>
                      <w:rFonts w:hint="eastAsia"/>
                      <w:color w:val="auto"/>
                      <w:sz w:val="21"/>
                      <w:szCs w:val="21"/>
                      <w:lang w:val="en-US" w:eastAsia="zh-CN"/>
                    </w:rPr>
                    <w:t>/</w:t>
                  </w:r>
                </w:p>
              </w:tc>
            </w:tr>
          </w:tbl>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2" w:firstLineChars="200"/>
              <w:jc w:val="left"/>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现有项目污染物排放情况</w:t>
            </w:r>
          </w:p>
          <w:p>
            <w:pPr>
              <w:pStyle w:val="2"/>
              <w:numPr>
                <w:ilvl w:val="0"/>
                <w:numId w:val="0"/>
              </w:numPr>
              <w:ind w:firstLine="482" w:firstLineChars="200"/>
              <w:rPr>
                <w:rFonts w:hint="eastAsia" w:ascii="黑体" w:hAnsi="黑体" w:eastAsia="黑体" w:cs="黑体"/>
                <w:b/>
                <w:bCs/>
                <w:color w:val="auto"/>
                <w:lang w:val="en-US" w:eastAsia="zh-CN"/>
              </w:rPr>
            </w:pPr>
            <w:r>
              <w:rPr>
                <w:rFonts w:hint="eastAsia" w:ascii="黑体" w:hAnsi="黑体" w:eastAsia="黑体" w:cs="黑体"/>
                <w:b/>
                <w:bCs/>
                <w:color w:val="auto"/>
                <w:lang w:val="en-US" w:eastAsia="zh-CN"/>
              </w:rPr>
              <w:t>1.1废水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szCs w:val="24"/>
                <w:lang w:val="en-US" w:eastAsia="zh-CN"/>
              </w:rPr>
            </w:pPr>
            <w:r>
              <w:rPr>
                <w:rFonts w:hint="eastAsia"/>
                <w:bCs/>
                <w:color w:val="auto"/>
                <w:sz w:val="24"/>
                <w:szCs w:val="24"/>
              </w:rPr>
              <w:t>厂区现有项目废水包括脱灰水洗废水、酸洗废水、水洗废水、车间及设备冲洗废水、</w:t>
            </w:r>
            <w:r>
              <w:rPr>
                <w:rFonts w:hint="eastAsia"/>
                <w:bCs/>
                <w:color w:val="auto"/>
                <w:sz w:val="24"/>
                <w:szCs w:val="24"/>
                <w:lang w:eastAsia="zh-CN"/>
              </w:rPr>
              <w:t>软水制备浓水、</w:t>
            </w:r>
            <w:r>
              <w:rPr>
                <w:rFonts w:hint="eastAsia"/>
                <w:bCs/>
                <w:color w:val="auto"/>
                <w:sz w:val="24"/>
                <w:szCs w:val="24"/>
              </w:rPr>
              <w:t>冷却循环排污水及职工生活废水</w:t>
            </w:r>
            <w:r>
              <w:rPr>
                <w:rFonts w:hint="eastAsia"/>
                <w:bCs/>
                <w:color w:val="auto"/>
                <w:sz w:val="24"/>
                <w:szCs w:val="24"/>
                <w:lang w:eastAsia="zh-CN"/>
              </w:rPr>
              <w:t>，</w:t>
            </w:r>
            <w:r>
              <w:rPr>
                <w:rFonts w:hint="eastAsia" w:ascii="Times New Roman" w:hAnsi="Times New Roman" w:eastAsia="宋体" w:cs="Times New Roman"/>
                <w:color w:val="auto"/>
                <w:sz w:val="24"/>
                <w:szCs w:val="24"/>
                <w:lang w:val="en-US" w:eastAsia="zh-CN"/>
              </w:rPr>
              <w:t>均排入</w:t>
            </w:r>
            <w:r>
              <w:rPr>
                <w:rFonts w:hint="eastAsia" w:cs="Times New Roman"/>
                <w:color w:val="auto"/>
                <w:sz w:val="24"/>
                <w:szCs w:val="24"/>
                <w:lang w:val="en-US" w:eastAsia="zh-CN"/>
              </w:rPr>
              <w:t>海奥斯厂区污水处理站</w:t>
            </w:r>
            <w:r>
              <w:rPr>
                <w:rFonts w:hint="eastAsia" w:ascii="Times New Roman" w:hAnsi="Times New Roman" w:eastAsia="宋体" w:cs="Times New Roman"/>
                <w:color w:val="auto"/>
                <w:sz w:val="24"/>
                <w:szCs w:val="24"/>
                <w:lang w:val="en-US" w:eastAsia="zh-CN"/>
              </w:rPr>
              <w:t>，经处理达到《污水排入城镇下水道水质标准》（GB/T31962-2015）中B等级标准后排入市政污水管网，进入光大水务(淄博)有限公司水质净化三分厂进一步处理。</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cs="Times New Roman"/>
                <w:color w:val="0000C7"/>
                <w:sz w:val="24"/>
                <w:szCs w:val="24"/>
                <w:lang w:val="en-US" w:eastAsia="zh-CN"/>
              </w:rPr>
            </w:pPr>
            <w:r>
              <w:rPr>
                <w:rFonts w:hint="eastAsia" w:cs="Times New Roman"/>
                <w:color w:val="0000C7"/>
                <w:sz w:val="24"/>
                <w:szCs w:val="24"/>
                <w:lang w:val="en-US" w:eastAsia="zh-CN"/>
              </w:rPr>
              <w:t>现有项目水平衡图如下：</w:t>
            </w:r>
          </w:p>
          <w:p>
            <w:pPr>
              <w:rPr>
                <w:rFonts w:hint="eastAsia"/>
                <w:color w:val="0000C7"/>
                <w:lang w:val="en-US" w:eastAsia="zh-CN"/>
              </w:rPr>
            </w:pPr>
            <w:r>
              <w:rPr>
                <w:rFonts w:hint="eastAsia"/>
                <w:color w:val="0000C7"/>
                <w:lang w:val="en-US" w:eastAsia="zh-CN"/>
              </w:rPr>
              <w:object>
                <v:shape id="_x0000_i1032" o:spt="75" type="#_x0000_t75" style="height:306.8pt;width:420.95pt;" o:ole="t" filled="f" o:preferrelative="t" stroked="f" coordsize="21600,21600">
                  <v:path/>
                  <v:fill on="f" focussize="0,0"/>
                  <v:stroke on="f"/>
                  <v:imagedata r:id="rId26" o:title=""/>
                  <o:lock v:ext="edit" aspectratio="f"/>
                  <w10:wrap type="none"/>
                  <w10:anchorlock/>
                </v:shape>
                <o:OLEObject Type="Embed" ProgID="Visio.Drawing.11" ShapeID="_x0000_i1032" DrawAspect="Content" ObjectID="_1468075732" r:id="rId25">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黑体" w:cs="Times New Roman"/>
                <w:b/>
                <w:bCs/>
                <w:color w:val="0000C7"/>
                <w:sz w:val="24"/>
                <w:szCs w:val="24"/>
                <w:lang w:val="en-US" w:eastAsia="zh-CN"/>
              </w:rPr>
            </w:pPr>
            <w:r>
              <w:rPr>
                <w:rFonts w:hint="default" w:ascii="Times New Roman" w:hAnsi="Times New Roman" w:eastAsia="黑体" w:cs="Times New Roman"/>
                <w:b/>
                <w:bCs/>
                <w:color w:val="0000C7"/>
                <w:sz w:val="24"/>
                <w:szCs w:val="24"/>
                <w:lang w:val="en-US" w:eastAsia="zh-CN"/>
              </w:rPr>
              <w:t>图2-</w:t>
            </w:r>
            <w:r>
              <w:rPr>
                <w:rFonts w:hint="eastAsia" w:eastAsia="黑体" w:cs="Times New Roman"/>
                <w:b/>
                <w:bCs/>
                <w:color w:val="0000C7"/>
                <w:sz w:val="24"/>
                <w:szCs w:val="24"/>
                <w:lang w:val="en-US" w:eastAsia="zh-CN"/>
              </w:rPr>
              <w:t xml:space="preserve">9 </w:t>
            </w:r>
            <w:r>
              <w:rPr>
                <w:rFonts w:hint="default" w:ascii="Times New Roman" w:hAnsi="Times New Roman" w:eastAsia="黑体" w:cs="Times New Roman"/>
                <w:b/>
                <w:bCs/>
                <w:color w:val="0000C7"/>
                <w:sz w:val="24"/>
                <w:szCs w:val="24"/>
                <w:lang w:val="en-US" w:eastAsia="zh-CN"/>
              </w:rPr>
              <w:t>海奥斯厂区现有项目水平衡图</w:t>
            </w:r>
            <w:r>
              <w:rPr>
                <w:rFonts w:hint="eastAsia" w:eastAsia="黑体" w:cs="Times New Roman"/>
                <w:b/>
                <w:bCs/>
                <w:color w:val="0000C7"/>
                <w:sz w:val="24"/>
                <w:szCs w:val="24"/>
                <w:lang w:val="en-US" w:eastAsia="zh-CN"/>
              </w:rPr>
              <w:t>（t/a）</w:t>
            </w:r>
          </w:p>
          <w:p>
            <w:pPr>
              <w:pStyle w:val="2"/>
              <w:keepNext w:val="0"/>
              <w:keepLines w:val="0"/>
              <w:pageBreakBefore w:val="0"/>
              <w:widowControl w:val="0"/>
              <w:kinsoku/>
              <w:wordWrap/>
              <w:overflowPunct/>
              <w:topLinePunct w:val="0"/>
              <w:autoSpaceDE/>
              <w:autoSpaceDN/>
              <w:bidi w:val="0"/>
              <w:adjustRightInd/>
              <w:snapToGrid/>
              <w:ind w:left="0" w:leftChars="0"/>
              <w:jc w:val="left"/>
              <w:textAlignment w:val="auto"/>
              <w:rPr>
                <w:rFonts w:hint="eastAsia"/>
                <w:color w:val="C00000"/>
                <w:lang w:val="en-US" w:eastAsia="zh-CN"/>
              </w:rPr>
            </w:pPr>
            <w:r>
              <w:rPr>
                <w:rFonts w:hint="eastAsia"/>
                <w:color w:val="0000FF"/>
                <w:lang w:val="en-US" w:eastAsia="zh-CN"/>
              </w:rPr>
              <w:t>现有项目蒸汽平衡图如下：</w:t>
            </w:r>
          </w:p>
          <w:p>
            <w:pPr>
              <w:rPr>
                <w:rFonts w:hint="default"/>
                <w:lang w:val="en-US" w:eastAsia="zh-CN"/>
              </w:rPr>
            </w:pPr>
            <w:r>
              <w:rPr>
                <w:rFonts w:hint="default"/>
                <w:lang w:val="en-US" w:eastAsia="zh-CN"/>
              </w:rPr>
              <w:object>
                <v:shape id="_x0000_i1033" o:spt="75" type="#_x0000_t75" style="height:265.75pt;width:421.3pt;" o:ole="t" filled="f" o:preferrelative="t" stroked="f" coordsize="21600,21600">
                  <v:path/>
                  <v:fill on="f" focussize="0,0"/>
                  <v:stroke on="f"/>
                  <v:imagedata r:id="rId28" o:title=""/>
                  <o:lock v:ext="edit" aspectratio="f"/>
                  <w10:wrap type="none"/>
                  <w10:anchorlock/>
                </v:shape>
                <o:OLEObject Type="Embed" ProgID="Visio.Drawing.11" ShapeID="_x0000_i1033" DrawAspect="Content" ObjectID="_1468075733" r:id="rId27">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ascii="Times New Roman" w:hAnsi="Times New Roman" w:eastAsia="黑体" w:cs="Times New Roman"/>
                <w:b/>
                <w:bCs/>
                <w:color w:val="0000FF"/>
                <w:sz w:val="24"/>
                <w:szCs w:val="24"/>
                <w:lang w:val="en-US" w:eastAsia="zh-CN"/>
              </w:rPr>
            </w:pPr>
            <w:r>
              <w:rPr>
                <w:rFonts w:hint="default" w:ascii="Times New Roman" w:hAnsi="Times New Roman" w:eastAsia="黑体" w:cs="Times New Roman"/>
                <w:b/>
                <w:bCs/>
                <w:color w:val="0000FF"/>
                <w:sz w:val="24"/>
                <w:szCs w:val="24"/>
                <w:lang w:val="en-US" w:eastAsia="zh-CN"/>
              </w:rPr>
              <w:t>图2-</w:t>
            </w:r>
            <w:r>
              <w:rPr>
                <w:rFonts w:hint="eastAsia" w:eastAsia="黑体" w:cs="Times New Roman"/>
                <w:b/>
                <w:bCs/>
                <w:color w:val="0000FF"/>
                <w:sz w:val="24"/>
                <w:szCs w:val="24"/>
                <w:lang w:val="en-US" w:eastAsia="zh-CN"/>
              </w:rPr>
              <w:t xml:space="preserve">10 </w:t>
            </w:r>
            <w:r>
              <w:rPr>
                <w:rFonts w:hint="default" w:ascii="Times New Roman" w:hAnsi="Times New Roman" w:eastAsia="黑体" w:cs="Times New Roman"/>
                <w:b/>
                <w:bCs/>
                <w:color w:val="0000FF"/>
                <w:sz w:val="24"/>
                <w:szCs w:val="24"/>
                <w:lang w:val="en-US" w:eastAsia="zh-CN"/>
              </w:rPr>
              <w:t>海奥斯厂区现有项目</w:t>
            </w:r>
            <w:r>
              <w:rPr>
                <w:rFonts w:hint="eastAsia" w:eastAsia="黑体" w:cs="Times New Roman"/>
                <w:b/>
                <w:bCs/>
                <w:color w:val="0000FF"/>
                <w:sz w:val="24"/>
                <w:szCs w:val="24"/>
                <w:lang w:val="en-US" w:eastAsia="zh-CN"/>
              </w:rPr>
              <w:t>蒸汽</w:t>
            </w:r>
            <w:r>
              <w:rPr>
                <w:rFonts w:hint="default" w:ascii="Times New Roman" w:hAnsi="Times New Roman" w:eastAsia="黑体" w:cs="Times New Roman"/>
                <w:b/>
                <w:bCs/>
                <w:color w:val="0000FF"/>
                <w:sz w:val="24"/>
                <w:szCs w:val="24"/>
                <w:lang w:val="en-US" w:eastAsia="zh-CN"/>
              </w:rPr>
              <w:t>平衡图</w:t>
            </w:r>
            <w:r>
              <w:rPr>
                <w:rFonts w:hint="eastAsia" w:eastAsia="黑体" w:cs="Times New Roman"/>
                <w:b/>
                <w:bCs/>
                <w:color w:val="0000FF"/>
                <w:sz w:val="24"/>
                <w:szCs w:val="24"/>
                <w:lang w:val="en-US" w:eastAsia="zh-CN"/>
              </w:rPr>
              <w:t>（t/a）</w:t>
            </w:r>
          </w:p>
          <w:p>
            <w:pPr>
              <w:pStyle w:val="2"/>
              <w:ind w:left="0" w:leftChars="0" w:firstLine="0" w:firstLineChars="0"/>
              <w:rPr>
                <w:rFonts w:hint="default"/>
                <w:lang w:val="en-US" w:eastAsia="zh-CN"/>
              </w:rPr>
            </w:pPr>
            <w:r>
              <w:rPr>
                <w:rFonts w:hint="default"/>
                <w:lang w:val="en-US" w:eastAsia="zh-CN"/>
              </w:rPr>
              <w:object>
                <v:shape id="_x0000_i1034" o:spt="75" type="#_x0000_t75" style="height:265.75pt;width:421.3pt;" o:ole="t" filled="f" o:preferrelative="t" stroked="f" coordsize="21600,21600">
                  <v:path/>
                  <v:fill on="f" focussize="0,0"/>
                  <v:stroke on="f"/>
                  <v:imagedata r:id="rId30" o:title=""/>
                  <o:lock v:ext="edit" aspectratio="f"/>
                  <w10:wrap type="none"/>
                  <w10:anchorlock/>
                </v:shape>
                <o:OLEObject Type="Embed" ProgID="Visio.Drawing.11" ShapeID="_x0000_i1034" DrawAspect="Content" ObjectID="_1468075734" r:id="rId29">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default"/>
                <w:lang w:val="en-US" w:eastAsia="zh-CN"/>
              </w:rPr>
            </w:pPr>
            <w:r>
              <w:rPr>
                <w:rFonts w:hint="default" w:ascii="Times New Roman" w:hAnsi="Times New Roman" w:eastAsia="黑体" w:cs="Times New Roman"/>
                <w:b/>
                <w:bCs/>
                <w:color w:val="0000FF"/>
                <w:sz w:val="24"/>
                <w:szCs w:val="24"/>
                <w:lang w:val="en-US" w:eastAsia="zh-CN"/>
              </w:rPr>
              <w:t>图2-</w:t>
            </w:r>
            <w:r>
              <w:rPr>
                <w:rFonts w:hint="eastAsia" w:eastAsia="黑体" w:cs="Times New Roman"/>
                <w:b/>
                <w:bCs/>
                <w:color w:val="0000FF"/>
                <w:sz w:val="24"/>
                <w:szCs w:val="24"/>
                <w:lang w:val="en-US" w:eastAsia="zh-CN"/>
              </w:rPr>
              <w:t xml:space="preserve">11 </w:t>
            </w:r>
            <w:r>
              <w:rPr>
                <w:rFonts w:hint="default" w:ascii="Times New Roman" w:hAnsi="Times New Roman" w:eastAsia="黑体" w:cs="Times New Roman"/>
                <w:b/>
                <w:bCs/>
                <w:color w:val="0000FF"/>
                <w:sz w:val="24"/>
                <w:szCs w:val="24"/>
                <w:lang w:val="en-US" w:eastAsia="zh-CN"/>
              </w:rPr>
              <w:t>海奥斯厂区现有项目</w:t>
            </w:r>
            <w:r>
              <w:rPr>
                <w:rFonts w:hint="eastAsia" w:eastAsia="黑体" w:cs="Times New Roman"/>
                <w:b/>
                <w:bCs/>
                <w:color w:val="0000FF"/>
                <w:sz w:val="24"/>
                <w:szCs w:val="24"/>
                <w:lang w:val="en-US" w:eastAsia="zh-CN"/>
              </w:rPr>
              <w:t>蒸汽</w:t>
            </w:r>
            <w:r>
              <w:rPr>
                <w:rFonts w:hint="default" w:ascii="Times New Roman" w:hAnsi="Times New Roman" w:eastAsia="黑体" w:cs="Times New Roman"/>
                <w:b/>
                <w:bCs/>
                <w:color w:val="0000FF"/>
                <w:sz w:val="24"/>
                <w:szCs w:val="24"/>
                <w:lang w:val="en-US" w:eastAsia="zh-CN"/>
              </w:rPr>
              <w:t>平衡图</w:t>
            </w:r>
            <w:r>
              <w:rPr>
                <w:rFonts w:hint="eastAsia" w:eastAsia="黑体" w:cs="Times New Roman"/>
                <w:b/>
                <w:bCs/>
                <w:color w:val="0000FF"/>
                <w:sz w:val="24"/>
                <w:szCs w:val="24"/>
                <w:lang w:val="en-US" w:eastAsia="zh-CN"/>
              </w:rPr>
              <w:t>（t/h）</w:t>
            </w:r>
          </w:p>
          <w:p>
            <w:pPr>
              <w:pStyle w:val="2"/>
              <w:ind w:left="0" w:leftChars="0" w:firstLine="480" w:firstLineChars="0"/>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1.2废气</w:t>
            </w:r>
          </w:p>
          <w:p>
            <w:pPr>
              <w:pStyle w:val="2"/>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Chars="200"/>
              <w:textAlignment w:val="auto"/>
            </w:pPr>
            <w:r>
              <w:rPr>
                <w:rFonts w:hint="eastAsia" w:ascii="Times New Roman" w:hAnsi="Times New Roman" w:cs="Times New Roman"/>
                <w:color w:val="auto"/>
                <w:sz w:val="24"/>
                <w:szCs w:val="24"/>
              </w:rPr>
              <w:t>项目废气主要为</w:t>
            </w:r>
            <w:r>
              <w:rPr>
                <w:rFonts w:hint="eastAsia" w:cs="Times New Roman"/>
                <w:color w:val="auto"/>
                <w:sz w:val="24"/>
                <w:szCs w:val="24"/>
                <w:lang w:eastAsia="zh-CN"/>
              </w:rPr>
              <w:t>浸灰</w:t>
            </w:r>
            <w:r>
              <w:rPr>
                <w:rFonts w:hint="eastAsia" w:ascii="Times New Roman" w:hAnsi="Times New Roman" w:cs="Times New Roman"/>
                <w:color w:val="auto"/>
                <w:sz w:val="24"/>
                <w:szCs w:val="24"/>
                <w:lang w:eastAsia="zh-CN"/>
              </w:rPr>
              <w:t>废气、</w:t>
            </w:r>
            <w:r>
              <w:rPr>
                <w:rFonts w:hint="eastAsia" w:cs="Times New Roman"/>
                <w:color w:val="auto"/>
                <w:sz w:val="24"/>
                <w:szCs w:val="24"/>
                <w:lang w:eastAsia="zh-CN"/>
              </w:rPr>
              <w:t>恒温腌制</w:t>
            </w:r>
            <w:r>
              <w:rPr>
                <w:rFonts w:hint="eastAsia" w:ascii="Times New Roman" w:hAnsi="Times New Roman" w:cs="Times New Roman"/>
                <w:color w:val="auto"/>
                <w:sz w:val="24"/>
                <w:szCs w:val="24"/>
                <w:lang w:eastAsia="zh-CN"/>
              </w:rPr>
              <w:t>废气、</w:t>
            </w:r>
            <w:r>
              <w:rPr>
                <w:rFonts w:hint="eastAsia" w:cs="Times New Roman"/>
                <w:color w:val="auto"/>
                <w:sz w:val="24"/>
                <w:szCs w:val="24"/>
                <w:lang w:eastAsia="zh-CN"/>
              </w:rPr>
              <w:t>酸解</w:t>
            </w:r>
            <w:r>
              <w:rPr>
                <w:rFonts w:hint="eastAsia" w:ascii="Times New Roman" w:hAnsi="Times New Roman" w:cs="Times New Roman"/>
                <w:color w:val="auto"/>
                <w:sz w:val="24"/>
                <w:szCs w:val="24"/>
              </w:rPr>
              <w:t>废气、</w:t>
            </w:r>
            <w:r>
              <w:rPr>
                <w:rFonts w:hint="eastAsia" w:cs="Times New Roman"/>
                <w:color w:val="auto"/>
                <w:sz w:val="24"/>
                <w:szCs w:val="24"/>
                <w:lang w:eastAsia="zh-CN"/>
              </w:rPr>
              <w:t>烘干</w:t>
            </w:r>
            <w:r>
              <w:rPr>
                <w:rFonts w:hint="eastAsia" w:ascii="Times New Roman" w:hAnsi="Times New Roman" w:cs="Times New Roman"/>
                <w:color w:val="auto"/>
                <w:sz w:val="24"/>
                <w:szCs w:val="24"/>
              </w:rPr>
              <w:t>废气、</w:t>
            </w:r>
            <w:r>
              <w:rPr>
                <w:rFonts w:hint="eastAsia" w:cs="Times New Roman"/>
                <w:color w:val="auto"/>
                <w:sz w:val="24"/>
                <w:szCs w:val="24"/>
                <w:lang w:eastAsia="zh-CN"/>
              </w:rPr>
              <w:t>盐酸储存</w:t>
            </w:r>
            <w:r>
              <w:rPr>
                <w:rFonts w:hint="eastAsia" w:ascii="Times New Roman" w:hAnsi="Times New Roman" w:cs="Times New Roman"/>
                <w:color w:val="auto"/>
                <w:sz w:val="24"/>
                <w:szCs w:val="24"/>
              </w:rPr>
              <w:t>废气</w:t>
            </w:r>
            <w:r>
              <w:rPr>
                <w:rFonts w:hint="eastAsia" w:ascii="Times New Roman" w:hAnsi="Times New Roman" w:cs="Times New Roman"/>
                <w:color w:val="auto"/>
                <w:sz w:val="24"/>
                <w:szCs w:val="24"/>
                <w:lang w:eastAsia="zh-CN"/>
              </w:rPr>
              <w:t>及</w:t>
            </w:r>
            <w:r>
              <w:rPr>
                <w:rFonts w:hint="eastAsia" w:cs="Times New Roman"/>
                <w:color w:val="auto"/>
                <w:sz w:val="24"/>
                <w:szCs w:val="24"/>
                <w:lang w:eastAsia="zh-CN"/>
              </w:rPr>
              <w:t>污水处理站</w:t>
            </w:r>
            <w:r>
              <w:rPr>
                <w:rFonts w:hint="eastAsia" w:ascii="Times New Roman" w:hAnsi="Times New Roman" w:cs="Times New Roman"/>
                <w:color w:val="auto"/>
                <w:sz w:val="24"/>
                <w:szCs w:val="24"/>
              </w:rPr>
              <w:t>处理过程中产生的废气。</w:t>
            </w:r>
            <w:r>
              <w:rPr>
                <w:rFonts w:hint="eastAsia" w:cs="Times New Roman"/>
                <w:color w:val="auto"/>
                <w:sz w:val="24"/>
                <w:szCs w:val="24"/>
                <w:lang w:eastAsia="zh-CN"/>
              </w:rPr>
              <w:t>浸灰</w:t>
            </w:r>
            <w:r>
              <w:rPr>
                <w:rFonts w:hint="eastAsia" w:ascii="Times New Roman" w:hAnsi="Times New Roman" w:cs="Times New Roman"/>
                <w:color w:val="auto"/>
                <w:sz w:val="24"/>
                <w:szCs w:val="24"/>
                <w:lang w:eastAsia="zh-CN"/>
              </w:rPr>
              <w:t>废气、</w:t>
            </w:r>
            <w:r>
              <w:rPr>
                <w:rFonts w:hint="eastAsia" w:cs="Times New Roman"/>
                <w:color w:val="auto"/>
                <w:sz w:val="24"/>
                <w:szCs w:val="24"/>
                <w:lang w:eastAsia="zh-CN"/>
              </w:rPr>
              <w:t>恒温腌制</w:t>
            </w:r>
            <w:r>
              <w:rPr>
                <w:rFonts w:hint="eastAsia" w:ascii="Times New Roman" w:hAnsi="Times New Roman" w:cs="Times New Roman"/>
                <w:color w:val="auto"/>
                <w:sz w:val="24"/>
                <w:szCs w:val="24"/>
                <w:lang w:eastAsia="zh-CN"/>
              </w:rPr>
              <w:t>废气、</w:t>
            </w:r>
            <w:r>
              <w:rPr>
                <w:rFonts w:hint="eastAsia" w:cs="Times New Roman"/>
                <w:color w:val="auto"/>
                <w:sz w:val="24"/>
                <w:szCs w:val="24"/>
                <w:lang w:eastAsia="zh-CN"/>
              </w:rPr>
              <w:t>酸解</w:t>
            </w:r>
            <w:r>
              <w:rPr>
                <w:rFonts w:hint="eastAsia" w:ascii="Times New Roman" w:hAnsi="Times New Roman" w:cs="Times New Roman"/>
                <w:color w:val="auto"/>
                <w:sz w:val="24"/>
                <w:szCs w:val="24"/>
              </w:rPr>
              <w:t>废气</w:t>
            </w:r>
            <w:r>
              <w:rPr>
                <w:rFonts w:hint="eastAsia" w:ascii="Times New Roman" w:hAnsi="Times New Roman" w:cs="Times New Roman"/>
                <w:color w:val="auto"/>
                <w:sz w:val="24"/>
                <w:szCs w:val="24"/>
                <w:lang w:eastAsia="zh-CN"/>
              </w:rPr>
              <w:t>通过车间无组织排放</w:t>
            </w:r>
            <w:r>
              <w:rPr>
                <w:rFonts w:hint="eastAsia" w:cs="Times New Roman"/>
                <w:color w:val="auto"/>
                <w:sz w:val="24"/>
                <w:szCs w:val="24"/>
                <w:lang w:eastAsia="zh-CN"/>
              </w:rPr>
              <w:t>；</w:t>
            </w:r>
            <w:r>
              <w:rPr>
                <w:rFonts w:hint="eastAsia"/>
                <w:bCs/>
                <w:color w:val="auto"/>
                <w:szCs w:val="21"/>
              </w:rPr>
              <w:t>项目设置碱液喷淋罐，</w:t>
            </w:r>
            <w:r>
              <w:rPr>
                <w:rFonts w:hint="eastAsia" w:cs="Times New Roman"/>
                <w:color w:val="auto"/>
                <w:sz w:val="24"/>
                <w:szCs w:val="24"/>
                <w:lang w:eastAsia="zh-CN"/>
              </w:rPr>
              <w:t>盐酸储存废气</w:t>
            </w:r>
            <w:r>
              <w:rPr>
                <w:rFonts w:hint="eastAsia"/>
                <w:bCs/>
                <w:color w:val="auto"/>
                <w:szCs w:val="21"/>
              </w:rPr>
              <w:t>产生的HCl经碱液喷淋后无组织排放</w:t>
            </w:r>
            <w:r>
              <w:rPr>
                <w:rFonts w:hint="eastAsia"/>
                <w:bCs/>
                <w:color w:val="auto"/>
                <w:szCs w:val="21"/>
                <w:lang w:eastAsia="zh-CN"/>
              </w:rPr>
              <w:t>；</w:t>
            </w:r>
            <w:r>
              <w:rPr>
                <w:rFonts w:hint="eastAsia" w:cs="Times New Roman"/>
                <w:color w:val="auto"/>
                <w:sz w:val="24"/>
                <w:szCs w:val="24"/>
                <w:lang w:eastAsia="zh-CN"/>
              </w:rPr>
              <w:t>烘干工序热源机燃烧天然气会产生</w:t>
            </w:r>
            <w:r>
              <w:rPr>
                <w:rFonts w:hint="eastAsia" w:ascii="Times New Roman" w:hAnsi="Times New Roman" w:cs="Times New Roman"/>
                <w:color w:val="auto"/>
                <w:sz w:val="24"/>
                <w:szCs w:val="24"/>
                <w:lang w:eastAsia="zh-CN"/>
              </w:rPr>
              <w:t>废气经</w:t>
            </w:r>
            <w:r>
              <w:rPr>
                <w:rFonts w:hint="eastAsia" w:cs="Times New Roman"/>
                <w:color w:val="auto"/>
                <w:sz w:val="24"/>
                <w:szCs w:val="24"/>
                <w:lang w:eastAsia="zh-CN"/>
              </w:rPr>
              <w:t>低氮燃烧处理后</w:t>
            </w:r>
            <w:r>
              <w:rPr>
                <w:rFonts w:hint="eastAsia" w:ascii="Times New Roman" w:hAnsi="Times New Roman" w:cs="Times New Roman"/>
                <w:color w:val="auto"/>
                <w:sz w:val="24"/>
                <w:szCs w:val="24"/>
                <w:lang w:val="en-US" w:eastAsia="zh-CN"/>
              </w:rPr>
              <w:t>通过排气筒DA00</w:t>
            </w:r>
            <w:r>
              <w:rPr>
                <w:rFonts w:hint="eastAsia" w:cs="Times New Roman"/>
                <w:color w:val="auto"/>
                <w:sz w:val="24"/>
                <w:szCs w:val="24"/>
                <w:lang w:val="en-US" w:eastAsia="zh-CN"/>
              </w:rPr>
              <w:t>3、DA004、DA005</w:t>
            </w:r>
            <w:r>
              <w:rPr>
                <w:rFonts w:hint="eastAsia" w:ascii="Times New Roman" w:hAnsi="Times New Roman" w:cs="Times New Roman"/>
                <w:color w:val="auto"/>
                <w:sz w:val="24"/>
                <w:szCs w:val="24"/>
                <w:lang w:val="en-US" w:eastAsia="zh-CN"/>
              </w:rPr>
              <w:t>排放；</w:t>
            </w:r>
            <w:r>
              <w:rPr>
                <w:rFonts w:hint="eastAsia" w:cs="Times New Roman"/>
                <w:color w:val="auto"/>
                <w:sz w:val="24"/>
                <w:szCs w:val="24"/>
                <w:lang w:val="en-US" w:eastAsia="zh-CN"/>
              </w:rPr>
              <w:t>污水处理站</w:t>
            </w:r>
            <w:r>
              <w:rPr>
                <w:rFonts w:hint="eastAsia"/>
                <w:bCs/>
                <w:color w:val="auto"/>
              </w:rPr>
              <w:t>产生的</w:t>
            </w:r>
            <w:r>
              <w:rPr>
                <w:rFonts w:hint="eastAsia"/>
                <w:bCs/>
                <w:color w:val="auto"/>
                <w:lang w:eastAsia="zh-CN"/>
              </w:rPr>
              <w:t>废气</w:t>
            </w:r>
            <w:r>
              <w:rPr>
                <w:rFonts w:hint="eastAsia"/>
                <w:bCs/>
                <w:color w:val="auto"/>
              </w:rPr>
              <w:t>经生物滤塔处理后</w:t>
            </w:r>
            <w:r>
              <w:rPr>
                <w:rFonts w:hint="eastAsia"/>
                <w:bCs/>
                <w:color w:val="auto"/>
                <w:lang w:eastAsia="zh-CN"/>
              </w:rPr>
              <w:t>通过</w:t>
            </w:r>
            <w:r>
              <w:rPr>
                <w:rFonts w:hint="eastAsia"/>
                <w:bCs/>
                <w:color w:val="auto"/>
                <w:lang w:val="en-US" w:eastAsia="zh-CN"/>
              </w:rPr>
              <w:t>DA001、DA002</w:t>
            </w:r>
            <w:r>
              <w:rPr>
                <w:rFonts w:hint="eastAsia"/>
                <w:bCs/>
                <w:color w:val="auto"/>
              </w:rPr>
              <w:t>排放</w:t>
            </w:r>
            <w:r>
              <w:rPr>
                <w:rFonts w:hint="eastAsia" w:ascii="Times New Roman" w:hAnsi="Times New Roman"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eastAsia="宋体"/>
                <w:color w:val="0000FF"/>
                <w:sz w:val="24"/>
                <w:szCs w:val="24"/>
                <w:lang w:val="en-US" w:eastAsia="zh-CN"/>
              </w:rPr>
            </w:pPr>
            <w:r>
              <w:rPr>
                <w:rFonts w:hint="eastAsia"/>
                <w:color w:val="0000FF"/>
                <w:sz w:val="24"/>
                <w:szCs w:val="24"/>
                <w:lang w:eastAsia="zh-CN"/>
              </w:rPr>
              <w:t>山东海奥斯生物科技股份有限公司于</w:t>
            </w:r>
            <w:r>
              <w:rPr>
                <w:rFonts w:hint="eastAsia"/>
                <w:color w:val="0000FF"/>
                <w:sz w:val="24"/>
                <w:szCs w:val="24"/>
                <w:lang w:val="en-US" w:eastAsia="zh-CN"/>
              </w:rPr>
              <w:t>2022年8月2日至3日进行验收检测，检测结果如下</w:t>
            </w:r>
            <w:r>
              <w:rPr>
                <w:rFonts w:hint="eastAsia"/>
                <w:lang w:eastAsia="zh-CN"/>
              </w:rPr>
              <w:t>：</w:t>
            </w:r>
          </w:p>
          <w:p>
            <w:pPr>
              <w:pStyle w:val="2"/>
              <w:ind w:left="0" w:leftChars="0" w:firstLine="480" w:firstLineChars="0"/>
              <w:rPr>
                <w:rFonts w:hint="eastAsia"/>
                <w:color w:val="0000FF"/>
                <w:sz w:val="24"/>
                <w:szCs w:val="24"/>
                <w:lang w:val="en-US" w:eastAsia="zh-CN"/>
              </w:rPr>
            </w:pPr>
            <w:r>
              <w:rPr>
                <w:rFonts w:hint="eastAsia"/>
                <w:color w:val="0000FF"/>
                <w:sz w:val="24"/>
                <w:szCs w:val="24"/>
                <w:lang w:val="en-US" w:eastAsia="zh-CN"/>
              </w:rPr>
              <w:t>1.2.1有组织废气：</w:t>
            </w:r>
          </w:p>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eastAsia" w:ascii="黑体" w:hAnsi="黑体" w:eastAsia="黑体" w:cs="黑体"/>
                <w:b/>
                <w:bCs/>
                <w:color w:val="0000FF"/>
                <w:sz w:val="24"/>
                <w:szCs w:val="24"/>
                <w:lang w:val="en-US" w:eastAsia="zh-CN"/>
              </w:rPr>
            </w:pPr>
            <w:r>
              <w:rPr>
                <w:rFonts w:hint="eastAsia" w:ascii="黑体" w:hAnsi="黑体" w:eastAsia="黑体" w:cs="黑体"/>
                <w:b/>
                <w:bCs/>
                <w:color w:val="0000FF"/>
                <w:sz w:val="24"/>
                <w:szCs w:val="24"/>
                <w:lang w:val="en-US" w:eastAsia="zh-CN"/>
              </w:rPr>
              <w:t>表28 海奥斯厂区有组织废气检测结果</w:t>
            </w:r>
          </w:p>
          <w:tbl>
            <w:tblPr>
              <w:tblStyle w:val="20"/>
              <w:tblW w:w="833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93"/>
              <w:gridCol w:w="787"/>
              <w:gridCol w:w="1025"/>
              <w:gridCol w:w="1166"/>
              <w:gridCol w:w="1166"/>
              <w:gridCol w:w="1166"/>
              <w:gridCol w:w="1166"/>
              <w:gridCol w:w="11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rPr>
                <w:trHeight w:val="0" w:hRule="atLeast"/>
                <w:jc w:val="center"/>
              </w:trPr>
              <w:tc>
                <w:tcPr>
                  <w:tcW w:w="693" w:type="dxa"/>
                  <w:vMerge w:val="restar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color w:val="0000FF"/>
                      <w:sz w:val="21"/>
                      <w:szCs w:val="21"/>
                      <w:lang w:val="en-US" w:eastAsia="zh-CN"/>
                    </w:rPr>
                    <w:t>采样点位</w:t>
                  </w:r>
                </w:p>
              </w:tc>
              <w:tc>
                <w:tcPr>
                  <w:tcW w:w="1812" w:type="dxa"/>
                  <w:gridSpan w:val="2"/>
                  <w:vMerge w:val="restar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color w:val="0000FF"/>
                      <w:sz w:val="21"/>
                      <w:szCs w:val="21"/>
                      <w:lang w:val="en-US" w:eastAsia="zh-CN"/>
                    </w:rPr>
                    <w:t>采样时间</w:t>
                  </w:r>
                </w:p>
              </w:tc>
              <w:tc>
                <w:tcPr>
                  <w:tcW w:w="5830" w:type="dxa"/>
                  <w:gridSpan w:val="5"/>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rPr>
                  </w:pPr>
                  <w:r>
                    <w:rPr>
                      <w:rFonts w:hint="default"/>
                      <w:color w:val="0000FF"/>
                      <w:sz w:val="21"/>
                      <w:szCs w:val="21"/>
                      <w:lang w:val="en-US" w:eastAsia="zh-CN"/>
                    </w:rPr>
                    <w:t>检测参数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93"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rPr>
                  </w:pPr>
                </w:p>
              </w:tc>
              <w:tc>
                <w:tcPr>
                  <w:tcW w:w="1812" w:type="dxa"/>
                  <w:gridSpan w:val="2"/>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rPr>
                  </w:pP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color w:val="0000FF"/>
                      <w:sz w:val="21"/>
                      <w:szCs w:val="21"/>
                      <w:lang w:val="en-US" w:eastAsia="zh-CN"/>
                    </w:rPr>
                    <w:t>氨（mg/m</w:t>
                  </w:r>
                  <w:r>
                    <w:rPr>
                      <w:rFonts w:hint="default"/>
                      <w:color w:val="0000FF"/>
                      <w:sz w:val="21"/>
                      <w:szCs w:val="21"/>
                      <w:vertAlign w:val="superscript"/>
                      <w:lang w:val="en-US" w:eastAsia="zh-CN"/>
                    </w:rPr>
                    <w:t>3</w:t>
                  </w:r>
                  <w:r>
                    <w:rPr>
                      <w:rFonts w:hint="default"/>
                      <w:color w:val="0000FF"/>
                      <w:sz w:val="21"/>
                      <w:szCs w:val="21"/>
                      <w:lang w:val="en-US" w:eastAsia="zh-CN"/>
                    </w:rPr>
                    <w:t>）</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color w:val="0000FF"/>
                      <w:sz w:val="21"/>
                      <w:szCs w:val="21"/>
                      <w:lang w:val="en-US" w:eastAsia="zh-CN"/>
                    </w:rPr>
                    <w:t>硫化氢（mg/m</w:t>
                  </w:r>
                  <w:r>
                    <w:rPr>
                      <w:rFonts w:hint="default"/>
                      <w:color w:val="0000FF"/>
                      <w:sz w:val="21"/>
                      <w:szCs w:val="21"/>
                      <w:vertAlign w:val="superscript"/>
                      <w:lang w:val="en-US" w:eastAsia="zh-CN"/>
                    </w:rPr>
                    <w:t>3</w:t>
                  </w:r>
                  <w:r>
                    <w:rPr>
                      <w:rFonts w:hint="default"/>
                      <w:color w:val="0000FF"/>
                      <w:sz w:val="21"/>
                      <w:szCs w:val="21"/>
                      <w:lang w:val="en-US" w:eastAsia="zh-CN"/>
                    </w:rPr>
                    <w:t>）</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color w:val="0000FF"/>
                      <w:sz w:val="21"/>
                      <w:szCs w:val="21"/>
                      <w:lang w:val="en-US" w:eastAsia="zh-CN"/>
                    </w:rPr>
                    <w:t>臭气浓度</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eastAsia="宋体"/>
                      <w:color w:val="0000FF"/>
                      <w:sz w:val="21"/>
                      <w:szCs w:val="21"/>
                      <w:lang w:val="en-US" w:eastAsia="zh-CN"/>
                    </w:rPr>
                  </w:pPr>
                  <w:r>
                    <w:rPr>
                      <w:rFonts w:hint="eastAsia"/>
                      <w:color w:val="0000FF"/>
                      <w:sz w:val="21"/>
                      <w:szCs w:val="21"/>
                      <w:lang w:val="en-US" w:eastAsia="zh-CN"/>
                    </w:rPr>
                    <w:t>氮氧化物浓度（</w:t>
                  </w:r>
                  <w:r>
                    <w:rPr>
                      <w:rFonts w:hint="default"/>
                      <w:color w:val="0000FF"/>
                      <w:sz w:val="21"/>
                      <w:szCs w:val="21"/>
                      <w:lang w:val="en-US" w:eastAsia="zh-CN"/>
                    </w:rPr>
                    <w:t>mg/m</w:t>
                  </w:r>
                  <w:r>
                    <w:rPr>
                      <w:rFonts w:hint="default"/>
                      <w:color w:val="0000FF"/>
                      <w:sz w:val="21"/>
                      <w:szCs w:val="21"/>
                      <w:vertAlign w:val="superscript"/>
                      <w:lang w:val="en-US" w:eastAsia="zh-CN"/>
                    </w:rPr>
                    <w:t>3</w:t>
                  </w:r>
                  <w:r>
                    <w:rPr>
                      <w:rFonts w:hint="eastAsia"/>
                      <w:color w:val="0000FF"/>
                      <w:sz w:val="21"/>
                      <w:szCs w:val="21"/>
                      <w:lang w:val="en-US" w:eastAsia="zh-CN"/>
                    </w:rPr>
                    <w:t>）</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color w:val="0000FF"/>
                      <w:sz w:val="21"/>
                      <w:szCs w:val="21"/>
                      <w:lang w:val="en-US" w:eastAsia="zh-CN"/>
                    </w:rPr>
                  </w:pPr>
                  <w:r>
                    <w:rPr>
                      <w:rFonts w:hint="eastAsia"/>
                      <w:color w:val="0000FF"/>
                      <w:sz w:val="21"/>
                      <w:szCs w:val="21"/>
                      <w:lang w:val="en-US" w:eastAsia="zh-CN"/>
                    </w:rPr>
                    <w:t>颗粒物浓度（</w:t>
                  </w:r>
                  <w:r>
                    <w:rPr>
                      <w:rFonts w:hint="default"/>
                      <w:color w:val="0000FF"/>
                      <w:sz w:val="21"/>
                      <w:szCs w:val="21"/>
                      <w:lang w:val="en-US" w:eastAsia="zh-CN"/>
                    </w:rPr>
                    <w:t>mg/m</w:t>
                  </w:r>
                  <w:r>
                    <w:rPr>
                      <w:rFonts w:hint="default"/>
                      <w:color w:val="0000FF"/>
                      <w:sz w:val="21"/>
                      <w:szCs w:val="21"/>
                      <w:vertAlign w:val="superscript"/>
                      <w:lang w:val="en-US" w:eastAsia="zh-CN"/>
                    </w:rPr>
                    <w:t>3</w:t>
                  </w:r>
                  <w:r>
                    <w:rPr>
                      <w:rFonts w:hint="eastAsia"/>
                      <w:color w:val="0000FF"/>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93" w:type="dxa"/>
                  <w:vMerge w:val="restar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lang w:val="en-US"/>
                    </w:rPr>
                  </w:pPr>
                  <w:r>
                    <w:rPr>
                      <w:rFonts w:hint="eastAsia"/>
                      <w:color w:val="0000FF"/>
                      <w:sz w:val="21"/>
                      <w:szCs w:val="21"/>
                      <w:lang w:val="en-US" w:eastAsia="zh-CN"/>
                    </w:rPr>
                    <w:t>DA001</w:t>
                  </w:r>
                </w:p>
              </w:tc>
              <w:tc>
                <w:tcPr>
                  <w:tcW w:w="787" w:type="dxa"/>
                  <w:vMerge w:val="restar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lang w:val="en-US"/>
                    </w:rPr>
                  </w:pPr>
                  <w:r>
                    <w:rPr>
                      <w:rFonts w:hint="default"/>
                      <w:color w:val="0000FF"/>
                      <w:sz w:val="21"/>
                      <w:szCs w:val="21"/>
                      <w:lang w:val="en-US" w:eastAsia="zh-CN"/>
                    </w:rPr>
                    <w:t>2022.08.</w:t>
                  </w:r>
                  <w:r>
                    <w:rPr>
                      <w:rFonts w:hint="eastAsia"/>
                      <w:color w:val="0000FF"/>
                      <w:sz w:val="21"/>
                      <w:szCs w:val="21"/>
                      <w:lang w:val="en-US" w:eastAsia="zh-CN"/>
                    </w:rPr>
                    <w:t>03</w:t>
                  </w:r>
                </w:p>
              </w:tc>
              <w:tc>
                <w:tcPr>
                  <w:tcW w:w="10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color w:val="0000FF"/>
                      <w:sz w:val="21"/>
                      <w:szCs w:val="21"/>
                      <w:lang w:val="en-US" w:eastAsia="zh-CN"/>
                    </w:rPr>
                    <w:t>第一次</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ascii="Times New Roman" w:hAnsi="Times New Roman" w:eastAsia="宋体" w:cs="Times New Roman"/>
                      <w:color w:val="0000FF"/>
                      <w:sz w:val="21"/>
                      <w:szCs w:val="21"/>
                      <w:lang w:val="en-US" w:eastAsia="zh-CN"/>
                    </w:rPr>
                    <w:t>1.82</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ascii="Times New Roman" w:hAnsi="Times New Roman" w:eastAsia="宋体" w:cs="Times New Roman"/>
                      <w:color w:val="0000FF"/>
                      <w:kern w:val="2"/>
                      <w:sz w:val="21"/>
                      <w:szCs w:val="21"/>
                      <w:lang w:val="en-US" w:eastAsia="zh-CN" w:bidi="ar-SA"/>
                    </w:rPr>
                    <w:t>0.10</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ascii="Times New Roman" w:hAnsi="Times New Roman" w:eastAsia="宋体" w:cs="Times New Roman"/>
                      <w:color w:val="0000FF"/>
                      <w:kern w:val="2"/>
                      <w:sz w:val="21"/>
                      <w:szCs w:val="21"/>
                      <w:lang w:val="en-US" w:eastAsia="zh-CN" w:bidi="ar-SA"/>
                    </w:rPr>
                    <w:t>741</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eastAsia"/>
                      <w:color w:val="0000FF"/>
                      <w:sz w:val="21"/>
                      <w:szCs w:val="21"/>
                      <w:lang w:val="en-US" w:eastAsia="zh-CN"/>
                    </w:rPr>
                    <w:t>/</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93"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rPr>
                  </w:pPr>
                </w:p>
              </w:tc>
              <w:tc>
                <w:tcPr>
                  <w:tcW w:w="787"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rPr>
                  </w:pPr>
                </w:p>
              </w:tc>
              <w:tc>
                <w:tcPr>
                  <w:tcW w:w="102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color w:val="0000FF"/>
                      <w:sz w:val="21"/>
                      <w:szCs w:val="21"/>
                      <w:lang w:val="en-US" w:eastAsia="zh-CN"/>
                    </w:rPr>
                    <w:t>第二次</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ascii="Times New Roman" w:hAnsi="Times New Roman" w:eastAsia="宋体" w:cs="Times New Roman"/>
                      <w:color w:val="0000FF"/>
                      <w:sz w:val="21"/>
                      <w:szCs w:val="21"/>
                      <w:lang w:val="en-US" w:eastAsia="zh-CN"/>
                    </w:rPr>
                    <w:t>1.86</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ascii="Times New Roman" w:hAnsi="Times New Roman" w:eastAsia="宋体" w:cs="Times New Roman"/>
                      <w:color w:val="0000FF"/>
                      <w:kern w:val="2"/>
                      <w:sz w:val="21"/>
                      <w:szCs w:val="21"/>
                      <w:lang w:val="en-US" w:eastAsia="zh-CN" w:bidi="ar-SA"/>
                    </w:rPr>
                    <w:t>0.11</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ascii="Times New Roman" w:hAnsi="Times New Roman" w:eastAsia="宋体" w:cs="Times New Roman"/>
                      <w:color w:val="0000FF"/>
                      <w:kern w:val="2"/>
                      <w:sz w:val="21"/>
                      <w:szCs w:val="21"/>
                      <w:lang w:val="en-US" w:eastAsia="zh-CN" w:bidi="ar-SA"/>
                    </w:rPr>
                    <w:t>519</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eastAsia"/>
                      <w:color w:val="0000FF"/>
                      <w:sz w:val="21"/>
                      <w:szCs w:val="21"/>
                      <w:lang w:val="en-US" w:eastAsia="zh-CN"/>
                    </w:rPr>
                    <w:t>/</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93"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rPr>
                  </w:pPr>
                </w:p>
              </w:tc>
              <w:tc>
                <w:tcPr>
                  <w:tcW w:w="787"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rPr>
                  </w:pPr>
                </w:p>
              </w:tc>
              <w:tc>
                <w:tcPr>
                  <w:tcW w:w="102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color w:val="0000FF"/>
                      <w:sz w:val="21"/>
                      <w:szCs w:val="21"/>
                      <w:lang w:val="en-US" w:eastAsia="zh-CN"/>
                    </w:rPr>
                    <w:t>第三次</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ascii="Times New Roman" w:hAnsi="Times New Roman" w:eastAsia="宋体" w:cs="Times New Roman"/>
                      <w:color w:val="0000FF"/>
                      <w:sz w:val="21"/>
                      <w:szCs w:val="21"/>
                      <w:lang w:val="en-US" w:eastAsia="zh-CN"/>
                    </w:rPr>
                    <w:t>1.80</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ascii="Times New Roman" w:hAnsi="Times New Roman" w:eastAsia="宋体" w:cs="Times New Roman"/>
                      <w:color w:val="0000FF"/>
                      <w:kern w:val="2"/>
                      <w:sz w:val="21"/>
                      <w:szCs w:val="21"/>
                      <w:lang w:val="en-US" w:eastAsia="zh-CN" w:bidi="ar-SA"/>
                    </w:rPr>
                    <w:t>0.15</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ascii="Times New Roman" w:hAnsi="Times New Roman" w:eastAsia="宋体" w:cs="Times New Roman"/>
                      <w:color w:val="0000FF"/>
                      <w:kern w:val="2"/>
                      <w:sz w:val="21"/>
                      <w:szCs w:val="21"/>
                      <w:lang w:val="en-US" w:eastAsia="zh-CN" w:bidi="ar-SA"/>
                    </w:rPr>
                    <w:t>519</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lang w:val="en-US"/>
                    </w:rPr>
                  </w:pPr>
                  <w:r>
                    <w:rPr>
                      <w:rFonts w:hint="eastAsia"/>
                      <w:color w:val="0000FF"/>
                      <w:sz w:val="21"/>
                      <w:szCs w:val="21"/>
                      <w:lang w:val="en-US" w:eastAsia="zh-CN"/>
                    </w:rPr>
                    <w:t>/</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rPr>
                <w:trHeight w:val="0" w:hRule="atLeast"/>
                <w:jc w:val="center"/>
              </w:trPr>
              <w:tc>
                <w:tcPr>
                  <w:tcW w:w="693" w:type="dxa"/>
                  <w:vMerge w:val="continue"/>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p>
              </w:tc>
              <w:tc>
                <w:tcPr>
                  <w:tcW w:w="787" w:type="dxa"/>
                  <w:vMerge w:val="restar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lang w:val="en-US"/>
                    </w:rPr>
                  </w:pPr>
                  <w:r>
                    <w:rPr>
                      <w:rFonts w:hint="default"/>
                      <w:color w:val="0000FF"/>
                      <w:sz w:val="21"/>
                      <w:szCs w:val="21"/>
                      <w:lang w:val="en-US" w:eastAsia="zh-CN"/>
                    </w:rPr>
                    <w:t>2022.08.</w:t>
                  </w:r>
                  <w:r>
                    <w:rPr>
                      <w:rFonts w:hint="eastAsia"/>
                      <w:color w:val="0000FF"/>
                      <w:sz w:val="21"/>
                      <w:szCs w:val="21"/>
                      <w:lang w:val="en-US" w:eastAsia="zh-CN"/>
                    </w:rPr>
                    <w:t>04</w:t>
                  </w:r>
                </w:p>
              </w:tc>
              <w:tc>
                <w:tcPr>
                  <w:tcW w:w="10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color w:val="0000FF"/>
                      <w:sz w:val="21"/>
                      <w:szCs w:val="21"/>
                      <w:lang w:val="en-US" w:eastAsia="zh-CN"/>
                    </w:rPr>
                    <w:t>第一次</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ascii="Times New Roman" w:hAnsi="Times New Roman" w:eastAsia="宋体" w:cs="Times New Roman"/>
                      <w:color w:val="0000FF"/>
                      <w:sz w:val="21"/>
                      <w:szCs w:val="21"/>
                      <w:lang w:val="en-US" w:eastAsia="zh-CN"/>
                    </w:rPr>
                    <w:t>1.60</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ascii="Times New Roman" w:hAnsi="Times New Roman" w:eastAsia="宋体" w:cs="Times New Roman"/>
                      <w:color w:val="0000FF"/>
                      <w:kern w:val="2"/>
                      <w:sz w:val="21"/>
                      <w:szCs w:val="21"/>
                      <w:lang w:val="en-US" w:eastAsia="zh-CN" w:bidi="ar-SA"/>
                    </w:rPr>
                    <w:t>0.15</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ascii="Times New Roman" w:hAnsi="Times New Roman" w:eastAsia="宋体" w:cs="Times New Roman"/>
                      <w:color w:val="0000FF"/>
                      <w:kern w:val="2"/>
                      <w:sz w:val="21"/>
                      <w:szCs w:val="21"/>
                      <w:lang w:val="en-US" w:eastAsia="zh-CN" w:bidi="ar-SA"/>
                    </w:rPr>
                    <w:t>549</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93"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rPr>
                  </w:pPr>
                </w:p>
              </w:tc>
              <w:tc>
                <w:tcPr>
                  <w:tcW w:w="787"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rPr>
                  </w:pPr>
                </w:p>
              </w:tc>
              <w:tc>
                <w:tcPr>
                  <w:tcW w:w="102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color w:val="0000FF"/>
                      <w:sz w:val="21"/>
                      <w:szCs w:val="21"/>
                      <w:lang w:val="en-US" w:eastAsia="zh-CN"/>
                    </w:rPr>
                    <w:t>第二次</w:t>
                  </w:r>
                </w:p>
              </w:tc>
              <w:tc>
                <w:tcPr>
                  <w:tcW w:w="1166"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tLeast"/>
                    <w:jc w:val="center"/>
                    <w:textAlignment w:val="auto"/>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color w:val="0000FF"/>
                      <w:sz w:val="21"/>
                      <w:szCs w:val="21"/>
                      <w:lang w:val="en-US" w:eastAsia="zh-CN"/>
                    </w:rPr>
                    <w:t>1.64</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ascii="Times New Roman" w:hAnsi="Times New Roman" w:eastAsia="宋体" w:cs="Times New Roman"/>
                      <w:color w:val="0000FF"/>
                      <w:kern w:val="2"/>
                      <w:sz w:val="21"/>
                      <w:szCs w:val="21"/>
                      <w:lang w:val="en-US" w:eastAsia="zh-CN" w:bidi="ar-SA"/>
                    </w:rPr>
                    <w:t>0.16</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ascii="Times New Roman" w:hAnsi="Times New Roman" w:eastAsia="宋体" w:cs="Times New Roman"/>
                      <w:color w:val="0000FF"/>
                      <w:kern w:val="2"/>
                      <w:sz w:val="21"/>
                      <w:szCs w:val="21"/>
                      <w:lang w:val="en-US" w:eastAsia="zh-CN" w:bidi="ar-SA"/>
                    </w:rPr>
                    <w:t>416</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93"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rPr>
                  </w:pPr>
                </w:p>
              </w:tc>
              <w:tc>
                <w:tcPr>
                  <w:tcW w:w="787"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rPr>
                  </w:pPr>
                </w:p>
              </w:tc>
              <w:tc>
                <w:tcPr>
                  <w:tcW w:w="102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color w:val="0000FF"/>
                      <w:sz w:val="21"/>
                      <w:szCs w:val="21"/>
                      <w:lang w:val="en-US" w:eastAsia="zh-CN"/>
                    </w:rPr>
                    <w:t>第三次</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ascii="Times New Roman" w:hAnsi="Times New Roman" w:eastAsia="宋体" w:cs="Times New Roman"/>
                      <w:color w:val="0000FF"/>
                      <w:sz w:val="21"/>
                      <w:szCs w:val="21"/>
                      <w:lang w:val="en-US" w:eastAsia="zh-CN"/>
                    </w:rPr>
                    <w:t>1.58</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lang w:val="en-US"/>
                    </w:rPr>
                  </w:pPr>
                  <w:r>
                    <w:rPr>
                      <w:rFonts w:hint="default" w:ascii="Times New Roman" w:hAnsi="Times New Roman" w:eastAsia="宋体" w:cs="Times New Roman"/>
                      <w:color w:val="0000FF"/>
                      <w:kern w:val="2"/>
                      <w:sz w:val="21"/>
                      <w:szCs w:val="21"/>
                      <w:lang w:val="en-US" w:eastAsia="zh-CN" w:bidi="ar-SA"/>
                    </w:rPr>
                    <w:t>0.1</w:t>
                  </w:r>
                  <w:r>
                    <w:rPr>
                      <w:rFonts w:hint="eastAsia" w:cs="Times New Roman"/>
                      <w:color w:val="0000FF"/>
                      <w:kern w:val="2"/>
                      <w:sz w:val="21"/>
                      <w:szCs w:val="21"/>
                      <w:lang w:val="en-US" w:eastAsia="zh-CN" w:bidi="ar-SA"/>
                    </w:rPr>
                    <w:t>4</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ascii="Times New Roman" w:hAnsi="Times New Roman" w:eastAsia="宋体" w:cs="Times New Roman"/>
                      <w:color w:val="0000FF"/>
                      <w:kern w:val="2"/>
                      <w:sz w:val="21"/>
                      <w:szCs w:val="21"/>
                      <w:lang w:val="en-US" w:eastAsia="zh-CN" w:bidi="ar-SA"/>
                    </w:rPr>
                    <w:t>741</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rPr>
                <w:trHeight w:val="0" w:hRule="atLeast"/>
                <w:jc w:val="center"/>
              </w:trPr>
              <w:tc>
                <w:tcPr>
                  <w:tcW w:w="693" w:type="dxa"/>
                  <w:vMerge w:val="restar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lang w:val="en-US"/>
                    </w:rPr>
                  </w:pPr>
                  <w:r>
                    <w:rPr>
                      <w:rFonts w:hint="eastAsia"/>
                      <w:color w:val="0000FF"/>
                      <w:sz w:val="21"/>
                      <w:szCs w:val="21"/>
                      <w:lang w:val="en-US" w:eastAsia="zh-CN"/>
                    </w:rPr>
                    <w:t>DA002</w:t>
                  </w:r>
                </w:p>
              </w:tc>
              <w:tc>
                <w:tcPr>
                  <w:tcW w:w="787" w:type="dxa"/>
                  <w:vMerge w:val="restar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color w:val="0000FF"/>
                      <w:sz w:val="21"/>
                      <w:szCs w:val="21"/>
                      <w:lang w:val="en-US" w:eastAsia="zh-CN"/>
                    </w:rPr>
                    <w:t>2022.08.</w:t>
                  </w:r>
                  <w:r>
                    <w:rPr>
                      <w:rFonts w:hint="eastAsia"/>
                      <w:color w:val="0000FF"/>
                      <w:sz w:val="21"/>
                      <w:szCs w:val="21"/>
                      <w:lang w:val="en-US" w:eastAsia="zh-CN"/>
                    </w:rPr>
                    <w:t>03</w:t>
                  </w:r>
                </w:p>
              </w:tc>
              <w:tc>
                <w:tcPr>
                  <w:tcW w:w="10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color w:val="0000FF"/>
                      <w:sz w:val="21"/>
                      <w:szCs w:val="21"/>
                      <w:lang w:val="en-US" w:eastAsia="zh-CN"/>
                    </w:rPr>
                    <w:t>第一次</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ascii="Times New Roman" w:hAnsi="Times New Roman" w:eastAsia="宋体" w:cs="Times New Roman"/>
                      <w:color w:val="0000FF"/>
                      <w:sz w:val="21"/>
                      <w:szCs w:val="21"/>
                      <w:lang w:val="en-US" w:eastAsia="zh-CN"/>
                    </w:rPr>
                    <w:t>1.73</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ascii="Times New Roman" w:hAnsi="Times New Roman" w:eastAsia="宋体" w:cs="Times New Roman"/>
                      <w:color w:val="0000FF"/>
                      <w:kern w:val="2"/>
                      <w:sz w:val="21"/>
                      <w:szCs w:val="21"/>
                      <w:lang w:val="en-US" w:eastAsia="zh-CN" w:bidi="ar-SA"/>
                    </w:rPr>
                    <w:t>0.17</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ascii="Times New Roman" w:hAnsi="Times New Roman" w:eastAsia="宋体" w:cs="Times New Roman"/>
                      <w:color w:val="0000FF"/>
                      <w:kern w:val="2"/>
                      <w:sz w:val="21"/>
                      <w:szCs w:val="21"/>
                      <w:lang w:val="en-US" w:eastAsia="zh-CN" w:bidi="ar-SA"/>
                    </w:rPr>
                    <w:t>416</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93"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rPr>
                  </w:pPr>
                </w:p>
              </w:tc>
              <w:tc>
                <w:tcPr>
                  <w:tcW w:w="787"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rPr>
                  </w:pPr>
                </w:p>
              </w:tc>
              <w:tc>
                <w:tcPr>
                  <w:tcW w:w="102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color w:val="0000FF"/>
                      <w:sz w:val="21"/>
                      <w:szCs w:val="21"/>
                      <w:lang w:val="en-US" w:eastAsia="zh-CN"/>
                    </w:rPr>
                    <w:t>第二次</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ascii="Times New Roman" w:hAnsi="Times New Roman" w:eastAsia="宋体" w:cs="Times New Roman"/>
                      <w:color w:val="0000FF"/>
                      <w:sz w:val="21"/>
                      <w:szCs w:val="21"/>
                      <w:lang w:val="en-US" w:eastAsia="zh-CN"/>
                    </w:rPr>
                    <w:t>1.77</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ascii="Times New Roman" w:hAnsi="Times New Roman" w:eastAsia="宋体" w:cs="Times New Roman"/>
                      <w:color w:val="0000FF"/>
                      <w:kern w:val="2"/>
                      <w:sz w:val="21"/>
                      <w:szCs w:val="21"/>
                      <w:lang w:val="en-US" w:eastAsia="zh-CN" w:bidi="ar-SA"/>
                    </w:rPr>
                    <w:t>0.19</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ascii="Times New Roman" w:hAnsi="Times New Roman" w:eastAsia="宋体" w:cs="Times New Roman"/>
                      <w:color w:val="0000FF"/>
                      <w:kern w:val="2"/>
                      <w:sz w:val="21"/>
                      <w:szCs w:val="21"/>
                      <w:lang w:val="en-US" w:eastAsia="zh-CN" w:bidi="ar-SA"/>
                    </w:rPr>
                    <w:t>519</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93"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rPr>
                  </w:pPr>
                </w:p>
              </w:tc>
              <w:tc>
                <w:tcPr>
                  <w:tcW w:w="787"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rPr>
                  </w:pPr>
                </w:p>
              </w:tc>
              <w:tc>
                <w:tcPr>
                  <w:tcW w:w="102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color w:val="0000FF"/>
                      <w:sz w:val="21"/>
                      <w:szCs w:val="21"/>
                      <w:lang w:val="en-US" w:eastAsia="zh-CN"/>
                    </w:rPr>
                    <w:t>第三次</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ascii="Times New Roman" w:hAnsi="Times New Roman" w:eastAsia="宋体" w:cs="Times New Roman"/>
                      <w:color w:val="0000FF"/>
                      <w:sz w:val="21"/>
                      <w:szCs w:val="21"/>
                      <w:lang w:val="en-US" w:eastAsia="zh-CN"/>
                    </w:rPr>
                    <w:t>1.69</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ascii="Times New Roman" w:hAnsi="Times New Roman" w:eastAsia="宋体" w:cs="Times New Roman"/>
                      <w:color w:val="0000FF"/>
                      <w:kern w:val="2"/>
                      <w:sz w:val="21"/>
                      <w:szCs w:val="21"/>
                      <w:lang w:val="en-US" w:eastAsia="zh-CN" w:bidi="ar-SA"/>
                    </w:rPr>
                    <w:t>0.14</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ascii="Times New Roman" w:hAnsi="Times New Roman" w:eastAsia="宋体" w:cs="Times New Roman"/>
                      <w:color w:val="0000FF"/>
                      <w:kern w:val="2"/>
                      <w:sz w:val="21"/>
                      <w:szCs w:val="21"/>
                      <w:lang w:val="en-US" w:eastAsia="zh-CN" w:bidi="ar-SA"/>
                    </w:rPr>
                    <w:t>416</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rPr>
                <w:trHeight w:val="0" w:hRule="atLeast"/>
                <w:jc w:val="center"/>
              </w:trPr>
              <w:tc>
                <w:tcPr>
                  <w:tcW w:w="693" w:type="dxa"/>
                  <w:vMerge w:val="continue"/>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p>
              </w:tc>
              <w:tc>
                <w:tcPr>
                  <w:tcW w:w="787" w:type="dxa"/>
                  <w:vMerge w:val="restar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ascii="Times New Roman" w:hAnsi="Times New Roman" w:eastAsia="宋体" w:cs="Times New Roman"/>
                      <w:color w:val="0000FF"/>
                      <w:kern w:val="2"/>
                      <w:sz w:val="21"/>
                      <w:szCs w:val="21"/>
                      <w:lang w:val="en-US" w:eastAsia="zh-CN" w:bidi="ar-SA"/>
                    </w:rPr>
                  </w:pPr>
                  <w:r>
                    <w:rPr>
                      <w:rFonts w:hint="default"/>
                      <w:color w:val="0000FF"/>
                      <w:sz w:val="21"/>
                      <w:szCs w:val="21"/>
                      <w:lang w:val="en-US" w:eastAsia="zh-CN"/>
                    </w:rPr>
                    <w:t>2022.08.</w:t>
                  </w:r>
                  <w:r>
                    <w:rPr>
                      <w:rFonts w:hint="eastAsia"/>
                      <w:color w:val="0000FF"/>
                      <w:sz w:val="21"/>
                      <w:szCs w:val="21"/>
                      <w:lang w:val="en-US" w:eastAsia="zh-CN"/>
                    </w:rPr>
                    <w:t>04</w:t>
                  </w:r>
                </w:p>
              </w:tc>
              <w:tc>
                <w:tcPr>
                  <w:tcW w:w="1025"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color w:val="0000FF"/>
                      <w:sz w:val="21"/>
                      <w:szCs w:val="21"/>
                      <w:lang w:val="en-US" w:eastAsia="zh-CN"/>
                    </w:rPr>
                    <w:t>第一次</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ascii="Times New Roman" w:hAnsi="Times New Roman" w:eastAsia="宋体" w:cs="Times New Roman"/>
                      <w:color w:val="0000FF"/>
                      <w:sz w:val="21"/>
                      <w:szCs w:val="21"/>
                      <w:lang w:val="en-US" w:eastAsia="zh-CN"/>
                    </w:rPr>
                    <w:t>1.93</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ascii="Times New Roman" w:hAnsi="Times New Roman" w:eastAsia="宋体" w:cs="Times New Roman"/>
                      <w:color w:val="0000FF"/>
                      <w:kern w:val="2"/>
                      <w:sz w:val="21"/>
                      <w:szCs w:val="21"/>
                      <w:lang w:val="en-US" w:eastAsia="zh-CN" w:bidi="ar-SA"/>
                    </w:rPr>
                    <w:t>0.18</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ascii="Times New Roman" w:hAnsi="Times New Roman" w:eastAsia="宋体" w:cs="Times New Roman"/>
                      <w:color w:val="0000FF"/>
                      <w:kern w:val="2"/>
                      <w:sz w:val="21"/>
                      <w:szCs w:val="21"/>
                      <w:lang w:val="en-US" w:eastAsia="zh-CN" w:bidi="ar-SA"/>
                    </w:rPr>
                    <w:t>549</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93"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rPr>
                  </w:pPr>
                </w:p>
              </w:tc>
              <w:tc>
                <w:tcPr>
                  <w:tcW w:w="787"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rPr>
                  </w:pPr>
                </w:p>
              </w:tc>
              <w:tc>
                <w:tcPr>
                  <w:tcW w:w="102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color w:val="0000FF"/>
                      <w:sz w:val="21"/>
                      <w:szCs w:val="21"/>
                      <w:lang w:val="en-US" w:eastAsia="zh-CN"/>
                    </w:rPr>
                    <w:t>第二次</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ascii="Times New Roman" w:hAnsi="Times New Roman" w:eastAsia="宋体" w:cs="Times New Roman"/>
                      <w:color w:val="0000FF"/>
                      <w:sz w:val="21"/>
                      <w:szCs w:val="21"/>
                      <w:lang w:val="en-US" w:eastAsia="zh-CN"/>
                    </w:rPr>
                    <w:t>1.97</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ascii="Times New Roman" w:hAnsi="Times New Roman" w:eastAsia="宋体" w:cs="Times New Roman"/>
                      <w:color w:val="0000FF"/>
                      <w:kern w:val="2"/>
                      <w:sz w:val="21"/>
                      <w:szCs w:val="21"/>
                      <w:lang w:val="en-US" w:eastAsia="zh-CN" w:bidi="ar-SA"/>
                    </w:rPr>
                    <w:t>0.13</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ascii="Times New Roman" w:hAnsi="Times New Roman" w:eastAsia="宋体" w:cs="Times New Roman"/>
                      <w:color w:val="0000FF"/>
                      <w:kern w:val="2"/>
                      <w:sz w:val="21"/>
                      <w:szCs w:val="21"/>
                      <w:lang w:val="en-US" w:eastAsia="zh-CN" w:bidi="ar-SA"/>
                    </w:rPr>
                    <w:t>741</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93"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rPr>
                  </w:pPr>
                </w:p>
              </w:tc>
              <w:tc>
                <w:tcPr>
                  <w:tcW w:w="787"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rPr>
                  </w:pPr>
                </w:p>
              </w:tc>
              <w:tc>
                <w:tcPr>
                  <w:tcW w:w="102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color w:val="0000FF"/>
                      <w:sz w:val="21"/>
                      <w:szCs w:val="21"/>
                      <w:lang w:val="en-US" w:eastAsia="zh-CN"/>
                    </w:rPr>
                    <w:t>第三次</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ascii="Times New Roman" w:hAnsi="Times New Roman" w:eastAsia="宋体" w:cs="Times New Roman"/>
                      <w:color w:val="0000FF"/>
                      <w:sz w:val="21"/>
                      <w:szCs w:val="21"/>
                      <w:lang w:val="en-US" w:eastAsia="zh-CN"/>
                    </w:rPr>
                    <w:t>1.89</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ascii="Times New Roman" w:hAnsi="Times New Roman" w:eastAsia="宋体" w:cs="Times New Roman"/>
                      <w:color w:val="0000FF"/>
                      <w:kern w:val="2"/>
                      <w:sz w:val="21"/>
                      <w:szCs w:val="21"/>
                      <w:lang w:val="en-US" w:eastAsia="zh-CN" w:bidi="ar-SA"/>
                    </w:rPr>
                    <w:t>0.16</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ascii="Times New Roman" w:hAnsi="Times New Roman" w:eastAsia="宋体" w:cs="Times New Roman"/>
                      <w:color w:val="0000FF"/>
                      <w:kern w:val="2"/>
                      <w:sz w:val="21"/>
                      <w:szCs w:val="21"/>
                      <w:lang w:val="en-US" w:eastAsia="zh-CN" w:bidi="ar-SA"/>
                    </w:rPr>
                    <w:t>416</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rPr>
                <w:trHeight w:val="0" w:hRule="atLeast"/>
                <w:jc w:val="center"/>
              </w:trPr>
              <w:tc>
                <w:tcPr>
                  <w:tcW w:w="693" w:type="dxa"/>
                  <w:vMerge w:val="restar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lang w:val="en-US"/>
                    </w:rPr>
                  </w:pPr>
                  <w:r>
                    <w:rPr>
                      <w:rFonts w:hint="eastAsia"/>
                      <w:color w:val="0000FF"/>
                      <w:sz w:val="21"/>
                      <w:szCs w:val="21"/>
                      <w:lang w:val="en-US" w:eastAsia="zh-CN"/>
                    </w:rPr>
                    <w:t>DA003</w:t>
                  </w:r>
                </w:p>
              </w:tc>
              <w:tc>
                <w:tcPr>
                  <w:tcW w:w="787" w:type="dxa"/>
                  <w:vMerge w:val="restar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color w:val="0000FF"/>
                      <w:sz w:val="21"/>
                      <w:szCs w:val="21"/>
                      <w:lang w:val="en-US" w:eastAsia="zh-CN"/>
                    </w:rPr>
                    <w:t>2022.08.</w:t>
                  </w:r>
                  <w:r>
                    <w:rPr>
                      <w:rFonts w:hint="eastAsia"/>
                      <w:color w:val="0000FF"/>
                      <w:sz w:val="21"/>
                      <w:szCs w:val="21"/>
                      <w:lang w:val="en-US" w:eastAsia="zh-CN"/>
                    </w:rPr>
                    <w:t>03</w:t>
                  </w:r>
                </w:p>
              </w:tc>
              <w:tc>
                <w:tcPr>
                  <w:tcW w:w="102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color w:val="0000FF"/>
                      <w:sz w:val="21"/>
                      <w:szCs w:val="21"/>
                      <w:lang w:val="en-US" w:eastAsia="zh-CN"/>
                    </w:rPr>
                    <w:t>第一次</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color w:val="0000FF"/>
                      <w:sz w:val="21"/>
                      <w:szCs w:val="21"/>
                      <w:lang w:val="en-US" w:eastAsia="zh-CN"/>
                    </w:rPr>
                  </w:pPr>
                  <w:r>
                    <w:rPr>
                      <w:rFonts w:hint="default" w:ascii="Times New Roman" w:hAnsi="Times New Roman" w:eastAsia="宋体" w:cs="Times New Roman"/>
                      <w:color w:val="0000FF"/>
                      <w:sz w:val="21"/>
                      <w:szCs w:val="21"/>
                      <w:lang w:val="en-US" w:eastAsia="zh-CN"/>
                    </w:rPr>
                    <w:t>14</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color w:val="0000FF"/>
                      <w:sz w:val="21"/>
                      <w:szCs w:val="21"/>
                      <w:lang w:val="en-US" w:eastAsia="zh-CN"/>
                    </w:rPr>
                  </w:pPr>
                  <w:r>
                    <w:rPr>
                      <w:rFonts w:hint="eastAsia" w:ascii="Times New Roman" w:hAnsi="Times New Roman" w:eastAsia="宋体" w:cs="Times New Roman"/>
                      <w:color w:val="0000FF"/>
                      <w:sz w:val="21"/>
                      <w:szCs w:val="21"/>
                      <w:lang w:val="en-US" w:eastAsia="zh-CN"/>
                    </w:rPr>
                    <w:t>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93"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rPr>
                  </w:pPr>
                </w:p>
              </w:tc>
              <w:tc>
                <w:tcPr>
                  <w:tcW w:w="787"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rPr>
                  </w:pPr>
                </w:p>
              </w:tc>
              <w:tc>
                <w:tcPr>
                  <w:tcW w:w="102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color w:val="0000FF"/>
                      <w:sz w:val="21"/>
                      <w:szCs w:val="21"/>
                      <w:lang w:val="en-US" w:eastAsia="zh-CN"/>
                    </w:rPr>
                    <w:t>第二次</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color w:val="0000FF"/>
                      <w:sz w:val="21"/>
                      <w:szCs w:val="21"/>
                      <w:lang w:val="en-US" w:eastAsia="zh-CN"/>
                    </w:rPr>
                  </w:pPr>
                  <w:r>
                    <w:rPr>
                      <w:rFonts w:hint="default" w:ascii="Times New Roman" w:hAnsi="Times New Roman" w:eastAsia="宋体" w:cs="Times New Roman"/>
                      <w:color w:val="0000FF"/>
                      <w:sz w:val="21"/>
                      <w:szCs w:val="21"/>
                      <w:lang w:val="en-US" w:eastAsia="zh-CN"/>
                    </w:rPr>
                    <w:t>17</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color w:val="0000FF"/>
                      <w:sz w:val="21"/>
                      <w:szCs w:val="21"/>
                      <w:lang w:val="en-US" w:eastAsia="zh-CN"/>
                    </w:rPr>
                  </w:pPr>
                  <w:r>
                    <w:rPr>
                      <w:rFonts w:hint="eastAsia" w:ascii="Times New Roman" w:hAnsi="Times New Roman" w:eastAsia="宋体" w:cs="Times New Roman"/>
                      <w:color w:val="0000FF"/>
                      <w:sz w:val="21"/>
                      <w:szCs w:val="21"/>
                      <w:lang w:val="en-US" w:eastAsia="zh-CN"/>
                    </w:rPr>
                    <w:t>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93"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rPr>
                  </w:pPr>
                </w:p>
              </w:tc>
              <w:tc>
                <w:tcPr>
                  <w:tcW w:w="787"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rPr>
                  </w:pPr>
                </w:p>
              </w:tc>
              <w:tc>
                <w:tcPr>
                  <w:tcW w:w="102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color w:val="0000FF"/>
                      <w:sz w:val="21"/>
                      <w:szCs w:val="21"/>
                      <w:lang w:val="en-US" w:eastAsia="zh-CN"/>
                    </w:rPr>
                    <w:t>第三次</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color w:val="0000FF"/>
                      <w:sz w:val="21"/>
                      <w:szCs w:val="21"/>
                      <w:lang w:val="en-US" w:eastAsia="zh-CN"/>
                    </w:rPr>
                  </w:pPr>
                  <w:r>
                    <w:rPr>
                      <w:rFonts w:hint="default" w:ascii="Times New Roman" w:hAnsi="Times New Roman" w:eastAsia="宋体" w:cs="Times New Roman"/>
                      <w:color w:val="0000FF"/>
                      <w:sz w:val="21"/>
                      <w:szCs w:val="21"/>
                      <w:lang w:val="en-US" w:eastAsia="zh-CN"/>
                    </w:rPr>
                    <w:t>14</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color w:val="0000FF"/>
                      <w:sz w:val="21"/>
                      <w:szCs w:val="21"/>
                      <w:lang w:val="en-US" w:eastAsia="zh-CN"/>
                    </w:rPr>
                  </w:pPr>
                  <w:r>
                    <w:rPr>
                      <w:rFonts w:hint="eastAsia" w:ascii="Times New Roman" w:hAnsi="Times New Roman" w:eastAsia="宋体" w:cs="Times New Roman"/>
                      <w:color w:val="0000FF"/>
                      <w:sz w:val="21"/>
                      <w:szCs w:val="21"/>
                      <w:lang w:val="en-US" w:eastAsia="zh-CN"/>
                    </w:rPr>
                    <w:t>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rPr>
                <w:trHeight w:val="0" w:hRule="atLeast"/>
                <w:jc w:val="center"/>
              </w:trPr>
              <w:tc>
                <w:tcPr>
                  <w:tcW w:w="693"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rPr>
                  </w:pPr>
                </w:p>
              </w:tc>
              <w:tc>
                <w:tcPr>
                  <w:tcW w:w="787" w:type="dxa"/>
                  <w:vMerge w:val="restar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ascii="Times New Roman" w:hAnsi="Times New Roman" w:eastAsia="宋体" w:cs="Times New Roman"/>
                      <w:color w:val="0000FF"/>
                      <w:kern w:val="2"/>
                      <w:sz w:val="21"/>
                      <w:szCs w:val="21"/>
                      <w:lang w:val="en-US" w:eastAsia="zh-CN" w:bidi="ar-SA"/>
                    </w:rPr>
                  </w:pPr>
                  <w:r>
                    <w:rPr>
                      <w:rFonts w:hint="default"/>
                      <w:color w:val="0000FF"/>
                      <w:sz w:val="21"/>
                      <w:szCs w:val="21"/>
                      <w:lang w:val="en-US" w:eastAsia="zh-CN"/>
                    </w:rPr>
                    <w:t>2022.08.</w:t>
                  </w:r>
                  <w:r>
                    <w:rPr>
                      <w:rFonts w:hint="eastAsia"/>
                      <w:color w:val="0000FF"/>
                      <w:sz w:val="21"/>
                      <w:szCs w:val="21"/>
                      <w:lang w:val="en-US" w:eastAsia="zh-CN"/>
                    </w:rPr>
                    <w:t>04</w:t>
                  </w:r>
                </w:p>
              </w:tc>
              <w:tc>
                <w:tcPr>
                  <w:tcW w:w="102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color w:val="0000FF"/>
                      <w:sz w:val="21"/>
                      <w:szCs w:val="21"/>
                      <w:lang w:val="en-US" w:eastAsia="zh-CN"/>
                    </w:rPr>
                    <w:t>第一次</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color w:val="0000FF"/>
                      <w:sz w:val="21"/>
                      <w:szCs w:val="21"/>
                      <w:lang w:val="en-US" w:eastAsia="zh-CN"/>
                    </w:rPr>
                  </w:pPr>
                  <w:r>
                    <w:rPr>
                      <w:rFonts w:hint="default" w:ascii="Times New Roman" w:hAnsi="Times New Roman" w:eastAsia="宋体" w:cs="Times New Roman"/>
                      <w:color w:val="0000FF"/>
                      <w:sz w:val="21"/>
                      <w:szCs w:val="21"/>
                      <w:lang w:val="en-US" w:eastAsia="zh-CN"/>
                    </w:rPr>
                    <w:t>12</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color w:val="0000FF"/>
                      <w:sz w:val="21"/>
                      <w:szCs w:val="21"/>
                      <w:lang w:val="en-US" w:eastAsia="zh-CN"/>
                    </w:rPr>
                  </w:pPr>
                  <w:r>
                    <w:rPr>
                      <w:rFonts w:hint="eastAsia" w:ascii="Times New Roman" w:hAnsi="Times New Roman" w:eastAsia="宋体" w:cs="Times New Roman"/>
                      <w:color w:val="0000FF"/>
                      <w:sz w:val="21"/>
                      <w:szCs w:val="21"/>
                      <w:lang w:val="en-US" w:eastAsia="zh-CN"/>
                    </w:rPr>
                    <w:t>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93"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rPr>
                  </w:pPr>
                </w:p>
              </w:tc>
              <w:tc>
                <w:tcPr>
                  <w:tcW w:w="787"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rPr>
                  </w:pPr>
                </w:p>
              </w:tc>
              <w:tc>
                <w:tcPr>
                  <w:tcW w:w="102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color w:val="0000FF"/>
                      <w:sz w:val="21"/>
                      <w:szCs w:val="21"/>
                      <w:lang w:val="en-US" w:eastAsia="zh-CN"/>
                    </w:rPr>
                    <w:t>第二次</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color w:val="0000FF"/>
                      <w:sz w:val="21"/>
                      <w:szCs w:val="21"/>
                      <w:lang w:val="en-US" w:eastAsia="zh-CN"/>
                    </w:rPr>
                  </w:pPr>
                  <w:r>
                    <w:rPr>
                      <w:rFonts w:hint="default" w:ascii="Times New Roman" w:hAnsi="Times New Roman" w:eastAsia="宋体" w:cs="Times New Roman"/>
                      <w:color w:val="0000FF"/>
                      <w:sz w:val="21"/>
                      <w:szCs w:val="21"/>
                      <w:lang w:val="en-US" w:eastAsia="zh-CN"/>
                    </w:rPr>
                    <w:t>15</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color w:val="0000FF"/>
                      <w:sz w:val="21"/>
                      <w:szCs w:val="21"/>
                      <w:lang w:val="en-US" w:eastAsia="zh-CN"/>
                    </w:rPr>
                  </w:pPr>
                  <w:r>
                    <w:rPr>
                      <w:rFonts w:hint="eastAsia" w:ascii="Times New Roman" w:hAnsi="Times New Roman" w:eastAsia="宋体" w:cs="Times New Roman"/>
                      <w:color w:val="0000FF"/>
                      <w:sz w:val="21"/>
                      <w:szCs w:val="21"/>
                      <w:lang w:val="en-US" w:eastAsia="zh-CN"/>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93"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rPr>
                  </w:pPr>
                </w:p>
              </w:tc>
              <w:tc>
                <w:tcPr>
                  <w:tcW w:w="787"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rPr>
                  </w:pPr>
                </w:p>
              </w:tc>
              <w:tc>
                <w:tcPr>
                  <w:tcW w:w="102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color w:val="0000FF"/>
                      <w:sz w:val="21"/>
                      <w:szCs w:val="21"/>
                      <w:lang w:val="en-US" w:eastAsia="zh-CN"/>
                    </w:rPr>
                    <w:t>第三次</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color w:val="0000FF"/>
                      <w:sz w:val="21"/>
                      <w:szCs w:val="21"/>
                      <w:lang w:val="en-US" w:eastAsia="zh-CN"/>
                    </w:rPr>
                  </w:pPr>
                  <w:r>
                    <w:rPr>
                      <w:rFonts w:hint="default" w:ascii="Times New Roman" w:hAnsi="Times New Roman" w:eastAsia="宋体" w:cs="Times New Roman"/>
                      <w:color w:val="0000FF"/>
                      <w:sz w:val="21"/>
                      <w:szCs w:val="21"/>
                      <w:lang w:val="en-US" w:eastAsia="zh-CN"/>
                    </w:rPr>
                    <w:t>16</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color w:val="0000FF"/>
                      <w:sz w:val="21"/>
                      <w:szCs w:val="21"/>
                      <w:lang w:val="en-US" w:eastAsia="zh-CN"/>
                    </w:rPr>
                  </w:pPr>
                  <w:r>
                    <w:rPr>
                      <w:rFonts w:hint="eastAsia" w:ascii="Times New Roman" w:hAnsi="Times New Roman" w:eastAsia="宋体" w:cs="Times New Roman"/>
                      <w:color w:val="0000FF"/>
                      <w:sz w:val="21"/>
                      <w:szCs w:val="21"/>
                      <w:lang w:val="en-US" w:eastAsia="zh-CN"/>
                    </w:rPr>
                    <w:t>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rPr>
                <w:trHeight w:val="0" w:hRule="atLeast"/>
                <w:jc w:val="center"/>
              </w:trPr>
              <w:tc>
                <w:tcPr>
                  <w:tcW w:w="693" w:type="dxa"/>
                  <w:vMerge w:val="restart"/>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lang w:val="en-US"/>
                    </w:rPr>
                  </w:pPr>
                  <w:r>
                    <w:rPr>
                      <w:rFonts w:hint="eastAsia"/>
                      <w:color w:val="0000FF"/>
                      <w:sz w:val="21"/>
                      <w:szCs w:val="21"/>
                      <w:lang w:val="en-US" w:eastAsia="zh-CN"/>
                    </w:rPr>
                    <w:t>DA004</w:t>
                  </w:r>
                </w:p>
              </w:tc>
              <w:tc>
                <w:tcPr>
                  <w:tcW w:w="787" w:type="dxa"/>
                  <w:vMerge w:val="restar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color w:val="0000FF"/>
                      <w:sz w:val="21"/>
                      <w:szCs w:val="21"/>
                    </w:rPr>
                  </w:pPr>
                  <w:r>
                    <w:rPr>
                      <w:rFonts w:hint="default"/>
                      <w:color w:val="0000FF"/>
                      <w:sz w:val="21"/>
                      <w:szCs w:val="21"/>
                      <w:lang w:val="en-US" w:eastAsia="zh-CN"/>
                    </w:rPr>
                    <w:t>2022.08.</w:t>
                  </w:r>
                  <w:r>
                    <w:rPr>
                      <w:rFonts w:hint="eastAsia"/>
                      <w:color w:val="0000FF"/>
                      <w:sz w:val="21"/>
                      <w:szCs w:val="21"/>
                      <w:lang w:val="en-US" w:eastAsia="zh-CN"/>
                    </w:rPr>
                    <w:t>03</w:t>
                  </w:r>
                </w:p>
              </w:tc>
              <w:tc>
                <w:tcPr>
                  <w:tcW w:w="102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color w:val="0000FF"/>
                      <w:sz w:val="21"/>
                      <w:szCs w:val="21"/>
                      <w:lang w:val="en-US" w:eastAsia="zh-CN"/>
                    </w:rPr>
                    <w:t>第一次</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color w:val="0000FF"/>
                      <w:sz w:val="21"/>
                      <w:szCs w:val="21"/>
                      <w:lang w:val="en-US" w:eastAsia="zh-CN"/>
                    </w:rPr>
                  </w:pPr>
                  <w:r>
                    <w:rPr>
                      <w:rFonts w:hint="default" w:ascii="Times New Roman" w:hAnsi="Times New Roman" w:eastAsia="宋体" w:cs="Times New Roman"/>
                      <w:color w:val="0000FF"/>
                      <w:sz w:val="21"/>
                      <w:szCs w:val="21"/>
                      <w:lang w:val="en-US" w:eastAsia="zh-CN"/>
                    </w:rPr>
                    <w:t>13</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color w:val="0000FF"/>
                      <w:sz w:val="21"/>
                      <w:szCs w:val="21"/>
                      <w:lang w:val="en-US" w:eastAsia="zh-CN"/>
                    </w:rPr>
                  </w:pPr>
                  <w:r>
                    <w:rPr>
                      <w:rFonts w:hint="eastAsia" w:ascii="Times New Roman" w:hAnsi="Times New Roman" w:eastAsia="宋体" w:cs="Times New Roman"/>
                      <w:color w:val="0000FF"/>
                      <w:sz w:val="21"/>
                      <w:szCs w:val="21"/>
                      <w:lang w:val="en-US" w:eastAsia="zh-CN"/>
                    </w:rPr>
                    <w:t>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693"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rPr>
                  </w:pPr>
                </w:p>
              </w:tc>
              <w:tc>
                <w:tcPr>
                  <w:tcW w:w="787"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rPr>
                  </w:pPr>
                </w:p>
              </w:tc>
              <w:tc>
                <w:tcPr>
                  <w:tcW w:w="102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color w:val="0000FF"/>
                      <w:sz w:val="21"/>
                      <w:szCs w:val="21"/>
                      <w:lang w:val="en-US" w:eastAsia="zh-CN"/>
                    </w:rPr>
                    <w:t>第二次</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color w:val="0000FF"/>
                      <w:sz w:val="21"/>
                      <w:szCs w:val="21"/>
                      <w:lang w:val="en-US" w:eastAsia="zh-CN"/>
                    </w:rPr>
                  </w:pPr>
                  <w:r>
                    <w:rPr>
                      <w:rFonts w:hint="default" w:ascii="Times New Roman" w:hAnsi="Times New Roman" w:eastAsia="宋体" w:cs="Times New Roman"/>
                      <w:color w:val="0000FF"/>
                      <w:sz w:val="21"/>
                      <w:szCs w:val="21"/>
                      <w:lang w:val="en-US" w:eastAsia="zh-CN"/>
                    </w:rPr>
                    <w:t>13</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color w:val="0000FF"/>
                      <w:sz w:val="21"/>
                      <w:szCs w:val="21"/>
                      <w:lang w:val="en-US" w:eastAsia="zh-CN"/>
                    </w:rPr>
                  </w:pPr>
                  <w:r>
                    <w:rPr>
                      <w:rFonts w:hint="eastAsia" w:ascii="Times New Roman" w:hAnsi="Times New Roman" w:eastAsia="宋体" w:cs="Times New Roman"/>
                      <w:color w:val="0000FF"/>
                      <w:sz w:val="21"/>
                      <w:szCs w:val="21"/>
                      <w:lang w:val="en-US" w:eastAsia="zh-CN"/>
                    </w:rPr>
                    <w:t>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jc w:val="center"/>
              </w:trPr>
              <w:tc>
                <w:tcPr>
                  <w:tcW w:w="693"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rPr>
                  </w:pPr>
                </w:p>
              </w:tc>
              <w:tc>
                <w:tcPr>
                  <w:tcW w:w="787" w:type="dxa"/>
                  <w:vMerge w:val="continue"/>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rPr>
                  </w:pPr>
                </w:p>
              </w:tc>
              <w:tc>
                <w:tcPr>
                  <w:tcW w:w="102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color w:val="0000FF"/>
                      <w:sz w:val="21"/>
                      <w:szCs w:val="21"/>
                      <w:lang w:val="en-US" w:eastAsia="zh-CN"/>
                    </w:rPr>
                    <w:t>第三次</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color w:val="0000FF"/>
                      <w:sz w:val="21"/>
                      <w:szCs w:val="21"/>
                      <w:lang w:val="en-US" w:eastAsia="zh-CN"/>
                    </w:rPr>
                  </w:pPr>
                  <w:r>
                    <w:rPr>
                      <w:rFonts w:hint="default" w:ascii="Times New Roman" w:hAnsi="Times New Roman" w:eastAsia="宋体" w:cs="Times New Roman"/>
                      <w:color w:val="0000FF"/>
                      <w:sz w:val="21"/>
                      <w:szCs w:val="21"/>
                      <w:lang w:val="en-US" w:eastAsia="zh-CN"/>
                    </w:rPr>
                    <w:t>14</w:t>
                  </w:r>
                </w:p>
              </w:tc>
              <w:tc>
                <w:tcPr>
                  <w:tcW w:w="11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color w:val="0000FF"/>
                      <w:sz w:val="21"/>
                      <w:szCs w:val="21"/>
                      <w:lang w:val="en-US" w:eastAsia="zh-CN"/>
                    </w:rPr>
                  </w:pPr>
                  <w:r>
                    <w:rPr>
                      <w:rFonts w:hint="eastAsia" w:ascii="Times New Roman" w:hAnsi="Times New Roman" w:eastAsia="宋体" w:cs="Times New Roman"/>
                      <w:color w:val="0000FF"/>
                      <w:sz w:val="21"/>
                      <w:szCs w:val="21"/>
                      <w:lang w:val="en-US" w:eastAsia="zh-CN"/>
                    </w:rPr>
                    <w:t>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PrEx>
              <w:trPr>
                <w:trHeight w:val="360" w:hRule="atLeast"/>
                <w:jc w:val="center"/>
              </w:trPr>
              <w:tc>
                <w:tcPr>
                  <w:tcW w:w="693" w:type="dxa"/>
                  <w:vMerge w:val="continue"/>
                  <w:shd w:val="clear" w:color="auto" w:fill="auto"/>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rPr>
                  </w:pPr>
                </w:p>
              </w:tc>
              <w:tc>
                <w:tcPr>
                  <w:tcW w:w="787"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ascii="Times New Roman" w:hAnsi="Times New Roman" w:eastAsia="宋体" w:cs="Times New Roman"/>
                      <w:color w:val="0000FF"/>
                      <w:kern w:val="2"/>
                      <w:sz w:val="21"/>
                      <w:szCs w:val="21"/>
                      <w:lang w:val="en-US" w:eastAsia="zh-CN" w:bidi="ar-SA"/>
                    </w:rPr>
                  </w:pPr>
                  <w:r>
                    <w:rPr>
                      <w:rFonts w:hint="default"/>
                      <w:color w:val="0000FF"/>
                      <w:sz w:val="21"/>
                      <w:szCs w:val="21"/>
                      <w:lang w:val="en-US" w:eastAsia="zh-CN"/>
                    </w:rPr>
                    <w:t>2022.08.</w:t>
                  </w:r>
                  <w:r>
                    <w:rPr>
                      <w:rFonts w:hint="eastAsia"/>
                      <w:color w:val="0000FF"/>
                      <w:sz w:val="21"/>
                      <w:szCs w:val="21"/>
                      <w:lang w:val="en-US" w:eastAsia="zh-CN"/>
                    </w:rPr>
                    <w:t>04</w:t>
                  </w:r>
                </w:p>
              </w:tc>
              <w:tc>
                <w:tcPr>
                  <w:tcW w:w="10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color w:val="0000FF"/>
                      <w:sz w:val="21"/>
                      <w:szCs w:val="21"/>
                      <w:lang w:val="en-US" w:eastAsia="zh-CN"/>
                    </w:rPr>
                    <w:t>第一次</w:t>
                  </w:r>
                </w:p>
              </w:tc>
              <w:tc>
                <w:tcPr>
                  <w:tcW w:w="116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shd w:val="clear" w:color="auto" w:fill="auto"/>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color w:val="0000FF"/>
                      <w:sz w:val="21"/>
                      <w:szCs w:val="21"/>
                      <w:lang w:val="en-US" w:eastAsia="zh-CN"/>
                    </w:rPr>
                  </w:pPr>
                  <w:r>
                    <w:rPr>
                      <w:rFonts w:hint="default" w:ascii="Times New Roman" w:hAnsi="Times New Roman" w:eastAsia="宋体" w:cs="Times New Roman"/>
                      <w:color w:val="0000FF"/>
                      <w:sz w:val="21"/>
                      <w:szCs w:val="21"/>
                      <w:lang w:val="en-US" w:eastAsia="zh-CN"/>
                    </w:rPr>
                    <w:t>14</w:t>
                  </w:r>
                </w:p>
              </w:tc>
              <w:tc>
                <w:tcPr>
                  <w:tcW w:w="1166" w:type="dxa"/>
                  <w:shd w:val="clear" w:color="auto" w:fill="auto"/>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color w:val="0000FF"/>
                      <w:sz w:val="21"/>
                      <w:szCs w:val="21"/>
                      <w:lang w:val="en-US" w:eastAsia="zh-CN"/>
                    </w:rPr>
                  </w:pPr>
                  <w:r>
                    <w:rPr>
                      <w:rFonts w:hint="eastAsia" w:ascii="Times New Roman" w:hAnsi="Times New Roman" w:eastAsia="宋体" w:cs="Times New Roman"/>
                      <w:color w:val="0000FF"/>
                      <w:sz w:val="21"/>
                      <w:szCs w:val="21"/>
                      <w:lang w:val="en-US" w:eastAsia="zh-CN"/>
                    </w:rPr>
                    <w:t>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93" w:type="dxa"/>
                  <w:vMerge w:val="continue"/>
                  <w:shd w:val="clear" w:color="auto" w:fill="auto"/>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rPr>
                  </w:pPr>
                </w:p>
              </w:tc>
              <w:tc>
                <w:tcPr>
                  <w:tcW w:w="787" w:type="dxa"/>
                  <w:vMerge w:val="continue"/>
                  <w:shd w:val="clear" w:color="auto" w:fill="auto"/>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rPr>
                  </w:pPr>
                </w:p>
              </w:tc>
              <w:tc>
                <w:tcPr>
                  <w:tcW w:w="10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color w:val="0000FF"/>
                      <w:sz w:val="21"/>
                      <w:szCs w:val="21"/>
                      <w:lang w:val="en-US" w:eastAsia="zh-CN"/>
                    </w:rPr>
                    <w:t>第二次</w:t>
                  </w:r>
                </w:p>
              </w:tc>
              <w:tc>
                <w:tcPr>
                  <w:tcW w:w="116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shd w:val="clear" w:color="auto" w:fill="auto"/>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color w:val="0000FF"/>
                      <w:sz w:val="21"/>
                      <w:szCs w:val="21"/>
                      <w:lang w:val="en-US" w:eastAsia="zh-CN"/>
                    </w:rPr>
                  </w:pPr>
                  <w:r>
                    <w:rPr>
                      <w:rFonts w:hint="default" w:ascii="Times New Roman" w:hAnsi="Times New Roman" w:eastAsia="宋体" w:cs="Times New Roman"/>
                      <w:color w:val="0000FF"/>
                      <w:sz w:val="21"/>
                      <w:szCs w:val="21"/>
                      <w:lang w:val="en-US" w:eastAsia="zh-CN"/>
                    </w:rPr>
                    <w:t>16</w:t>
                  </w:r>
                </w:p>
              </w:tc>
              <w:tc>
                <w:tcPr>
                  <w:tcW w:w="1166" w:type="dxa"/>
                  <w:shd w:val="clear" w:color="auto" w:fill="auto"/>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color w:val="0000FF"/>
                      <w:sz w:val="21"/>
                      <w:szCs w:val="21"/>
                      <w:lang w:val="en-US" w:eastAsia="zh-CN"/>
                    </w:rPr>
                  </w:pPr>
                  <w:r>
                    <w:rPr>
                      <w:rFonts w:hint="eastAsia" w:ascii="Times New Roman" w:hAnsi="Times New Roman" w:eastAsia="宋体" w:cs="Times New Roman"/>
                      <w:color w:val="0000FF"/>
                      <w:sz w:val="21"/>
                      <w:szCs w:val="21"/>
                      <w:lang w:val="en-US" w:eastAsia="zh-CN"/>
                    </w:rPr>
                    <w:t>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93" w:type="dxa"/>
                  <w:vMerge w:val="continue"/>
                  <w:shd w:val="clear" w:color="auto" w:fill="auto"/>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rPr>
                  </w:pPr>
                </w:p>
              </w:tc>
              <w:tc>
                <w:tcPr>
                  <w:tcW w:w="787" w:type="dxa"/>
                  <w:vMerge w:val="continue"/>
                  <w:shd w:val="clear" w:color="auto" w:fill="auto"/>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rPr>
                  </w:pPr>
                </w:p>
              </w:tc>
              <w:tc>
                <w:tcPr>
                  <w:tcW w:w="10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color w:val="0000FF"/>
                      <w:sz w:val="21"/>
                      <w:szCs w:val="21"/>
                      <w:lang w:val="en-US" w:eastAsia="zh-CN"/>
                    </w:rPr>
                    <w:t>第三次</w:t>
                  </w:r>
                </w:p>
              </w:tc>
              <w:tc>
                <w:tcPr>
                  <w:tcW w:w="116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shd w:val="clear" w:color="auto" w:fill="auto"/>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color w:val="0000FF"/>
                      <w:sz w:val="21"/>
                      <w:szCs w:val="21"/>
                      <w:lang w:val="en-US" w:eastAsia="zh-CN"/>
                    </w:rPr>
                  </w:pPr>
                  <w:r>
                    <w:rPr>
                      <w:rFonts w:hint="default" w:ascii="Times New Roman" w:hAnsi="Times New Roman" w:eastAsia="宋体" w:cs="Times New Roman"/>
                      <w:color w:val="0000FF"/>
                      <w:sz w:val="21"/>
                      <w:szCs w:val="21"/>
                      <w:lang w:val="en-US" w:eastAsia="zh-CN"/>
                    </w:rPr>
                    <w:t>16</w:t>
                  </w:r>
                </w:p>
              </w:tc>
              <w:tc>
                <w:tcPr>
                  <w:tcW w:w="1166" w:type="dxa"/>
                  <w:shd w:val="clear" w:color="auto" w:fill="auto"/>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color w:val="0000FF"/>
                      <w:sz w:val="21"/>
                      <w:szCs w:val="21"/>
                      <w:lang w:val="en-US" w:eastAsia="zh-CN"/>
                    </w:rPr>
                  </w:pPr>
                  <w:r>
                    <w:rPr>
                      <w:rFonts w:hint="eastAsia" w:ascii="Times New Roman" w:hAnsi="Times New Roman" w:eastAsia="宋体" w:cs="Times New Roman"/>
                      <w:color w:val="0000FF"/>
                      <w:sz w:val="21"/>
                      <w:szCs w:val="21"/>
                      <w:lang w:val="en-US" w:eastAsia="zh-CN"/>
                    </w:rPr>
                    <w:t>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0" w:hRule="atLeast"/>
                <w:jc w:val="center"/>
              </w:trPr>
              <w:tc>
                <w:tcPr>
                  <w:tcW w:w="693" w:type="dxa"/>
                  <w:vMerge w:val="restart"/>
                  <w:shd w:val="clear" w:color="auto" w:fill="auto"/>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lang w:val="en-US"/>
                    </w:rPr>
                  </w:pPr>
                  <w:r>
                    <w:rPr>
                      <w:rFonts w:hint="eastAsia"/>
                      <w:color w:val="0000FF"/>
                      <w:sz w:val="21"/>
                      <w:szCs w:val="21"/>
                      <w:lang w:val="en-US" w:eastAsia="zh-CN"/>
                    </w:rPr>
                    <w:t>DA005</w:t>
                  </w:r>
                </w:p>
              </w:tc>
              <w:tc>
                <w:tcPr>
                  <w:tcW w:w="787" w:type="dxa"/>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color w:val="0000FF"/>
                      <w:sz w:val="21"/>
                      <w:szCs w:val="21"/>
                      <w:lang w:val="en-US" w:eastAsia="zh-CN"/>
                    </w:rPr>
                    <w:t>2022.08.</w:t>
                  </w:r>
                  <w:r>
                    <w:rPr>
                      <w:rFonts w:hint="eastAsia"/>
                      <w:color w:val="0000FF"/>
                      <w:sz w:val="21"/>
                      <w:szCs w:val="21"/>
                      <w:lang w:val="en-US" w:eastAsia="zh-CN"/>
                    </w:rPr>
                    <w:t>03</w:t>
                  </w:r>
                </w:p>
              </w:tc>
              <w:tc>
                <w:tcPr>
                  <w:tcW w:w="10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color w:val="0000FF"/>
                      <w:sz w:val="21"/>
                      <w:szCs w:val="21"/>
                      <w:lang w:val="en-US" w:eastAsia="zh-CN"/>
                    </w:rPr>
                    <w:t>第一次</w:t>
                  </w:r>
                </w:p>
              </w:tc>
              <w:tc>
                <w:tcPr>
                  <w:tcW w:w="116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color w:val="0000FF"/>
                      <w:sz w:val="21"/>
                      <w:szCs w:val="21"/>
                      <w:lang w:val="en-US" w:eastAsia="zh-CN"/>
                    </w:rPr>
                    <w:t>13</w:t>
                  </w:r>
                </w:p>
              </w:tc>
              <w:tc>
                <w:tcPr>
                  <w:tcW w:w="1166" w:type="dxa"/>
                  <w:shd w:val="clear" w:color="auto" w:fill="auto"/>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93" w:type="dxa"/>
                  <w:vMerge w:val="continue"/>
                  <w:shd w:val="clear" w:color="auto" w:fill="auto"/>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rPr>
                  </w:pPr>
                </w:p>
              </w:tc>
              <w:tc>
                <w:tcPr>
                  <w:tcW w:w="787" w:type="dxa"/>
                  <w:vMerge w:val="continue"/>
                  <w:shd w:val="clear" w:color="auto" w:fill="auto"/>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rPr>
                  </w:pPr>
                </w:p>
              </w:tc>
              <w:tc>
                <w:tcPr>
                  <w:tcW w:w="10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color w:val="0000FF"/>
                      <w:sz w:val="21"/>
                      <w:szCs w:val="21"/>
                      <w:lang w:val="en-US" w:eastAsia="zh-CN"/>
                    </w:rPr>
                    <w:t>第二次</w:t>
                  </w:r>
                </w:p>
              </w:tc>
              <w:tc>
                <w:tcPr>
                  <w:tcW w:w="116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color w:val="0000FF"/>
                      <w:sz w:val="21"/>
                      <w:szCs w:val="21"/>
                      <w:lang w:val="en-US" w:eastAsia="zh-CN"/>
                    </w:rPr>
                    <w:t>16</w:t>
                  </w:r>
                </w:p>
              </w:tc>
              <w:tc>
                <w:tcPr>
                  <w:tcW w:w="1166" w:type="dxa"/>
                  <w:shd w:val="clear" w:color="auto" w:fill="auto"/>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93" w:type="dxa"/>
                  <w:vMerge w:val="continue"/>
                  <w:shd w:val="clear" w:color="auto" w:fill="auto"/>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rPr>
                  </w:pPr>
                </w:p>
              </w:tc>
              <w:tc>
                <w:tcPr>
                  <w:tcW w:w="787" w:type="dxa"/>
                  <w:vMerge w:val="continue"/>
                  <w:shd w:val="clear" w:color="auto" w:fill="auto"/>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rPr>
                  </w:pPr>
                </w:p>
              </w:tc>
              <w:tc>
                <w:tcPr>
                  <w:tcW w:w="10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color w:val="0000FF"/>
                      <w:sz w:val="21"/>
                      <w:szCs w:val="21"/>
                      <w:lang w:val="en-US" w:eastAsia="zh-CN"/>
                    </w:rPr>
                    <w:t>第三次</w:t>
                  </w:r>
                </w:p>
              </w:tc>
              <w:tc>
                <w:tcPr>
                  <w:tcW w:w="116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shd w:val="clear" w:color="auto" w:fill="auto"/>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16</w:t>
                  </w:r>
                </w:p>
              </w:tc>
              <w:tc>
                <w:tcPr>
                  <w:tcW w:w="1166" w:type="dxa"/>
                  <w:shd w:val="clear" w:color="auto" w:fill="auto"/>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0" w:hRule="atLeast"/>
                <w:jc w:val="center"/>
              </w:trPr>
              <w:tc>
                <w:tcPr>
                  <w:tcW w:w="693" w:type="dxa"/>
                  <w:vMerge w:val="continue"/>
                  <w:shd w:val="clear" w:color="auto" w:fill="auto"/>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rPr>
                  </w:pPr>
                </w:p>
              </w:tc>
              <w:tc>
                <w:tcPr>
                  <w:tcW w:w="787"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ascii="Times New Roman" w:hAnsi="Times New Roman" w:eastAsia="宋体" w:cs="Times New Roman"/>
                      <w:color w:val="0000FF"/>
                      <w:kern w:val="2"/>
                      <w:sz w:val="21"/>
                      <w:szCs w:val="21"/>
                      <w:lang w:val="en-US" w:eastAsia="zh-CN" w:bidi="ar-SA"/>
                    </w:rPr>
                  </w:pPr>
                  <w:r>
                    <w:rPr>
                      <w:rFonts w:hint="default"/>
                      <w:color w:val="0000FF"/>
                      <w:sz w:val="21"/>
                      <w:szCs w:val="21"/>
                      <w:lang w:val="en-US" w:eastAsia="zh-CN"/>
                    </w:rPr>
                    <w:t>2022.08.</w:t>
                  </w:r>
                  <w:r>
                    <w:rPr>
                      <w:rFonts w:hint="eastAsia"/>
                      <w:color w:val="0000FF"/>
                      <w:sz w:val="21"/>
                      <w:szCs w:val="21"/>
                      <w:lang w:val="en-US" w:eastAsia="zh-CN"/>
                    </w:rPr>
                    <w:t>04</w:t>
                  </w:r>
                </w:p>
              </w:tc>
              <w:tc>
                <w:tcPr>
                  <w:tcW w:w="10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color w:val="0000FF"/>
                      <w:sz w:val="21"/>
                      <w:szCs w:val="21"/>
                      <w:lang w:val="en-US" w:eastAsia="zh-CN"/>
                    </w:rPr>
                    <w:t>第一次</w:t>
                  </w:r>
                </w:p>
              </w:tc>
              <w:tc>
                <w:tcPr>
                  <w:tcW w:w="116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shd w:val="clear" w:color="auto" w:fill="auto"/>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16</w:t>
                  </w:r>
                </w:p>
              </w:tc>
              <w:tc>
                <w:tcPr>
                  <w:tcW w:w="1166" w:type="dxa"/>
                  <w:shd w:val="clear" w:color="auto" w:fill="auto"/>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93" w:type="dxa"/>
                  <w:vMerge w:val="continue"/>
                  <w:shd w:val="clear" w:color="auto" w:fill="auto"/>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rPr>
                  </w:pPr>
                </w:p>
              </w:tc>
              <w:tc>
                <w:tcPr>
                  <w:tcW w:w="787" w:type="dxa"/>
                  <w:vMerge w:val="continue"/>
                  <w:shd w:val="clear" w:color="auto" w:fill="auto"/>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rPr>
                  </w:pPr>
                </w:p>
              </w:tc>
              <w:tc>
                <w:tcPr>
                  <w:tcW w:w="10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color w:val="0000FF"/>
                      <w:sz w:val="21"/>
                      <w:szCs w:val="21"/>
                      <w:lang w:val="en-US" w:eastAsia="zh-CN"/>
                    </w:rPr>
                    <w:t>第二次</w:t>
                  </w:r>
                </w:p>
              </w:tc>
              <w:tc>
                <w:tcPr>
                  <w:tcW w:w="116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shd w:val="clear" w:color="auto" w:fill="auto"/>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14</w:t>
                  </w:r>
                </w:p>
              </w:tc>
              <w:tc>
                <w:tcPr>
                  <w:tcW w:w="1166" w:type="dxa"/>
                  <w:shd w:val="clear" w:color="auto" w:fill="auto"/>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93" w:type="dxa"/>
                  <w:vMerge w:val="continue"/>
                  <w:shd w:val="clear" w:color="auto" w:fill="auto"/>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rPr>
                  </w:pPr>
                </w:p>
              </w:tc>
              <w:tc>
                <w:tcPr>
                  <w:tcW w:w="787" w:type="dxa"/>
                  <w:vMerge w:val="continue"/>
                  <w:shd w:val="clear" w:color="auto" w:fill="auto"/>
                </w:tcPr>
                <w:p>
                  <w:pPr>
                    <w:keepNext w:val="0"/>
                    <w:keepLines w:val="0"/>
                    <w:pageBreakBefore w:val="0"/>
                    <w:widowControl/>
                    <w:kinsoku/>
                    <w:wordWrap/>
                    <w:overflowPunct/>
                    <w:topLinePunct w:val="0"/>
                    <w:autoSpaceDE/>
                    <w:autoSpaceDN/>
                    <w:bidi w:val="0"/>
                    <w:adjustRightInd/>
                    <w:snapToGrid/>
                    <w:spacing w:line="360" w:lineRule="atLeast"/>
                    <w:jc w:val="center"/>
                    <w:rPr>
                      <w:rFonts w:hint="default"/>
                      <w:color w:val="0000FF"/>
                      <w:sz w:val="21"/>
                      <w:szCs w:val="21"/>
                    </w:rPr>
                  </w:pPr>
                </w:p>
              </w:tc>
              <w:tc>
                <w:tcPr>
                  <w:tcW w:w="10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color w:val="0000FF"/>
                      <w:sz w:val="21"/>
                      <w:szCs w:val="21"/>
                      <w:lang w:val="en-US" w:eastAsia="zh-CN"/>
                    </w:rPr>
                    <w:t>第三次</w:t>
                  </w:r>
                </w:p>
              </w:tc>
              <w:tc>
                <w:tcPr>
                  <w:tcW w:w="116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Times New Roman" w:hAnsi="Times New Roman" w:eastAsia="宋体" w:cs="Times New Roman"/>
                      <w:color w:val="0000FF"/>
                      <w:kern w:val="2"/>
                      <w:sz w:val="21"/>
                      <w:szCs w:val="21"/>
                      <w:lang w:val="en-US" w:eastAsia="zh-CN" w:bidi="ar-SA"/>
                    </w:rPr>
                  </w:pPr>
                  <w:r>
                    <w:rPr>
                      <w:rFonts w:hint="eastAsia"/>
                      <w:color w:val="0000FF"/>
                      <w:sz w:val="21"/>
                      <w:szCs w:val="21"/>
                      <w:lang w:val="en-US" w:eastAsia="zh-CN"/>
                    </w:rPr>
                    <w:t>/</w:t>
                  </w:r>
                </w:p>
              </w:tc>
              <w:tc>
                <w:tcPr>
                  <w:tcW w:w="1166" w:type="dxa"/>
                  <w:shd w:val="clear" w:color="auto" w:fill="auto"/>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13</w:t>
                  </w:r>
                </w:p>
              </w:tc>
              <w:tc>
                <w:tcPr>
                  <w:tcW w:w="1166" w:type="dxa"/>
                  <w:shd w:val="clear" w:color="auto" w:fill="auto"/>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3.</w:t>
                  </w:r>
                  <w:r>
                    <w:rPr>
                      <w:rFonts w:hint="eastAsia" w:cs="Times New Roman"/>
                      <w:color w:val="0000FF"/>
                      <w:sz w:val="21"/>
                      <w:szCs w:val="21"/>
                      <w:lang w:val="en-US" w:eastAsia="zh-CN"/>
                    </w:rPr>
                    <w:t>5</w:t>
                  </w:r>
                </w:p>
              </w:tc>
            </w:tr>
          </w:tbl>
          <w:p>
            <w:pPr>
              <w:pStyle w:val="2"/>
              <w:ind w:left="0" w:leftChars="0" w:firstLine="480" w:firstLineChars="0"/>
              <w:rPr>
                <w:rFonts w:hint="default" w:ascii="Times New Roman" w:hAnsi="Times New Roman" w:eastAsia="黑体" w:cs="Times New Roman"/>
                <w:b/>
                <w:bCs/>
                <w:color w:val="0000FF"/>
                <w:lang w:val="en-US" w:eastAsia="zh-CN"/>
              </w:rPr>
            </w:pPr>
            <w:r>
              <w:rPr>
                <w:rFonts w:hint="eastAsia"/>
                <w:color w:val="0000FF"/>
                <w:sz w:val="24"/>
                <w:szCs w:val="24"/>
                <w:lang w:val="en-US" w:eastAsia="zh-CN"/>
              </w:rPr>
              <w:t>1.2.2无组织废气：</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eastAsia="黑体" w:cs="Times New Roman"/>
                <w:b/>
                <w:bCs/>
                <w:color w:val="0000FF"/>
                <w:lang w:val="en-US" w:eastAsia="zh-CN"/>
              </w:rPr>
            </w:pPr>
            <w:r>
              <w:rPr>
                <w:rFonts w:hint="default" w:ascii="Times New Roman" w:hAnsi="Times New Roman" w:eastAsia="黑体" w:cs="Times New Roman"/>
                <w:b/>
                <w:bCs/>
                <w:color w:val="0000FF"/>
                <w:lang w:val="en-US" w:eastAsia="zh-CN"/>
              </w:rPr>
              <w:t>表2</w:t>
            </w:r>
            <w:r>
              <w:rPr>
                <w:rFonts w:hint="eastAsia" w:eastAsia="黑体" w:cs="Times New Roman"/>
                <w:b/>
                <w:bCs/>
                <w:color w:val="0000FF"/>
                <w:lang w:val="en-US" w:eastAsia="zh-CN"/>
              </w:rPr>
              <w:t xml:space="preserve">9 </w:t>
            </w:r>
            <w:r>
              <w:rPr>
                <w:rFonts w:hint="default" w:ascii="Times New Roman" w:hAnsi="Times New Roman" w:eastAsia="黑体" w:cs="Times New Roman"/>
                <w:b/>
                <w:bCs/>
                <w:color w:val="0000FF"/>
                <w:lang w:val="en-US" w:eastAsia="zh-CN"/>
              </w:rPr>
              <w:t>无组织废气检测结果</w:t>
            </w:r>
          </w:p>
          <w:tbl>
            <w:tblPr>
              <w:tblStyle w:val="21"/>
              <w:tblW w:w="838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7"/>
              <w:gridCol w:w="738"/>
              <w:gridCol w:w="1700"/>
              <w:gridCol w:w="1687"/>
              <w:gridCol w:w="1750"/>
              <w:gridCol w:w="17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采样日期</w:t>
                  </w:r>
                </w:p>
              </w:tc>
              <w:tc>
                <w:tcPr>
                  <w:tcW w:w="73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采样</w:t>
                  </w:r>
                </w:p>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时间</w:t>
                  </w:r>
                </w:p>
              </w:tc>
              <w:tc>
                <w:tcPr>
                  <w:tcW w:w="6887"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color w:val="0000FF"/>
                      <w:sz w:val="21"/>
                      <w:szCs w:val="21"/>
                      <w:lang w:val="en-US" w:eastAsia="zh-CN"/>
                    </w:rPr>
                    <w:t>臭气</w:t>
                  </w:r>
                  <w:r>
                    <w:rPr>
                      <w:rFonts w:hint="default" w:ascii="Times New Roman" w:hAnsi="Times New Roman" w:eastAsia="宋体" w:cs="Times New Roman"/>
                      <w:color w:val="0000FF"/>
                      <w:sz w:val="21"/>
                      <w:szCs w:val="21"/>
                    </w:rPr>
                    <w:t>浓度（</w:t>
                  </w:r>
                  <w:r>
                    <w:rPr>
                      <w:rFonts w:hint="default" w:ascii="Times New Roman" w:hAnsi="Times New Roman" w:eastAsia="宋体" w:cs="Times New Roman"/>
                      <w:color w:val="0000FF"/>
                      <w:sz w:val="21"/>
                      <w:szCs w:val="21"/>
                      <w:lang w:eastAsia="zh-CN"/>
                    </w:rPr>
                    <w:t>无量纲</w:t>
                  </w:r>
                  <w:r>
                    <w:rPr>
                      <w:rFonts w:hint="default" w:ascii="Times New Roman" w:hAnsi="Times New Roman" w:eastAsia="宋体" w:cs="Times New Roman"/>
                      <w:color w:val="0000FF"/>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7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0000FF"/>
                      <w:sz w:val="21"/>
                      <w:szCs w:val="21"/>
                    </w:rPr>
                  </w:pPr>
                </w:p>
              </w:tc>
              <w:tc>
                <w:tcPr>
                  <w:tcW w:w="73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0000FF"/>
                      <w:sz w:val="21"/>
                      <w:szCs w:val="21"/>
                    </w:rPr>
                  </w:pPr>
                </w:p>
              </w:tc>
              <w:tc>
                <w:tcPr>
                  <w:tcW w:w="17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b w:val="0"/>
                      <w:bCs w:val="0"/>
                      <w:snapToGrid w:val="0"/>
                      <w:color w:val="0000FF"/>
                      <w:kern w:val="2"/>
                      <w:sz w:val="21"/>
                      <w:szCs w:val="21"/>
                    </w:rPr>
                    <w:t>厂界上风向</w:t>
                  </w:r>
                  <w:r>
                    <w:rPr>
                      <w:rFonts w:hint="default" w:ascii="Times New Roman" w:hAnsi="Times New Roman" w:eastAsia="宋体" w:cs="Times New Roman"/>
                      <w:b w:val="0"/>
                      <w:bCs w:val="0"/>
                      <w:snapToGrid w:val="0"/>
                      <w:color w:val="0000FF"/>
                      <w:kern w:val="2"/>
                      <w:sz w:val="21"/>
                      <w:szCs w:val="21"/>
                      <w:lang w:eastAsia="zh-CN"/>
                    </w:rPr>
                    <w:t>（</w:t>
                  </w:r>
                  <w:r>
                    <w:rPr>
                      <w:rFonts w:hint="default" w:ascii="Times New Roman" w:hAnsi="Times New Roman" w:eastAsia="宋体" w:cs="Times New Roman"/>
                      <w:b w:val="0"/>
                      <w:bCs w:val="0"/>
                      <w:snapToGrid w:val="0"/>
                      <w:color w:val="0000FF"/>
                      <w:kern w:val="2"/>
                      <w:sz w:val="21"/>
                      <w:szCs w:val="21"/>
                      <w:lang w:val="en-US" w:eastAsia="zh-CN"/>
                    </w:rPr>
                    <w:t>1#</w:t>
                  </w:r>
                  <w:r>
                    <w:rPr>
                      <w:rFonts w:hint="default" w:ascii="Times New Roman" w:hAnsi="Times New Roman" w:eastAsia="宋体" w:cs="Times New Roman"/>
                      <w:b w:val="0"/>
                      <w:bCs w:val="0"/>
                      <w:snapToGrid w:val="0"/>
                      <w:color w:val="0000FF"/>
                      <w:kern w:val="2"/>
                      <w:sz w:val="21"/>
                      <w:szCs w:val="21"/>
                      <w:lang w:eastAsia="zh-CN"/>
                    </w:rPr>
                    <w:t>）</w:t>
                  </w:r>
                </w:p>
              </w:tc>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lang w:eastAsia="zh-CN"/>
                    </w:rPr>
                    <w:t>厂界下风向（</w:t>
                  </w:r>
                  <w:r>
                    <w:rPr>
                      <w:rFonts w:hint="default" w:ascii="Times New Roman" w:hAnsi="Times New Roman" w:eastAsia="宋体" w:cs="Times New Roman"/>
                      <w:color w:val="0000FF"/>
                      <w:sz w:val="21"/>
                      <w:szCs w:val="21"/>
                      <w:lang w:val="en-US" w:eastAsia="zh-CN"/>
                    </w:rPr>
                    <w:t>2#</w:t>
                  </w:r>
                  <w:r>
                    <w:rPr>
                      <w:rFonts w:hint="default" w:ascii="Times New Roman" w:hAnsi="Times New Roman" w:eastAsia="宋体" w:cs="Times New Roman"/>
                      <w:color w:val="0000FF"/>
                      <w:sz w:val="21"/>
                      <w:szCs w:val="21"/>
                      <w:lang w:eastAsia="zh-CN"/>
                    </w:rPr>
                    <w:t>）</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lang w:eastAsia="zh-CN"/>
                    </w:rPr>
                    <w:t>厂界下风向（</w:t>
                  </w:r>
                  <w:r>
                    <w:rPr>
                      <w:rFonts w:hint="default" w:ascii="Times New Roman" w:hAnsi="Times New Roman" w:eastAsia="宋体" w:cs="Times New Roman"/>
                      <w:color w:val="0000FF"/>
                      <w:sz w:val="21"/>
                      <w:szCs w:val="21"/>
                      <w:lang w:val="en-US" w:eastAsia="zh-CN"/>
                    </w:rPr>
                    <w:t>3#</w:t>
                  </w:r>
                  <w:r>
                    <w:rPr>
                      <w:rFonts w:hint="default" w:ascii="Times New Roman" w:hAnsi="Times New Roman" w:eastAsia="宋体" w:cs="Times New Roman"/>
                      <w:color w:val="0000FF"/>
                      <w:sz w:val="21"/>
                      <w:szCs w:val="21"/>
                      <w:lang w:eastAsia="zh-CN"/>
                    </w:rPr>
                    <w:t>）</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lang w:eastAsia="zh-CN"/>
                    </w:rPr>
                    <w:t>厂界下风向（</w:t>
                  </w:r>
                  <w:r>
                    <w:rPr>
                      <w:rFonts w:hint="default" w:ascii="Times New Roman" w:hAnsi="Times New Roman" w:eastAsia="宋体" w:cs="Times New Roman"/>
                      <w:color w:val="0000FF"/>
                      <w:sz w:val="21"/>
                      <w:szCs w:val="21"/>
                      <w:lang w:val="en-US" w:eastAsia="zh-CN"/>
                    </w:rPr>
                    <w:t>4#</w:t>
                  </w:r>
                  <w:r>
                    <w:rPr>
                      <w:rFonts w:hint="default" w:ascii="Times New Roman" w:hAnsi="Times New Roman" w:eastAsia="宋体" w:cs="Times New Roman"/>
                      <w:color w:val="0000FF"/>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color w:val="0000FF"/>
                      <w:sz w:val="21"/>
                      <w:szCs w:val="21"/>
                      <w:lang w:val="en-US" w:eastAsia="zh-CN"/>
                    </w:rPr>
                    <w:t>2022.08.03</w:t>
                  </w:r>
                </w:p>
              </w:tc>
              <w:tc>
                <w:tcPr>
                  <w:tcW w:w="73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lang w:val="en-US"/>
                    </w:rPr>
                  </w:pPr>
                  <w:r>
                    <w:rPr>
                      <w:rFonts w:hint="default" w:ascii="Times New Roman" w:hAnsi="Times New Roman" w:eastAsia="宋体" w:cs="Times New Roman"/>
                      <w:color w:val="0000FF"/>
                      <w:kern w:val="2"/>
                      <w:sz w:val="21"/>
                      <w:szCs w:val="21"/>
                      <w:lang w:val="en-US" w:eastAsia="zh-CN" w:bidi="ar-SA"/>
                    </w:rPr>
                    <w:t>09:31</w:t>
                  </w:r>
                </w:p>
              </w:tc>
              <w:tc>
                <w:tcPr>
                  <w:tcW w:w="17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＜10</w:t>
                  </w:r>
                </w:p>
              </w:tc>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11</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12</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rPr>
                  </w:pPr>
                </w:p>
              </w:tc>
              <w:tc>
                <w:tcPr>
                  <w:tcW w:w="73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2"/>
                      <w:sz w:val="21"/>
                      <w:szCs w:val="21"/>
                      <w:lang w:val="en-US" w:eastAsia="zh-CN" w:bidi="ar-SA"/>
                    </w:rPr>
                    <w:t>10:44</w:t>
                  </w:r>
                </w:p>
              </w:tc>
              <w:tc>
                <w:tcPr>
                  <w:tcW w:w="17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11</w:t>
                  </w:r>
                </w:p>
              </w:tc>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12</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14</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rPr>
                  </w:pPr>
                </w:p>
              </w:tc>
              <w:tc>
                <w:tcPr>
                  <w:tcW w:w="73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kern w:val="2"/>
                      <w:sz w:val="21"/>
                      <w:szCs w:val="21"/>
                      <w:lang w:val="en-US" w:eastAsia="zh-CN" w:bidi="ar-SA"/>
                    </w:rPr>
                    <w:t>12:03</w:t>
                  </w:r>
                </w:p>
              </w:tc>
              <w:tc>
                <w:tcPr>
                  <w:tcW w:w="17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＜10</w:t>
                  </w:r>
                </w:p>
              </w:tc>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13</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15</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rPr>
                  </w:pPr>
                </w:p>
              </w:tc>
              <w:tc>
                <w:tcPr>
                  <w:tcW w:w="73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2"/>
                      <w:sz w:val="21"/>
                      <w:szCs w:val="21"/>
                      <w:lang w:val="en-US" w:eastAsia="zh-CN" w:bidi="ar-SA"/>
                    </w:rPr>
                    <w:t>14:31</w:t>
                  </w:r>
                </w:p>
              </w:tc>
              <w:tc>
                <w:tcPr>
                  <w:tcW w:w="17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＜10</w:t>
                  </w:r>
                </w:p>
              </w:tc>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12</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13</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color w:val="0000FF"/>
                      <w:sz w:val="21"/>
                      <w:szCs w:val="21"/>
                      <w:lang w:val="en-US" w:eastAsia="zh-CN"/>
                    </w:rPr>
                    <w:t>2022.08.04</w:t>
                  </w:r>
                </w:p>
              </w:tc>
              <w:tc>
                <w:tcPr>
                  <w:tcW w:w="73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2"/>
                      <w:sz w:val="21"/>
                      <w:szCs w:val="21"/>
                      <w:lang w:val="en-US" w:eastAsia="zh-CN" w:bidi="ar-SA"/>
                    </w:rPr>
                    <w:t>08:30</w:t>
                  </w:r>
                </w:p>
              </w:tc>
              <w:tc>
                <w:tcPr>
                  <w:tcW w:w="17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＜10</w:t>
                  </w:r>
                </w:p>
              </w:tc>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12</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13</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7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rPr>
                  </w:pPr>
                </w:p>
              </w:tc>
              <w:tc>
                <w:tcPr>
                  <w:tcW w:w="73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2"/>
                      <w:sz w:val="21"/>
                      <w:szCs w:val="21"/>
                      <w:lang w:val="en-US" w:eastAsia="zh-CN" w:bidi="ar-SA"/>
                    </w:rPr>
                    <w:t>09:35</w:t>
                  </w:r>
                </w:p>
              </w:tc>
              <w:tc>
                <w:tcPr>
                  <w:tcW w:w="17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＜10</w:t>
                  </w:r>
                </w:p>
              </w:tc>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13</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15</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rPr>
                  </w:pPr>
                </w:p>
              </w:tc>
              <w:tc>
                <w:tcPr>
                  <w:tcW w:w="73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2"/>
                      <w:sz w:val="21"/>
                      <w:szCs w:val="21"/>
                      <w:lang w:val="en-US" w:eastAsia="zh-CN" w:bidi="ar-SA"/>
                    </w:rPr>
                    <w:t>10:40</w:t>
                  </w:r>
                </w:p>
              </w:tc>
              <w:tc>
                <w:tcPr>
                  <w:tcW w:w="17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11</w:t>
                  </w:r>
                </w:p>
              </w:tc>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12</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14</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rPr>
                  </w:pPr>
                </w:p>
              </w:tc>
              <w:tc>
                <w:tcPr>
                  <w:tcW w:w="73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lang w:val="en-US"/>
                    </w:rPr>
                  </w:pPr>
                  <w:r>
                    <w:rPr>
                      <w:rFonts w:hint="default" w:ascii="Times New Roman" w:hAnsi="Times New Roman" w:eastAsia="宋体" w:cs="Times New Roman"/>
                      <w:color w:val="0000FF"/>
                      <w:kern w:val="2"/>
                      <w:sz w:val="21"/>
                      <w:szCs w:val="21"/>
                      <w:lang w:val="en-US" w:eastAsia="zh-CN" w:bidi="ar-SA"/>
                    </w:rPr>
                    <w:t>14:25</w:t>
                  </w:r>
                </w:p>
              </w:tc>
              <w:tc>
                <w:tcPr>
                  <w:tcW w:w="17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＜10</w:t>
                  </w:r>
                </w:p>
              </w:tc>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11</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12</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采样日期</w:t>
                  </w:r>
                </w:p>
              </w:tc>
              <w:tc>
                <w:tcPr>
                  <w:tcW w:w="73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采样</w:t>
                  </w:r>
                </w:p>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时间</w:t>
                  </w:r>
                </w:p>
              </w:tc>
              <w:tc>
                <w:tcPr>
                  <w:tcW w:w="6887"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 w:val="0"/>
                      <w:bCs w:val="0"/>
                      <w:color w:val="0000FF"/>
                      <w:sz w:val="21"/>
                      <w:szCs w:val="21"/>
                      <w:lang w:eastAsia="zh-CN"/>
                    </w:rPr>
                    <w:t>氨</w:t>
                  </w:r>
                  <w:r>
                    <w:rPr>
                      <w:rFonts w:hint="default" w:ascii="Times New Roman" w:hAnsi="Times New Roman" w:eastAsia="宋体" w:cs="Times New Roman"/>
                      <w:color w:val="0000FF"/>
                      <w:sz w:val="21"/>
                      <w:szCs w:val="21"/>
                      <w:lang w:val="en-US" w:eastAsia="zh-CN"/>
                    </w:rPr>
                    <w:t>（mg/m</w:t>
                  </w:r>
                  <w:r>
                    <w:rPr>
                      <w:rFonts w:hint="default" w:ascii="Times New Roman" w:hAnsi="Times New Roman" w:eastAsia="宋体" w:cs="Times New Roman"/>
                      <w:color w:val="0000FF"/>
                      <w:sz w:val="21"/>
                      <w:szCs w:val="21"/>
                      <w:vertAlign w:val="superscript"/>
                      <w:lang w:val="en-US" w:eastAsia="zh-CN"/>
                    </w:rPr>
                    <w:t>3</w:t>
                  </w:r>
                  <w:r>
                    <w:rPr>
                      <w:rFonts w:hint="default" w:ascii="Times New Roman" w:hAnsi="Times New Roman" w:eastAsia="宋体" w:cs="Times New Roman"/>
                      <w:color w:val="0000FF"/>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rPr>
                  </w:pPr>
                </w:p>
              </w:tc>
              <w:tc>
                <w:tcPr>
                  <w:tcW w:w="73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rPr>
                  </w:pPr>
                </w:p>
              </w:tc>
              <w:tc>
                <w:tcPr>
                  <w:tcW w:w="17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b w:val="0"/>
                      <w:bCs w:val="0"/>
                      <w:snapToGrid w:val="0"/>
                      <w:color w:val="0000FF"/>
                      <w:kern w:val="2"/>
                      <w:sz w:val="21"/>
                      <w:szCs w:val="21"/>
                    </w:rPr>
                    <w:t>厂界上风向</w:t>
                  </w:r>
                  <w:r>
                    <w:rPr>
                      <w:rFonts w:hint="default" w:ascii="Times New Roman" w:hAnsi="Times New Roman" w:eastAsia="宋体" w:cs="Times New Roman"/>
                      <w:b w:val="0"/>
                      <w:bCs w:val="0"/>
                      <w:snapToGrid w:val="0"/>
                      <w:color w:val="0000FF"/>
                      <w:kern w:val="2"/>
                      <w:sz w:val="21"/>
                      <w:szCs w:val="21"/>
                      <w:lang w:eastAsia="zh-CN"/>
                    </w:rPr>
                    <w:t>（</w:t>
                  </w:r>
                  <w:r>
                    <w:rPr>
                      <w:rFonts w:hint="default" w:ascii="Times New Roman" w:hAnsi="Times New Roman" w:eastAsia="宋体" w:cs="Times New Roman"/>
                      <w:b w:val="0"/>
                      <w:bCs w:val="0"/>
                      <w:snapToGrid w:val="0"/>
                      <w:color w:val="0000FF"/>
                      <w:kern w:val="2"/>
                      <w:sz w:val="21"/>
                      <w:szCs w:val="21"/>
                      <w:lang w:val="en-US" w:eastAsia="zh-CN"/>
                    </w:rPr>
                    <w:t>1#</w:t>
                  </w:r>
                  <w:r>
                    <w:rPr>
                      <w:rFonts w:hint="default" w:ascii="Times New Roman" w:hAnsi="Times New Roman" w:eastAsia="宋体" w:cs="Times New Roman"/>
                      <w:b w:val="0"/>
                      <w:bCs w:val="0"/>
                      <w:snapToGrid w:val="0"/>
                      <w:color w:val="0000FF"/>
                      <w:kern w:val="2"/>
                      <w:sz w:val="21"/>
                      <w:szCs w:val="21"/>
                      <w:lang w:eastAsia="zh-CN"/>
                    </w:rPr>
                    <w:t>）</w:t>
                  </w:r>
                </w:p>
              </w:tc>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lang w:eastAsia="zh-CN"/>
                    </w:rPr>
                    <w:t>厂界下风向（</w:t>
                  </w:r>
                  <w:r>
                    <w:rPr>
                      <w:rFonts w:hint="default" w:ascii="Times New Roman" w:hAnsi="Times New Roman" w:eastAsia="宋体" w:cs="Times New Roman"/>
                      <w:color w:val="0000FF"/>
                      <w:sz w:val="21"/>
                      <w:szCs w:val="21"/>
                      <w:lang w:val="en-US" w:eastAsia="zh-CN"/>
                    </w:rPr>
                    <w:t>2#</w:t>
                  </w:r>
                  <w:r>
                    <w:rPr>
                      <w:rFonts w:hint="default" w:ascii="Times New Roman" w:hAnsi="Times New Roman" w:eastAsia="宋体" w:cs="Times New Roman"/>
                      <w:color w:val="0000FF"/>
                      <w:sz w:val="21"/>
                      <w:szCs w:val="21"/>
                      <w:lang w:eastAsia="zh-CN"/>
                    </w:rPr>
                    <w:t>）</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lang w:eastAsia="zh-CN"/>
                    </w:rPr>
                    <w:t>厂界下风向（</w:t>
                  </w:r>
                  <w:r>
                    <w:rPr>
                      <w:rFonts w:hint="default" w:ascii="Times New Roman" w:hAnsi="Times New Roman" w:eastAsia="宋体" w:cs="Times New Roman"/>
                      <w:color w:val="0000FF"/>
                      <w:sz w:val="21"/>
                      <w:szCs w:val="21"/>
                      <w:lang w:val="en-US" w:eastAsia="zh-CN"/>
                    </w:rPr>
                    <w:t>3#</w:t>
                  </w:r>
                  <w:r>
                    <w:rPr>
                      <w:rFonts w:hint="default" w:ascii="Times New Roman" w:hAnsi="Times New Roman" w:eastAsia="宋体" w:cs="Times New Roman"/>
                      <w:color w:val="0000FF"/>
                      <w:sz w:val="21"/>
                      <w:szCs w:val="21"/>
                      <w:lang w:eastAsia="zh-CN"/>
                    </w:rPr>
                    <w:t>）</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lang w:eastAsia="zh-CN"/>
                    </w:rPr>
                    <w:t>厂界下风向（</w:t>
                  </w:r>
                  <w:r>
                    <w:rPr>
                      <w:rFonts w:hint="default" w:ascii="Times New Roman" w:hAnsi="Times New Roman" w:eastAsia="宋体" w:cs="Times New Roman"/>
                      <w:color w:val="0000FF"/>
                      <w:sz w:val="21"/>
                      <w:szCs w:val="21"/>
                      <w:lang w:val="en-US" w:eastAsia="zh-CN"/>
                    </w:rPr>
                    <w:t>4#</w:t>
                  </w:r>
                  <w:r>
                    <w:rPr>
                      <w:rFonts w:hint="default" w:ascii="Times New Roman" w:hAnsi="Times New Roman" w:eastAsia="宋体" w:cs="Times New Roman"/>
                      <w:color w:val="0000FF"/>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color w:val="0000FF"/>
                      <w:sz w:val="21"/>
                      <w:szCs w:val="21"/>
                      <w:lang w:val="en-US" w:eastAsia="zh-CN"/>
                    </w:rPr>
                    <w:t>2022.08.03</w:t>
                  </w:r>
                </w:p>
              </w:tc>
              <w:tc>
                <w:tcPr>
                  <w:tcW w:w="73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kern w:val="2"/>
                      <w:sz w:val="21"/>
                      <w:szCs w:val="21"/>
                      <w:lang w:val="en-US" w:eastAsia="zh-CN" w:bidi="ar-SA"/>
                    </w:rPr>
                    <w:t>09:31</w:t>
                  </w:r>
                </w:p>
              </w:tc>
              <w:tc>
                <w:tcPr>
                  <w:tcW w:w="17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0.04</w:t>
                  </w:r>
                </w:p>
              </w:tc>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0.10</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0.09</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rPr>
                  </w:pPr>
                </w:p>
              </w:tc>
              <w:tc>
                <w:tcPr>
                  <w:tcW w:w="73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kern w:val="2"/>
                      <w:sz w:val="21"/>
                      <w:szCs w:val="21"/>
                      <w:lang w:val="en-US" w:eastAsia="zh-CN" w:bidi="ar-SA"/>
                    </w:rPr>
                    <w:t>10:44</w:t>
                  </w:r>
                </w:p>
              </w:tc>
              <w:tc>
                <w:tcPr>
                  <w:tcW w:w="17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0.07</w:t>
                  </w:r>
                </w:p>
              </w:tc>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0.15</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kern w:val="2"/>
                      <w:sz w:val="21"/>
                      <w:szCs w:val="21"/>
                      <w:lang w:val="en-US" w:eastAsia="zh-CN" w:bidi="ar-SA"/>
                    </w:rPr>
                  </w:pPr>
                  <w:r>
                    <w:rPr>
                      <w:rFonts w:hint="default" w:ascii="Times New Roman" w:hAnsi="Times New Roman" w:eastAsia="宋体" w:cs="Times New Roman"/>
                      <w:bCs/>
                      <w:color w:val="0000FF"/>
                      <w:kern w:val="2"/>
                      <w:sz w:val="21"/>
                      <w:szCs w:val="21"/>
                      <w:lang w:val="en-US" w:eastAsia="zh-CN" w:bidi="ar-SA"/>
                    </w:rPr>
                    <w:t>0.14</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kern w:val="2"/>
                      <w:sz w:val="21"/>
                      <w:szCs w:val="21"/>
                      <w:lang w:val="en-US" w:eastAsia="zh-CN" w:bidi="ar-SA"/>
                    </w:rPr>
                  </w:pPr>
                  <w:r>
                    <w:rPr>
                      <w:rFonts w:hint="default" w:ascii="Times New Roman" w:hAnsi="Times New Roman" w:eastAsia="宋体" w:cs="Times New Roman"/>
                      <w:bCs/>
                      <w:color w:val="0000FF"/>
                      <w:kern w:val="2"/>
                      <w:sz w:val="21"/>
                      <w:szCs w:val="21"/>
                      <w:lang w:val="en-US" w:eastAsia="zh-CN" w:bidi="ar-SA"/>
                    </w:rPr>
                    <w:t>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rPr>
                  </w:pPr>
                </w:p>
              </w:tc>
              <w:tc>
                <w:tcPr>
                  <w:tcW w:w="73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kern w:val="2"/>
                      <w:sz w:val="21"/>
                      <w:szCs w:val="21"/>
                      <w:lang w:val="en-US" w:eastAsia="zh-CN" w:bidi="ar-SA"/>
                    </w:rPr>
                    <w:t>12:03</w:t>
                  </w:r>
                </w:p>
              </w:tc>
              <w:tc>
                <w:tcPr>
                  <w:tcW w:w="17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0.06</w:t>
                  </w:r>
                </w:p>
              </w:tc>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0.11</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kern w:val="2"/>
                      <w:sz w:val="21"/>
                      <w:szCs w:val="21"/>
                      <w:lang w:val="en-US" w:eastAsia="zh-CN" w:bidi="ar-SA"/>
                    </w:rPr>
                  </w:pPr>
                  <w:r>
                    <w:rPr>
                      <w:rFonts w:hint="default" w:ascii="Times New Roman" w:hAnsi="Times New Roman" w:eastAsia="宋体" w:cs="Times New Roman"/>
                      <w:bCs/>
                      <w:color w:val="0000FF"/>
                      <w:kern w:val="2"/>
                      <w:sz w:val="21"/>
                      <w:szCs w:val="21"/>
                      <w:lang w:val="en-US" w:eastAsia="zh-CN" w:bidi="ar-SA"/>
                    </w:rPr>
                    <w:t>0.12</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kern w:val="2"/>
                      <w:sz w:val="21"/>
                      <w:szCs w:val="21"/>
                      <w:lang w:val="en-US" w:eastAsia="zh-CN" w:bidi="ar-SA"/>
                    </w:rPr>
                  </w:pPr>
                  <w:r>
                    <w:rPr>
                      <w:rFonts w:hint="default" w:ascii="Times New Roman" w:hAnsi="Times New Roman" w:eastAsia="宋体" w:cs="Times New Roman"/>
                      <w:bCs/>
                      <w:color w:val="0000FF"/>
                      <w:kern w:val="2"/>
                      <w:sz w:val="21"/>
                      <w:szCs w:val="21"/>
                      <w:lang w:val="en-US" w:eastAsia="zh-CN" w:bidi="ar-SA"/>
                    </w:rPr>
                    <w:t>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rPr>
                  </w:pPr>
                </w:p>
              </w:tc>
              <w:tc>
                <w:tcPr>
                  <w:tcW w:w="73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kern w:val="2"/>
                      <w:sz w:val="21"/>
                      <w:szCs w:val="21"/>
                      <w:lang w:val="en-US" w:eastAsia="zh-CN" w:bidi="ar-SA"/>
                    </w:rPr>
                    <w:t>14:31</w:t>
                  </w:r>
                </w:p>
              </w:tc>
              <w:tc>
                <w:tcPr>
                  <w:tcW w:w="17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0.05</w:t>
                  </w:r>
                </w:p>
              </w:tc>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0.14</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kern w:val="2"/>
                      <w:sz w:val="21"/>
                      <w:szCs w:val="21"/>
                      <w:lang w:val="en-US" w:eastAsia="zh-CN" w:bidi="ar-SA"/>
                    </w:rPr>
                  </w:pPr>
                  <w:r>
                    <w:rPr>
                      <w:rFonts w:hint="default" w:ascii="Times New Roman" w:hAnsi="Times New Roman" w:eastAsia="宋体" w:cs="Times New Roman"/>
                      <w:bCs/>
                      <w:color w:val="0000FF"/>
                      <w:kern w:val="2"/>
                      <w:sz w:val="21"/>
                      <w:szCs w:val="21"/>
                      <w:lang w:val="en-US" w:eastAsia="zh-CN" w:bidi="ar-SA"/>
                    </w:rPr>
                    <w:t>0.11</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kern w:val="2"/>
                      <w:sz w:val="21"/>
                      <w:szCs w:val="21"/>
                      <w:lang w:val="en-US" w:eastAsia="zh-CN" w:bidi="ar-SA"/>
                    </w:rPr>
                  </w:pPr>
                  <w:r>
                    <w:rPr>
                      <w:rFonts w:hint="default" w:ascii="Times New Roman" w:hAnsi="Times New Roman" w:eastAsia="宋体" w:cs="Times New Roman"/>
                      <w:bCs/>
                      <w:color w:val="0000FF"/>
                      <w:kern w:val="2"/>
                      <w:sz w:val="21"/>
                      <w:szCs w:val="21"/>
                      <w:lang w:val="en-US" w:eastAsia="zh-CN" w:bidi="ar-SA"/>
                    </w:rPr>
                    <w:t>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color w:val="0000FF"/>
                      <w:sz w:val="21"/>
                      <w:szCs w:val="21"/>
                      <w:lang w:val="en-US" w:eastAsia="zh-CN"/>
                    </w:rPr>
                    <w:t>2022.08.04</w:t>
                  </w:r>
                </w:p>
              </w:tc>
              <w:tc>
                <w:tcPr>
                  <w:tcW w:w="73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2"/>
                      <w:sz w:val="21"/>
                      <w:szCs w:val="21"/>
                      <w:lang w:val="en-US" w:eastAsia="zh-CN" w:bidi="ar-SA"/>
                    </w:rPr>
                    <w:t>08:30</w:t>
                  </w:r>
                </w:p>
              </w:tc>
              <w:tc>
                <w:tcPr>
                  <w:tcW w:w="17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0.05</w:t>
                  </w:r>
                </w:p>
              </w:tc>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0.10</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kern w:val="2"/>
                      <w:sz w:val="21"/>
                      <w:szCs w:val="21"/>
                      <w:lang w:val="en-US" w:eastAsia="zh-CN" w:bidi="ar-SA"/>
                    </w:rPr>
                  </w:pPr>
                  <w:r>
                    <w:rPr>
                      <w:rFonts w:hint="default" w:ascii="Times New Roman" w:hAnsi="Times New Roman" w:eastAsia="宋体" w:cs="Times New Roman"/>
                      <w:bCs/>
                      <w:color w:val="0000FF"/>
                      <w:kern w:val="2"/>
                      <w:sz w:val="21"/>
                      <w:szCs w:val="21"/>
                      <w:lang w:val="en-US" w:eastAsia="zh-CN" w:bidi="ar-SA"/>
                    </w:rPr>
                    <w:t>0.11</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kern w:val="2"/>
                      <w:sz w:val="21"/>
                      <w:szCs w:val="21"/>
                      <w:lang w:val="en-US" w:eastAsia="zh-CN" w:bidi="ar-SA"/>
                    </w:rPr>
                  </w:pPr>
                  <w:r>
                    <w:rPr>
                      <w:rFonts w:hint="default" w:ascii="Times New Roman" w:hAnsi="Times New Roman" w:eastAsia="宋体" w:cs="Times New Roman"/>
                      <w:bCs/>
                      <w:color w:val="0000FF"/>
                      <w:kern w:val="2"/>
                      <w:sz w:val="21"/>
                      <w:szCs w:val="21"/>
                      <w:lang w:val="en-US" w:eastAsia="zh-CN" w:bidi="ar-SA"/>
                    </w:rPr>
                    <w:t>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rPr>
                  </w:pPr>
                </w:p>
              </w:tc>
              <w:tc>
                <w:tcPr>
                  <w:tcW w:w="73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2"/>
                      <w:sz w:val="21"/>
                      <w:szCs w:val="21"/>
                      <w:lang w:val="en-US" w:eastAsia="zh-CN" w:bidi="ar-SA"/>
                    </w:rPr>
                    <w:t>09:35</w:t>
                  </w:r>
                </w:p>
              </w:tc>
              <w:tc>
                <w:tcPr>
                  <w:tcW w:w="17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0.07</w:t>
                  </w:r>
                </w:p>
              </w:tc>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0.12</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kern w:val="2"/>
                      <w:sz w:val="21"/>
                      <w:szCs w:val="21"/>
                      <w:lang w:val="en-US" w:eastAsia="zh-CN" w:bidi="ar-SA"/>
                    </w:rPr>
                  </w:pPr>
                  <w:r>
                    <w:rPr>
                      <w:rFonts w:hint="default" w:ascii="Times New Roman" w:hAnsi="Times New Roman" w:eastAsia="宋体" w:cs="Times New Roman"/>
                      <w:bCs/>
                      <w:color w:val="0000FF"/>
                      <w:kern w:val="2"/>
                      <w:sz w:val="21"/>
                      <w:szCs w:val="21"/>
                      <w:lang w:val="en-US" w:eastAsia="zh-CN" w:bidi="ar-SA"/>
                    </w:rPr>
                    <w:t>0.16</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kern w:val="2"/>
                      <w:sz w:val="21"/>
                      <w:szCs w:val="21"/>
                      <w:lang w:val="en-US" w:eastAsia="zh-CN" w:bidi="ar-SA"/>
                    </w:rPr>
                  </w:pPr>
                  <w:r>
                    <w:rPr>
                      <w:rFonts w:hint="default" w:ascii="Times New Roman" w:hAnsi="Times New Roman" w:eastAsia="宋体" w:cs="Times New Roman"/>
                      <w:bCs/>
                      <w:color w:val="0000FF"/>
                      <w:kern w:val="2"/>
                      <w:sz w:val="21"/>
                      <w:szCs w:val="21"/>
                      <w:lang w:val="en-US" w:eastAsia="zh-CN" w:bidi="ar-SA"/>
                    </w:rPr>
                    <w:t>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rPr>
                  </w:pPr>
                </w:p>
              </w:tc>
              <w:tc>
                <w:tcPr>
                  <w:tcW w:w="73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2"/>
                      <w:sz w:val="21"/>
                      <w:szCs w:val="21"/>
                      <w:lang w:val="en-US" w:eastAsia="zh-CN" w:bidi="ar-SA"/>
                    </w:rPr>
                    <w:t>10:40</w:t>
                  </w:r>
                </w:p>
              </w:tc>
              <w:tc>
                <w:tcPr>
                  <w:tcW w:w="17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0.06</w:t>
                  </w:r>
                </w:p>
              </w:tc>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0.14</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kern w:val="2"/>
                      <w:sz w:val="21"/>
                      <w:szCs w:val="21"/>
                      <w:lang w:val="en-US" w:eastAsia="zh-CN" w:bidi="ar-SA"/>
                    </w:rPr>
                  </w:pPr>
                  <w:r>
                    <w:rPr>
                      <w:rFonts w:hint="default" w:ascii="Times New Roman" w:hAnsi="Times New Roman" w:eastAsia="宋体" w:cs="Times New Roman"/>
                      <w:bCs/>
                      <w:color w:val="0000FF"/>
                      <w:kern w:val="2"/>
                      <w:sz w:val="21"/>
                      <w:szCs w:val="21"/>
                      <w:lang w:val="en-US" w:eastAsia="zh-CN" w:bidi="ar-SA"/>
                    </w:rPr>
                    <w:t>0.14</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kern w:val="2"/>
                      <w:sz w:val="21"/>
                      <w:szCs w:val="21"/>
                      <w:lang w:val="en-US" w:eastAsia="zh-CN" w:bidi="ar-SA"/>
                    </w:rPr>
                  </w:pPr>
                  <w:r>
                    <w:rPr>
                      <w:rFonts w:hint="default" w:ascii="Times New Roman" w:hAnsi="Times New Roman" w:eastAsia="宋体" w:cs="Times New Roman"/>
                      <w:bCs/>
                      <w:color w:val="0000FF"/>
                      <w:kern w:val="2"/>
                      <w:sz w:val="21"/>
                      <w:szCs w:val="21"/>
                      <w:lang w:val="en-US" w:eastAsia="zh-CN" w:bidi="ar-SA"/>
                    </w:rPr>
                    <w:t>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rPr>
                  </w:pPr>
                </w:p>
              </w:tc>
              <w:tc>
                <w:tcPr>
                  <w:tcW w:w="73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2"/>
                      <w:sz w:val="21"/>
                      <w:szCs w:val="21"/>
                      <w:lang w:val="en-US" w:eastAsia="zh-CN" w:bidi="ar-SA"/>
                    </w:rPr>
                    <w:t>14:25</w:t>
                  </w:r>
                </w:p>
              </w:tc>
              <w:tc>
                <w:tcPr>
                  <w:tcW w:w="17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0.04</w:t>
                  </w:r>
                </w:p>
              </w:tc>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0.08</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kern w:val="2"/>
                      <w:sz w:val="21"/>
                      <w:szCs w:val="21"/>
                      <w:lang w:val="en-US" w:eastAsia="zh-CN" w:bidi="ar-SA"/>
                    </w:rPr>
                  </w:pPr>
                  <w:r>
                    <w:rPr>
                      <w:rFonts w:hint="default" w:ascii="Times New Roman" w:hAnsi="Times New Roman" w:eastAsia="宋体" w:cs="Times New Roman"/>
                      <w:bCs/>
                      <w:color w:val="0000FF"/>
                      <w:kern w:val="2"/>
                      <w:sz w:val="21"/>
                      <w:szCs w:val="21"/>
                      <w:lang w:val="en-US" w:eastAsia="zh-CN" w:bidi="ar-SA"/>
                    </w:rPr>
                    <w:t>0.14</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kern w:val="2"/>
                      <w:sz w:val="21"/>
                      <w:szCs w:val="21"/>
                      <w:lang w:val="en-US" w:eastAsia="zh-CN" w:bidi="ar-SA"/>
                    </w:rPr>
                  </w:pPr>
                  <w:r>
                    <w:rPr>
                      <w:rFonts w:hint="default" w:ascii="Times New Roman" w:hAnsi="Times New Roman" w:eastAsia="宋体" w:cs="Times New Roman"/>
                      <w:bCs/>
                      <w:color w:val="0000FF"/>
                      <w:kern w:val="2"/>
                      <w:sz w:val="21"/>
                      <w:szCs w:val="21"/>
                      <w:lang w:val="en-US" w:eastAsia="zh-CN" w:bidi="ar-SA"/>
                    </w:rPr>
                    <w:t>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采样日期</w:t>
                  </w:r>
                </w:p>
              </w:tc>
              <w:tc>
                <w:tcPr>
                  <w:tcW w:w="73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采样</w:t>
                  </w:r>
                </w:p>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时间</w:t>
                  </w:r>
                </w:p>
              </w:tc>
              <w:tc>
                <w:tcPr>
                  <w:tcW w:w="6887" w:type="dxa"/>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 w:val="0"/>
                      <w:bCs w:val="0"/>
                      <w:color w:val="0000FF"/>
                      <w:kern w:val="2"/>
                      <w:sz w:val="21"/>
                      <w:szCs w:val="21"/>
                      <w:highlight w:val="none"/>
                      <w:lang w:val="en-US" w:eastAsia="zh-CN" w:bidi="ar-SA"/>
                    </w:rPr>
                    <w:t>硫化氢</w:t>
                  </w:r>
                  <w:r>
                    <w:rPr>
                      <w:rFonts w:hint="default" w:ascii="Times New Roman" w:hAnsi="Times New Roman" w:eastAsia="宋体" w:cs="Times New Roman"/>
                      <w:color w:val="0000FF"/>
                      <w:sz w:val="21"/>
                      <w:szCs w:val="21"/>
                      <w:lang w:val="en-US" w:eastAsia="zh-CN"/>
                    </w:rPr>
                    <w:t>（mg/m</w:t>
                  </w:r>
                  <w:r>
                    <w:rPr>
                      <w:rFonts w:hint="default" w:ascii="Times New Roman" w:hAnsi="Times New Roman" w:eastAsia="宋体" w:cs="Times New Roman"/>
                      <w:color w:val="0000FF"/>
                      <w:sz w:val="21"/>
                      <w:szCs w:val="21"/>
                      <w:vertAlign w:val="superscript"/>
                      <w:lang w:val="en-US" w:eastAsia="zh-CN"/>
                    </w:rPr>
                    <w:t>3</w:t>
                  </w:r>
                  <w:r>
                    <w:rPr>
                      <w:rFonts w:hint="default" w:ascii="Times New Roman" w:hAnsi="Times New Roman" w:eastAsia="宋体" w:cs="Times New Roman"/>
                      <w:color w:val="0000FF"/>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0000FF"/>
                      <w:sz w:val="21"/>
                      <w:szCs w:val="21"/>
                    </w:rPr>
                  </w:pPr>
                </w:p>
              </w:tc>
              <w:tc>
                <w:tcPr>
                  <w:tcW w:w="73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color w:val="0000FF"/>
                      <w:sz w:val="21"/>
                      <w:szCs w:val="21"/>
                    </w:rPr>
                  </w:pPr>
                </w:p>
              </w:tc>
              <w:tc>
                <w:tcPr>
                  <w:tcW w:w="17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b w:val="0"/>
                      <w:bCs w:val="0"/>
                      <w:snapToGrid w:val="0"/>
                      <w:color w:val="0000FF"/>
                      <w:kern w:val="2"/>
                      <w:sz w:val="21"/>
                      <w:szCs w:val="21"/>
                    </w:rPr>
                    <w:t>厂界上风向</w:t>
                  </w:r>
                  <w:r>
                    <w:rPr>
                      <w:rFonts w:hint="default" w:ascii="Times New Roman" w:hAnsi="Times New Roman" w:eastAsia="宋体" w:cs="Times New Roman"/>
                      <w:b w:val="0"/>
                      <w:bCs w:val="0"/>
                      <w:snapToGrid w:val="0"/>
                      <w:color w:val="0000FF"/>
                      <w:kern w:val="2"/>
                      <w:sz w:val="21"/>
                      <w:szCs w:val="21"/>
                      <w:lang w:eastAsia="zh-CN"/>
                    </w:rPr>
                    <w:t>（</w:t>
                  </w:r>
                  <w:r>
                    <w:rPr>
                      <w:rFonts w:hint="default" w:ascii="Times New Roman" w:hAnsi="Times New Roman" w:eastAsia="宋体" w:cs="Times New Roman"/>
                      <w:b w:val="0"/>
                      <w:bCs w:val="0"/>
                      <w:snapToGrid w:val="0"/>
                      <w:color w:val="0000FF"/>
                      <w:kern w:val="2"/>
                      <w:sz w:val="21"/>
                      <w:szCs w:val="21"/>
                      <w:lang w:val="en-US" w:eastAsia="zh-CN"/>
                    </w:rPr>
                    <w:t>1#</w:t>
                  </w:r>
                  <w:r>
                    <w:rPr>
                      <w:rFonts w:hint="default" w:ascii="Times New Roman" w:hAnsi="Times New Roman" w:eastAsia="宋体" w:cs="Times New Roman"/>
                      <w:b w:val="0"/>
                      <w:bCs w:val="0"/>
                      <w:snapToGrid w:val="0"/>
                      <w:color w:val="0000FF"/>
                      <w:kern w:val="2"/>
                      <w:sz w:val="21"/>
                      <w:szCs w:val="21"/>
                      <w:lang w:eastAsia="zh-CN"/>
                    </w:rPr>
                    <w:t>）</w:t>
                  </w:r>
                </w:p>
              </w:tc>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lang w:eastAsia="zh-CN"/>
                    </w:rPr>
                    <w:t>厂界下风向（</w:t>
                  </w:r>
                  <w:r>
                    <w:rPr>
                      <w:rFonts w:hint="default" w:ascii="Times New Roman" w:hAnsi="Times New Roman" w:eastAsia="宋体" w:cs="Times New Roman"/>
                      <w:color w:val="0000FF"/>
                      <w:sz w:val="21"/>
                      <w:szCs w:val="21"/>
                      <w:lang w:val="en-US" w:eastAsia="zh-CN"/>
                    </w:rPr>
                    <w:t>2#</w:t>
                  </w:r>
                  <w:r>
                    <w:rPr>
                      <w:rFonts w:hint="default" w:ascii="Times New Roman" w:hAnsi="Times New Roman" w:eastAsia="宋体" w:cs="Times New Roman"/>
                      <w:color w:val="0000FF"/>
                      <w:sz w:val="21"/>
                      <w:szCs w:val="21"/>
                      <w:lang w:eastAsia="zh-CN"/>
                    </w:rPr>
                    <w:t>）</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lang w:eastAsia="zh-CN"/>
                    </w:rPr>
                    <w:t>厂界下风向（</w:t>
                  </w:r>
                  <w:r>
                    <w:rPr>
                      <w:rFonts w:hint="default" w:ascii="Times New Roman" w:hAnsi="Times New Roman" w:eastAsia="宋体" w:cs="Times New Roman"/>
                      <w:color w:val="0000FF"/>
                      <w:sz w:val="21"/>
                      <w:szCs w:val="21"/>
                      <w:lang w:val="en-US" w:eastAsia="zh-CN"/>
                    </w:rPr>
                    <w:t>3#</w:t>
                  </w:r>
                  <w:r>
                    <w:rPr>
                      <w:rFonts w:hint="default" w:ascii="Times New Roman" w:hAnsi="Times New Roman" w:eastAsia="宋体" w:cs="Times New Roman"/>
                      <w:color w:val="0000FF"/>
                      <w:sz w:val="21"/>
                      <w:szCs w:val="21"/>
                      <w:lang w:eastAsia="zh-CN"/>
                    </w:rPr>
                    <w:t>）</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lang w:eastAsia="zh-CN"/>
                    </w:rPr>
                    <w:t>厂界下风向（</w:t>
                  </w:r>
                  <w:r>
                    <w:rPr>
                      <w:rFonts w:hint="default" w:ascii="Times New Roman" w:hAnsi="Times New Roman" w:eastAsia="宋体" w:cs="Times New Roman"/>
                      <w:color w:val="0000FF"/>
                      <w:sz w:val="21"/>
                      <w:szCs w:val="21"/>
                      <w:lang w:val="en-US" w:eastAsia="zh-CN"/>
                    </w:rPr>
                    <w:t>4#</w:t>
                  </w:r>
                  <w:r>
                    <w:rPr>
                      <w:rFonts w:hint="default" w:ascii="Times New Roman" w:hAnsi="Times New Roman" w:eastAsia="宋体" w:cs="Times New Roman"/>
                      <w:color w:val="0000FF"/>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color w:val="0000FF"/>
                      <w:sz w:val="21"/>
                      <w:szCs w:val="21"/>
                      <w:lang w:val="en-US" w:eastAsia="zh-CN"/>
                    </w:rPr>
                    <w:t>2022.08.03</w:t>
                  </w:r>
                </w:p>
              </w:tc>
              <w:tc>
                <w:tcPr>
                  <w:tcW w:w="73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lang w:val="en-US"/>
                    </w:rPr>
                  </w:pPr>
                  <w:r>
                    <w:rPr>
                      <w:rFonts w:hint="default" w:ascii="Times New Roman" w:hAnsi="Times New Roman" w:eastAsia="宋体" w:cs="Times New Roman"/>
                      <w:color w:val="0000FF"/>
                      <w:kern w:val="2"/>
                      <w:sz w:val="21"/>
                      <w:szCs w:val="21"/>
                      <w:lang w:val="en-US" w:eastAsia="zh-CN" w:bidi="ar-SA"/>
                    </w:rPr>
                    <w:t>09:31</w:t>
                  </w:r>
                </w:p>
              </w:tc>
              <w:tc>
                <w:tcPr>
                  <w:tcW w:w="17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0.003</w:t>
                  </w:r>
                </w:p>
              </w:tc>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0.006</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0.007</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rPr>
                  </w:pPr>
                </w:p>
              </w:tc>
              <w:tc>
                <w:tcPr>
                  <w:tcW w:w="73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2"/>
                      <w:sz w:val="21"/>
                      <w:szCs w:val="21"/>
                      <w:lang w:val="en-US" w:eastAsia="zh-CN" w:bidi="ar-SA"/>
                    </w:rPr>
                    <w:t>10:44</w:t>
                  </w:r>
                </w:p>
              </w:tc>
              <w:tc>
                <w:tcPr>
                  <w:tcW w:w="17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0.002</w:t>
                  </w:r>
                </w:p>
              </w:tc>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0.005</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0.009</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rPr>
                  </w:pPr>
                </w:p>
              </w:tc>
              <w:tc>
                <w:tcPr>
                  <w:tcW w:w="73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kern w:val="2"/>
                      <w:sz w:val="21"/>
                      <w:szCs w:val="21"/>
                      <w:lang w:val="en-US" w:eastAsia="zh-CN" w:bidi="ar-SA"/>
                    </w:rPr>
                    <w:t>12:03</w:t>
                  </w:r>
                </w:p>
              </w:tc>
              <w:tc>
                <w:tcPr>
                  <w:tcW w:w="17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0.004</w:t>
                  </w:r>
                </w:p>
              </w:tc>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0.007</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0.010</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rPr>
                  </w:pPr>
                </w:p>
              </w:tc>
              <w:tc>
                <w:tcPr>
                  <w:tcW w:w="73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2"/>
                      <w:sz w:val="21"/>
                      <w:szCs w:val="21"/>
                      <w:lang w:val="en-US" w:eastAsia="zh-CN" w:bidi="ar-SA"/>
                    </w:rPr>
                    <w:t>14:31</w:t>
                  </w:r>
                </w:p>
              </w:tc>
              <w:tc>
                <w:tcPr>
                  <w:tcW w:w="17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0.003</w:t>
                  </w:r>
                </w:p>
              </w:tc>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0.008</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0.012</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color w:val="0000FF"/>
                      <w:sz w:val="21"/>
                      <w:szCs w:val="21"/>
                      <w:lang w:val="en-US" w:eastAsia="zh-CN"/>
                    </w:rPr>
                    <w:t>2022.08.04</w:t>
                  </w:r>
                </w:p>
              </w:tc>
              <w:tc>
                <w:tcPr>
                  <w:tcW w:w="73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2"/>
                      <w:sz w:val="21"/>
                      <w:szCs w:val="21"/>
                      <w:lang w:val="en-US" w:eastAsia="zh-CN" w:bidi="ar-SA"/>
                    </w:rPr>
                    <w:t>08:30</w:t>
                  </w:r>
                </w:p>
              </w:tc>
              <w:tc>
                <w:tcPr>
                  <w:tcW w:w="17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0.006</w:t>
                  </w:r>
                </w:p>
              </w:tc>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0.007</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0.011</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rPr>
                  </w:pPr>
                </w:p>
              </w:tc>
              <w:tc>
                <w:tcPr>
                  <w:tcW w:w="73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2"/>
                      <w:sz w:val="21"/>
                      <w:szCs w:val="21"/>
                      <w:lang w:val="en-US" w:eastAsia="zh-CN" w:bidi="ar-SA"/>
                    </w:rPr>
                    <w:t>09:35</w:t>
                  </w:r>
                </w:p>
              </w:tc>
              <w:tc>
                <w:tcPr>
                  <w:tcW w:w="17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0.004</w:t>
                  </w:r>
                </w:p>
              </w:tc>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0.008</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0.010</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rPr>
                  </w:pPr>
                </w:p>
              </w:tc>
              <w:tc>
                <w:tcPr>
                  <w:tcW w:w="73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2"/>
                      <w:sz w:val="21"/>
                      <w:szCs w:val="21"/>
                      <w:lang w:val="en-US" w:eastAsia="zh-CN" w:bidi="ar-SA"/>
                    </w:rPr>
                    <w:t>10:40</w:t>
                  </w:r>
                </w:p>
              </w:tc>
              <w:tc>
                <w:tcPr>
                  <w:tcW w:w="17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0.003</w:t>
                  </w:r>
                </w:p>
              </w:tc>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0.009</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0.009</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rPr>
                  </w:pPr>
                </w:p>
              </w:tc>
              <w:tc>
                <w:tcPr>
                  <w:tcW w:w="73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lang w:val="en-US"/>
                    </w:rPr>
                  </w:pPr>
                  <w:r>
                    <w:rPr>
                      <w:rFonts w:hint="default" w:ascii="Times New Roman" w:hAnsi="Times New Roman" w:eastAsia="宋体" w:cs="Times New Roman"/>
                      <w:color w:val="0000FF"/>
                      <w:kern w:val="2"/>
                      <w:sz w:val="21"/>
                      <w:szCs w:val="21"/>
                      <w:lang w:val="en-US" w:eastAsia="zh-CN" w:bidi="ar-SA"/>
                    </w:rPr>
                    <w:t>14:25</w:t>
                  </w:r>
                </w:p>
              </w:tc>
              <w:tc>
                <w:tcPr>
                  <w:tcW w:w="17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0.005</w:t>
                  </w:r>
                </w:p>
              </w:tc>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0.008</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0.013</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采样日期</w:t>
                  </w:r>
                </w:p>
              </w:tc>
              <w:tc>
                <w:tcPr>
                  <w:tcW w:w="73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采样</w:t>
                  </w:r>
                </w:p>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Cs/>
                      <w:color w:val="0000FF"/>
                      <w:sz w:val="21"/>
                      <w:szCs w:val="21"/>
                    </w:rPr>
                    <w:t>时间</w:t>
                  </w:r>
                </w:p>
              </w:tc>
              <w:tc>
                <w:tcPr>
                  <w:tcW w:w="6887" w:type="dxa"/>
                  <w:gridSpan w:val="4"/>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b w:val="0"/>
                      <w:bCs w:val="0"/>
                      <w:color w:val="0000FF"/>
                      <w:kern w:val="2"/>
                      <w:sz w:val="21"/>
                      <w:szCs w:val="21"/>
                      <w:highlight w:val="none"/>
                      <w:lang w:val="en-US" w:eastAsia="zh-CN" w:bidi="ar-SA"/>
                    </w:rPr>
                    <w:t>氯化氢</w:t>
                  </w:r>
                  <w:r>
                    <w:rPr>
                      <w:rFonts w:hint="default" w:ascii="Times New Roman" w:hAnsi="Times New Roman" w:eastAsia="宋体" w:cs="Times New Roman"/>
                      <w:color w:val="0000FF"/>
                      <w:sz w:val="21"/>
                      <w:szCs w:val="21"/>
                      <w:lang w:val="en-US" w:eastAsia="zh-CN"/>
                    </w:rPr>
                    <w:t>（mg/m</w:t>
                  </w:r>
                  <w:r>
                    <w:rPr>
                      <w:rFonts w:hint="default" w:ascii="Times New Roman" w:hAnsi="Times New Roman" w:eastAsia="宋体" w:cs="Times New Roman"/>
                      <w:color w:val="0000FF"/>
                      <w:sz w:val="21"/>
                      <w:szCs w:val="21"/>
                      <w:vertAlign w:val="superscript"/>
                      <w:lang w:val="en-US" w:eastAsia="zh-CN"/>
                    </w:rPr>
                    <w:t>3</w:t>
                  </w:r>
                  <w:r>
                    <w:rPr>
                      <w:rFonts w:hint="default" w:ascii="Times New Roman" w:hAnsi="Times New Roman" w:eastAsia="宋体" w:cs="Times New Roman"/>
                      <w:color w:val="0000FF"/>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rPr>
                  </w:pPr>
                </w:p>
              </w:tc>
              <w:tc>
                <w:tcPr>
                  <w:tcW w:w="73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rPr>
                  </w:pPr>
                </w:p>
              </w:tc>
              <w:tc>
                <w:tcPr>
                  <w:tcW w:w="17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b w:val="0"/>
                      <w:bCs w:val="0"/>
                      <w:snapToGrid w:val="0"/>
                      <w:color w:val="0000FF"/>
                      <w:kern w:val="2"/>
                      <w:sz w:val="21"/>
                      <w:szCs w:val="21"/>
                    </w:rPr>
                    <w:t>厂界上风向</w:t>
                  </w:r>
                  <w:r>
                    <w:rPr>
                      <w:rFonts w:hint="default" w:ascii="Times New Roman" w:hAnsi="Times New Roman" w:eastAsia="宋体" w:cs="Times New Roman"/>
                      <w:b w:val="0"/>
                      <w:bCs w:val="0"/>
                      <w:snapToGrid w:val="0"/>
                      <w:color w:val="0000FF"/>
                      <w:kern w:val="2"/>
                      <w:sz w:val="21"/>
                      <w:szCs w:val="21"/>
                      <w:lang w:eastAsia="zh-CN"/>
                    </w:rPr>
                    <w:t>（</w:t>
                  </w:r>
                  <w:r>
                    <w:rPr>
                      <w:rFonts w:hint="default" w:ascii="Times New Roman" w:hAnsi="Times New Roman" w:eastAsia="宋体" w:cs="Times New Roman"/>
                      <w:b w:val="0"/>
                      <w:bCs w:val="0"/>
                      <w:snapToGrid w:val="0"/>
                      <w:color w:val="0000FF"/>
                      <w:kern w:val="2"/>
                      <w:sz w:val="21"/>
                      <w:szCs w:val="21"/>
                      <w:lang w:val="en-US" w:eastAsia="zh-CN"/>
                    </w:rPr>
                    <w:t>1#</w:t>
                  </w:r>
                  <w:r>
                    <w:rPr>
                      <w:rFonts w:hint="default" w:ascii="Times New Roman" w:hAnsi="Times New Roman" w:eastAsia="宋体" w:cs="Times New Roman"/>
                      <w:b w:val="0"/>
                      <w:bCs w:val="0"/>
                      <w:snapToGrid w:val="0"/>
                      <w:color w:val="0000FF"/>
                      <w:kern w:val="2"/>
                      <w:sz w:val="21"/>
                      <w:szCs w:val="21"/>
                      <w:lang w:eastAsia="zh-CN"/>
                    </w:rPr>
                    <w:t>）</w:t>
                  </w:r>
                </w:p>
              </w:tc>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lang w:eastAsia="zh-CN"/>
                    </w:rPr>
                    <w:t>厂界下风向（</w:t>
                  </w:r>
                  <w:r>
                    <w:rPr>
                      <w:rFonts w:hint="default" w:ascii="Times New Roman" w:hAnsi="Times New Roman" w:eastAsia="宋体" w:cs="Times New Roman"/>
                      <w:color w:val="0000FF"/>
                      <w:sz w:val="21"/>
                      <w:szCs w:val="21"/>
                      <w:lang w:val="en-US" w:eastAsia="zh-CN"/>
                    </w:rPr>
                    <w:t>2#</w:t>
                  </w:r>
                  <w:r>
                    <w:rPr>
                      <w:rFonts w:hint="default" w:ascii="Times New Roman" w:hAnsi="Times New Roman" w:eastAsia="宋体" w:cs="Times New Roman"/>
                      <w:color w:val="0000FF"/>
                      <w:sz w:val="21"/>
                      <w:szCs w:val="21"/>
                      <w:lang w:eastAsia="zh-CN"/>
                    </w:rPr>
                    <w:t>）</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lang w:eastAsia="zh-CN"/>
                    </w:rPr>
                    <w:t>厂界下风向（</w:t>
                  </w:r>
                  <w:r>
                    <w:rPr>
                      <w:rFonts w:hint="default" w:ascii="Times New Roman" w:hAnsi="Times New Roman" w:eastAsia="宋体" w:cs="Times New Roman"/>
                      <w:color w:val="0000FF"/>
                      <w:sz w:val="21"/>
                      <w:szCs w:val="21"/>
                      <w:lang w:val="en-US" w:eastAsia="zh-CN"/>
                    </w:rPr>
                    <w:t>3#</w:t>
                  </w:r>
                  <w:r>
                    <w:rPr>
                      <w:rFonts w:hint="default" w:ascii="Times New Roman" w:hAnsi="Times New Roman" w:eastAsia="宋体" w:cs="Times New Roman"/>
                      <w:color w:val="0000FF"/>
                      <w:sz w:val="21"/>
                      <w:szCs w:val="21"/>
                      <w:lang w:eastAsia="zh-CN"/>
                    </w:rPr>
                    <w:t>）</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lang w:eastAsia="zh-CN"/>
                    </w:rPr>
                    <w:t>厂界下风向（</w:t>
                  </w:r>
                  <w:r>
                    <w:rPr>
                      <w:rFonts w:hint="default" w:ascii="Times New Roman" w:hAnsi="Times New Roman" w:eastAsia="宋体" w:cs="Times New Roman"/>
                      <w:color w:val="0000FF"/>
                      <w:sz w:val="21"/>
                      <w:szCs w:val="21"/>
                      <w:lang w:val="en-US" w:eastAsia="zh-CN"/>
                    </w:rPr>
                    <w:t>4#</w:t>
                  </w:r>
                  <w:r>
                    <w:rPr>
                      <w:rFonts w:hint="default" w:ascii="Times New Roman" w:hAnsi="Times New Roman" w:eastAsia="宋体" w:cs="Times New Roman"/>
                      <w:color w:val="0000FF"/>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color w:val="0000FF"/>
                      <w:sz w:val="21"/>
                      <w:szCs w:val="21"/>
                      <w:lang w:val="en-US" w:eastAsia="zh-CN"/>
                    </w:rPr>
                    <w:t>2022.08.03</w:t>
                  </w:r>
                </w:p>
              </w:tc>
              <w:tc>
                <w:tcPr>
                  <w:tcW w:w="73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kern w:val="2"/>
                      <w:sz w:val="21"/>
                      <w:szCs w:val="21"/>
                      <w:lang w:val="en-US" w:eastAsia="zh-CN" w:bidi="ar-SA"/>
                    </w:rPr>
                    <w:t>09:31</w:t>
                  </w:r>
                </w:p>
              </w:tc>
              <w:tc>
                <w:tcPr>
                  <w:tcW w:w="17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0.024</w:t>
                  </w:r>
                </w:p>
              </w:tc>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0.034</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0.036</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rPr>
                  </w:pPr>
                </w:p>
              </w:tc>
              <w:tc>
                <w:tcPr>
                  <w:tcW w:w="73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kern w:val="2"/>
                      <w:sz w:val="21"/>
                      <w:szCs w:val="21"/>
                      <w:lang w:val="en-US" w:eastAsia="zh-CN" w:bidi="ar-SA"/>
                    </w:rPr>
                    <w:t>10:44</w:t>
                  </w:r>
                </w:p>
              </w:tc>
              <w:tc>
                <w:tcPr>
                  <w:tcW w:w="17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0.023</w:t>
                  </w:r>
                </w:p>
              </w:tc>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0.028</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kern w:val="2"/>
                      <w:sz w:val="21"/>
                      <w:szCs w:val="21"/>
                      <w:lang w:val="en-US" w:eastAsia="zh-CN" w:bidi="ar-SA"/>
                    </w:rPr>
                  </w:pPr>
                  <w:r>
                    <w:rPr>
                      <w:rFonts w:hint="default" w:ascii="Times New Roman" w:hAnsi="Times New Roman" w:eastAsia="宋体" w:cs="Times New Roman"/>
                      <w:bCs/>
                      <w:color w:val="0000FF"/>
                      <w:kern w:val="2"/>
                      <w:sz w:val="21"/>
                      <w:szCs w:val="21"/>
                      <w:lang w:val="en-US" w:eastAsia="zh-CN" w:bidi="ar-SA"/>
                    </w:rPr>
                    <w:t>0.039</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kern w:val="2"/>
                      <w:sz w:val="21"/>
                      <w:szCs w:val="21"/>
                      <w:lang w:val="en-US" w:eastAsia="zh-CN" w:bidi="ar-SA"/>
                    </w:rPr>
                  </w:pPr>
                  <w:r>
                    <w:rPr>
                      <w:rFonts w:hint="default" w:ascii="Times New Roman" w:hAnsi="Times New Roman" w:eastAsia="宋体" w:cs="Times New Roman"/>
                      <w:bCs/>
                      <w:color w:val="0000FF"/>
                      <w:kern w:val="2"/>
                      <w:sz w:val="21"/>
                      <w:szCs w:val="21"/>
                      <w:lang w:val="en-US" w:eastAsia="zh-CN" w:bidi="ar-SA"/>
                    </w:rPr>
                    <w:t>0.040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rPr>
                  </w:pPr>
                </w:p>
              </w:tc>
              <w:tc>
                <w:tcPr>
                  <w:tcW w:w="73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kern w:val="2"/>
                      <w:sz w:val="21"/>
                      <w:szCs w:val="21"/>
                      <w:lang w:val="en-US" w:eastAsia="zh-CN" w:bidi="ar-SA"/>
                    </w:rPr>
                    <w:t>12:03</w:t>
                  </w:r>
                </w:p>
              </w:tc>
              <w:tc>
                <w:tcPr>
                  <w:tcW w:w="17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0.027</w:t>
                  </w:r>
                </w:p>
              </w:tc>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0.031</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kern w:val="2"/>
                      <w:sz w:val="21"/>
                      <w:szCs w:val="21"/>
                      <w:lang w:val="en-US" w:eastAsia="zh-CN" w:bidi="ar-SA"/>
                    </w:rPr>
                  </w:pPr>
                  <w:r>
                    <w:rPr>
                      <w:rFonts w:hint="default" w:ascii="Times New Roman" w:hAnsi="Times New Roman" w:eastAsia="宋体" w:cs="Times New Roman"/>
                      <w:bCs/>
                      <w:color w:val="0000FF"/>
                      <w:kern w:val="2"/>
                      <w:sz w:val="21"/>
                      <w:szCs w:val="21"/>
                      <w:lang w:val="en-US" w:eastAsia="zh-CN" w:bidi="ar-SA"/>
                    </w:rPr>
                    <w:t>0.037</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kern w:val="2"/>
                      <w:sz w:val="21"/>
                      <w:szCs w:val="21"/>
                      <w:lang w:val="en-US" w:eastAsia="zh-CN" w:bidi="ar-SA"/>
                    </w:rPr>
                  </w:pPr>
                  <w:r>
                    <w:rPr>
                      <w:rFonts w:hint="default" w:ascii="Times New Roman" w:hAnsi="Times New Roman" w:eastAsia="宋体" w:cs="Times New Roman"/>
                      <w:bCs/>
                      <w:color w:val="0000FF"/>
                      <w:kern w:val="2"/>
                      <w:sz w:val="21"/>
                      <w:szCs w:val="21"/>
                      <w:lang w:val="en-US" w:eastAsia="zh-CN" w:bidi="ar-SA"/>
                    </w:rPr>
                    <w:t>0.036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rPr>
                  </w:pPr>
                </w:p>
              </w:tc>
              <w:tc>
                <w:tcPr>
                  <w:tcW w:w="73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kern w:val="2"/>
                      <w:sz w:val="21"/>
                      <w:szCs w:val="21"/>
                      <w:lang w:val="en-US" w:eastAsia="zh-CN" w:bidi="ar-SA"/>
                    </w:rPr>
                    <w:t>14:31</w:t>
                  </w:r>
                </w:p>
              </w:tc>
              <w:tc>
                <w:tcPr>
                  <w:tcW w:w="17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0.024</w:t>
                  </w:r>
                </w:p>
              </w:tc>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0.030</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kern w:val="2"/>
                      <w:sz w:val="21"/>
                      <w:szCs w:val="21"/>
                      <w:lang w:val="en-US" w:eastAsia="zh-CN" w:bidi="ar-SA"/>
                    </w:rPr>
                  </w:pPr>
                  <w:r>
                    <w:rPr>
                      <w:rFonts w:hint="default" w:ascii="Times New Roman" w:hAnsi="Times New Roman" w:eastAsia="宋体" w:cs="Times New Roman"/>
                      <w:bCs/>
                      <w:color w:val="0000FF"/>
                      <w:kern w:val="2"/>
                      <w:sz w:val="21"/>
                      <w:szCs w:val="21"/>
                      <w:lang w:val="en-US" w:eastAsia="zh-CN" w:bidi="ar-SA"/>
                    </w:rPr>
                    <w:t>0.035</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kern w:val="2"/>
                      <w:sz w:val="21"/>
                      <w:szCs w:val="21"/>
                      <w:lang w:val="en-US" w:eastAsia="zh-CN" w:bidi="ar-SA"/>
                    </w:rPr>
                  </w:pPr>
                  <w:r>
                    <w:rPr>
                      <w:rFonts w:hint="default" w:ascii="Times New Roman" w:hAnsi="Times New Roman" w:eastAsia="宋体" w:cs="Times New Roman"/>
                      <w:bCs/>
                      <w:color w:val="0000FF"/>
                      <w:kern w:val="2"/>
                      <w:sz w:val="21"/>
                      <w:szCs w:val="21"/>
                      <w:lang w:val="en-US" w:eastAsia="zh-CN" w:bidi="ar-SA"/>
                    </w:rPr>
                    <w:t>0.037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rPr>
                  </w:pPr>
                  <w:r>
                    <w:rPr>
                      <w:rFonts w:hint="default" w:ascii="Times New Roman" w:hAnsi="Times New Roman" w:eastAsia="宋体" w:cs="Times New Roman"/>
                      <w:color w:val="0000FF"/>
                      <w:sz w:val="21"/>
                      <w:szCs w:val="21"/>
                      <w:lang w:val="en-US" w:eastAsia="zh-CN"/>
                    </w:rPr>
                    <w:t>2022.08.04</w:t>
                  </w:r>
                </w:p>
              </w:tc>
              <w:tc>
                <w:tcPr>
                  <w:tcW w:w="73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2"/>
                      <w:sz w:val="21"/>
                      <w:szCs w:val="21"/>
                      <w:lang w:val="en-US" w:eastAsia="zh-CN" w:bidi="ar-SA"/>
                    </w:rPr>
                    <w:t>08:30</w:t>
                  </w:r>
                </w:p>
              </w:tc>
              <w:tc>
                <w:tcPr>
                  <w:tcW w:w="17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0.026</w:t>
                  </w:r>
                </w:p>
              </w:tc>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0.032</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kern w:val="2"/>
                      <w:sz w:val="21"/>
                      <w:szCs w:val="21"/>
                      <w:lang w:val="en-US" w:eastAsia="zh-CN" w:bidi="ar-SA"/>
                    </w:rPr>
                  </w:pPr>
                  <w:r>
                    <w:rPr>
                      <w:rFonts w:hint="default" w:ascii="Times New Roman" w:hAnsi="Times New Roman" w:eastAsia="宋体" w:cs="Times New Roman"/>
                      <w:bCs/>
                      <w:color w:val="0000FF"/>
                      <w:kern w:val="2"/>
                      <w:sz w:val="21"/>
                      <w:szCs w:val="21"/>
                      <w:lang w:val="en-US" w:eastAsia="zh-CN" w:bidi="ar-SA"/>
                    </w:rPr>
                    <w:t>0.037</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kern w:val="2"/>
                      <w:sz w:val="21"/>
                      <w:szCs w:val="21"/>
                      <w:lang w:val="en-US" w:eastAsia="zh-CN" w:bidi="ar-SA"/>
                    </w:rPr>
                  </w:pPr>
                  <w:r>
                    <w:rPr>
                      <w:rFonts w:hint="default" w:ascii="Times New Roman" w:hAnsi="Times New Roman" w:eastAsia="宋体" w:cs="Times New Roman"/>
                      <w:bCs/>
                      <w:color w:val="0000FF"/>
                      <w:kern w:val="2"/>
                      <w:sz w:val="21"/>
                      <w:szCs w:val="21"/>
                      <w:lang w:val="en-US" w:eastAsia="zh-CN" w:bidi="ar-SA"/>
                    </w:rPr>
                    <w:t>0.034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rPr>
                  </w:pPr>
                </w:p>
              </w:tc>
              <w:tc>
                <w:tcPr>
                  <w:tcW w:w="73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2"/>
                      <w:sz w:val="21"/>
                      <w:szCs w:val="21"/>
                      <w:lang w:val="en-US" w:eastAsia="zh-CN" w:bidi="ar-SA"/>
                    </w:rPr>
                    <w:t>09:35</w:t>
                  </w:r>
                </w:p>
              </w:tc>
              <w:tc>
                <w:tcPr>
                  <w:tcW w:w="17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0.025</w:t>
                  </w:r>
                </w:p>
              </w:tc>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0.030</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kern w:val="2"/>
                      <w:sz w:val="21"/>
                      <w:szCs w:val="21"/>
                      <w:lang w:val="en-US" w:eastAsia="zh-CN" w:bidi="ar-SA"/>
                    </w:rPr>
                  </w:pPr>
                  <w:r>
                    <w:rPr>
                      <w:rFonts w:hint="default" w:ascii="Times New Roman" w:hAnsi="Times New Roman" w:eastAsia="宋体" w:cs="Times New Roman"/>
                      <w:bCs/>
                      <w:color w:val="0000FF"/>
                      <w:kern w:val="2"/>
                      <w:sz w:val="21"/>
                      <w:szCs w:val="21"/>
                      <w:lang w:val="en-US" w:eastAsia="zh-CN" w:bidi="ar-SA"/>
                    </w:rPr>
                    <w:t>0.035</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kern w:val="2"/>
                      <w:sz w:val="21"/>
                      <w:szCs w:val="21"/>
                      <w:lang w:val="en-US" w:eastAsia="zh-CN" w:bidi="ar-SA"/>
                    </w:rPr>
                  </w:pPr>
                  <w:r>
                    <w:rPr>
                      <w:rFonts w:hint="default" w:ascii="Times New Roman" w:hAnsi="Times New Roman" w:eastAsia="宋体" w:cs="Times New Roman"/>
                      <w:bCs/>
                      <w:color w:val="0000FF"/>
                      <w:kern w:val="2"/>
                      <w:sz w:val="21"/>
                      <w:szCs w:val="21"/>
                      <w:lang w:val="en-US" w:eastAsia="zh-CN" w:bidi="ar-SA"/>
                    </w:rPr>
                    <w:t>0.040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rPr>
                  </w:pPr>
                </w:p>
              </w:tc>
              <w:tc>
                <w:tcPr>
                  <w:tcW w:w="73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2"/>
                      <w:sz w:val="21"/>
                      <w:szCs w:val="21"/>
                      <w:lang w:val="en-US" w:eastAsia="zh-CN" w:bidi="ar-SA"/>
                    </w:rPr>
                    <w:t>10:40</w:t>
                  </w:r>
                </w:p>
              </w:tc>
              <w:tc>
                <w:tcPr>
                  <w:tcW w:w="17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0.024</w:t>
                  </w:r>
                </w:p>
              </w:tc>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0.036</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kern w:val="2"/>
                      <w:sz w:val="21"/>
                      <w:szCs w:val="21"/>
                      <w:lang w:val="en-US" w:eastAsia="zh-CN" w:bidi="ar-SA"/>
                    </w:rPr>
                  </w:pPr>
                  <w:r>
                    <w:rPr>
                      <w:rFonts w:hint="default" w:ascii="Times New Roman" w:hAnsi="Times New Roman" w:eastAsia="宋体" w:cs="Times New Roman"/>
                      <w:bCs/>
                      <w:color w:val="0000FF"/>
                      <w:kern w:val="2"/>
                      <w:sz w:val="21"/>
                      <w:szCs w:val="21"/>
                      <w:lang w:val="en-US" w:eastAsia="zh-CN" w:bidi="ar-SA"/>
                    </w:rPr>
                    <w:t>0.034</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kern w:val="2"/>
                      <w:sz w:val="21"/>
                      <w:szCs w:val="21"/>
                      <w:lang w:val="en-US" w:eastAsia="zh-CN" w:bidi="ar-SA"/>
                    </w:rPr>
                  </w:pPr>
                  <w:r>
                    <w:rPr>
                      <w:rFonts w:hint="default" w:ascii="Times New Roman" w:hAnsi="Times New Roman" w:eastAsia="宋体" w:cs="Times New Roman"/>
                      <w:bCs/>
                      <w:color w:val="0000FF"/>
                      <w:kern w:val="2"/>
                      <w:sz w:val="21"/>
                      <w:szCs w:val="21"/>
                      <w:lang w:val="en-US" w:eastAsia="zh-CN" w:bidi="ar-SA"/>
                    </w:rPr>
                    <w:t>0.033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5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rPr>
                  </w:pPr>
                </w:p>
              </w:tc>
              <w:tc>
                <w:tcPr>
                  <w:tcW w:w="73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kern w:val="2"/>
                      <w:sz w:val="21"/>
                      <w:szCs w:val="21"/>
                      <w:lang w:val="en-US" w:eastAsia="zh-CN" w:bidi="ar-SA"/>
                    </w:rPr>
                    <w:t>14:25</w:t>
                  </w:r>
                </w:p>
              </w:tc>
              <w:tc>
                <w:tcPr>
                  <w:tcW w:w="17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0.026</w:t>
                  </w:r>
                </w:p>
              </w:tc>
              <w:tc>
                <w:tcPr>
                  <w:tcW w:w="168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sz w:val="21"/>
                      <w:szCs w:val="21"/>
                      <w:lang w:val="en-US" w:eastAsia="zh-CN"/>
                    </w:rPr>
                  </w:pPr>
                  <w:r>
                    <w:rPr>
                      <w:rFonts w:hint="default" w:ascii="Times New Roman" w:hAnsi="Times New Roman" w:eastAsia="宋体" w:cs="Times New Roman"/>
                      <w:bCs/>
                      <w:color w:val="0000FF"/>
                      <w:kern w:val="2"/>
                      <w:sz w:val="21"/>
                      <w:szCs w:val="21"/>
                      <w:lang w:val="en-US" w:eastAsia="zh-CN" w:bidi="ar-SA"/>
                    </w:rPr>
                    <w:t>0.032</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kern w:val="2"/>
                      <w:sz w:val="21"/>
                      <w:szCs w:val="21"/>
                      <w:lang w:val="en-US" w:eastAsia="zh-CN" w:bidi="ar-SA"/>
                    </w:rPr>
                  </w:pPr>
                  <w:r>
                    <w:rPr>
                      <w:rFonts w:hint="default" w:ascii="Times New Roman" w:hAnsi="Times New Roman" w:eastAsia="宋体" w:cs="Times New Roman"/>
                      <w:bCs/>
                      <w:color w:val="0000FF"/>
                      <w:kern w:val="2"/>
                      <w:sz w:val="21"/>
                      <w:szCs w:val="21"/>
                      <w:lang w:val="en-US" w:eastAsia="zh-CN" w:bidi="ar-SA"/>
                    </w:rPr>
                    <w:t>0.042</w:t>
                  </w:r>
                </w:p>
              </w:tc>
              <w:tc>
                <w:tcPr>
                  <w:tcW w:w="17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0000FF"/>
                      <w:kern w:val="2"/>
                      <w:sz w:val="21"/>
                      <w:szCs w:val="21"/>
                      <w:lang w:val="en-US" w:eastAsia="zh-CN" w:bidi="ar-SA"/>
                    </w:rPr>
                  </w:pPr>
                  <w:r>
                    <w:rPr>
                      <w:rFonts w:hint="default" w:ascii="Times New Roman" w:hAnsi="Times New Roman" w:eastAsia="宋体" w:cs="Times New Roman"/>
                      <w:bCs/>
                      <w:color w:val="0000FF"/>
                      <w:kern w:val="2"/>
                      <w:sz w:val="21"/>
                      <w:szCs w:val="21"/>
                      <w:lang w:val="en-US" w:eastAsia="zh-CN" w:bidi="ar-SA"/>
                    </w:rPr>
                    <w:t>0.032</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FF"/>
                <w:sz w:val="24"/>
                <w:szCs w:val="24"/>
                <w:lang w:val="en-US" w:eastAsia="zh-CN"/>
              </w:rPr>
            </w:pPr>
            <w:r>
              <w:rPr>
                <w:rFonts w:hint="eastAsia"/>
                <w:color w:val="0000FF"/>
                <w:sz w:val="24"/>
                <w:szCs w:val="24"/>
                <w:lang w:val="en-US" w:eastAsia="zh-CN"/>
              </w:rPr>
              <w:t>根据以上监测数据分析：</w:t>
            </w:r>
          </w:p>
          <w:p>
            <w:pPr>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eastAsia="宋体" w:cs="Times New Roman"/>
                <w:color w:val="0000FF"/>
                <w:sz w:val="24"/>
                <w:szCs w:val="24"/>
                <w:lang w:val="en-US" w:eastAsia="zh-CN"/>
              </w:rPr>
            </w:pPr>
            <w:r>
              <w:rPr>
                <w:rFonts w:hint="default" w:ascii="Times New Roman" w:hAnsi="Times New Roman" w:eastAsia="宋体" w:cs="Times New Roman"/>
                <w:color w:val="0000FF"/>
                <w:sz w:val="24"/>
                <w:szCs w:val="24"/>
                <w:lang w:val="en-US" w:eastAsia="zh-CN"/>
              </w:rPr>
              <w:t>DA001排气筒中氨的</w:t>
            </w:r>
            <w:r>
              <w:rPr>
                <w:rFonts w:hint="default" w:ascii="Times New Roman" w:hAnsi="Times New Roman" w:eastAsia="宋体" w:cs="Times New Roman"/>
                <w:color w:val="0000FF"/>
                <w:sz w:val="24"/>
                <w:szCs w:val="24"/>
                <w:lang w:eastAsia="zh-CN"/>
              </w:rPr>
              <w:t>最大排放速率为</w:t>
            </w:r>
            <w:r>
              <w:rPr>
                <w:rFonts w:hint="default" w:ascii="Times New Roman" w:hAnsi="Times New Roman" w:eastAsia="宋体" w:cs="Times New Roman"/>
                <w:color w:val="0000FF"/>
                <w:kern w:val="2"/>
                <w:sz w:val="24"/>
                <w:szCs w:val="24"/>
                <w:lang w:val="en-US" w:eastAsia="zh-CN" w:bidi="ar-SA"/>
              </w:rPr>
              <w:t>5.03</w:t>
            </w:r>
            <w:r>
              <w:rPr>
                <w:rFonts w:hint="default" w:ascii="Times New Roman" w:hAnsi="Times New Roman" w:eastAsia="宋体" w:cs="Times New Roman"/>
                <w:color w:val="0000FF"/>
                <w:sz w:val="24"/>
                <w:szCs w:val="24"/>
                <w:lang w:val="en-US" w:eastAsia="zh-CN"/>
              </w:rPr>
              <w:t>×10</w:t>
            </w:r>
            <w:r>
              <w:rPr>
                <w:rFonts w:hint="default" w:ascii="Times New Roman" w:hAnsi="Times New Roman" w:eastAsia="宋体" w:cs="Times New Roman"/>
                <w:color w:val="0000FF"/>
                <w:sz w:val="24"/>
                <w:szCs w:val="24"/>
                <w:vertAlign w:val="superscript"/>
                <w:lang w:val="en-US" w:eastAsia="zh-CN"/>
              </w:rPr>
              <w:t>-3</w:t>
            </w:r>
            <w:r>
              <w:rPr>
                <w:rFonts w:hint="default" w:ascii="Times New Roman" w:hAnsi="Times New Roman" w:eastAsia="宋体" w:cs="Times New Roman"/>
                <w:color w:val="0000FF"/>
                <w:sz w:val="24"/>
                <w:szCs w:val="24"/>
              </w:rPr>
              <w:t>kg/h</w:t>
            </w:r>
            <w:r>
              <w:rPr>
                <w:rFonts w:hint="default" w:ascii="Times New Roman" w:hAnsi="Times New Roman" w:eastAsia="宋体" w:cs="Times New Roman"/>
                <w:color w:val="0000FF"/>
                <w:sz w:val="24"/>
                <w:szCs w:val="24"/>
                <w:lang w:eastAsia="zh-CN"/>
              </w:rPr>
              <w:t>，硫化氢最大排放速率为</w:t>
            </w:r>
            <w:r>
              <w:rPr>
                <w:rFonts w:hint="default" w:ascii="Times New Roman" w:hAnsi="Times New Roman" w:eastAsia="宋体" w:cs="Times New Roman"/>
                <w:color w:val="0000FF"/>
                <w:sz w:val="24"/>
                <w:szCs w:val="24"/>
                <w:lang w:val="en-US" w:eastAsia="zh-CN"/>
              </w:rPr>
              <w:t>4.2×10</w:t>
            </w:r>
            <w:r>
              <w:rPr>
                <w:rFonts w:hint="default" w:ascii="Times New Roman" w:hAnsi="Times New Roman" w:eastAsia="宋体" w:cs="Times New Roman"/>
                <w:color w:val="0000FF"/>
                <w:sz w:val="24"/>
                <w:szCs w:val="24"/>
                <w:vertAlign w:val="superscript"/>
                <w:lang w:val="en-US" w:eastAsia="zh-CN"/>
              </w:rPr>
              <w:t>-4</w:t>
            </w:r>
            <w:r>
              <w:rPr>
                <w:rFonts w:hint="default" w:ascii="Times New Roman" w:hAnsi="Times New Roman" w:eastAsia="宋体" w:cs="Times New Roman"/>
                <w:color w:val="0000FF"/>
                <w:sz w:val="24"/>
                <w:szCs w:val="24"/>
              </w:rPr>
              <w:t>kg/h</w:t>
            </w:r>
            <w:r>
              <w:rPr>
                <w:rFonts w:hint="default" w:ascii="Times New Roman" w:hAnsi="Times New Roman" w:eastAsia="宋体" w:cs="Times New Roman"/>
                <w:color w:val="0000FF"/>
                <w:sz w:val="24"/>
                <w:szCs w:val="24"/>
                <w:lang w:eastAsia="zh-CN"/>
              </w:rPr>
              <w:t>，臭气浓度最大排放为</w:t>
            </w:r>
            <w:r>
              <w:rPr>
                <w:rFonts w:hint="default" w:ascii="Times New Roman" w:hAnsi="Times New Roman" w:eastAsia="宋体" w:cs="Times New Roman"/>
                <w:color w:val="0000FF"/>
                <w:sz w:val="24"/>
                <w:szCs w:val="24"/>
                <w:lang w:val="en-US" w:eastAsia="zh-CN"/>
              </w:rPr>
              <w:t>741（无量纲），</w:t>
            </w:r>
            <w:r>
              <w:rPr>
                <w:rFonts w:hint="default" w:ascii="Times New Roman" w:hAnsi="Times New Roman" w:eastAsia="宋体" w:cs="Times New Roman"/>
                <w:color w:val="0000FF"/>
                <w:sz w:val="24"/>
                <w:szCs w:val="24"/>
                <w:lang w:eastAsia="zh-CN"/>
              </w:rPr>
              <w:t>满足</w:t>
            </w:r>
            <w:r>
              <w:rPr>
                <w:rFonts w:hint="default" w:ascii="Times New Roman" w:hAnsi="Times New Roman" w:eastAsia="宋体" w:cs="Times New Roman"/>
                <w:bCs/>
                <w:color w:val="0000FF"/>
                <w:kern w:val="36"/>
                <w:sz w:val="24"/>
                <w:szCs w:val="24"/>
              </w:rPr>
              <w:t>《恶臭污染物排放标准》（GB14554-93）中表</w:t>
            </w:r>
            <w:r>
              <w:rPr>
                <w:rFonts w:hint="default" w:ascii="Times New Roman" w:hAnsi="Times New Roman" w:eastAsia="宋体" w:cs="Times New Roman"/>
                <w:bCs/>
                <w:color w:val="0000FF"/>
                <w:kern w:val="36"/>
                <w:sz w:val="24"/>
                <w:szCs w:val="24"/>
                <w:lang w:val="en-US" w:eastAsia="zh-CN"/>
              </w:rPr>
              <w:t>2恶臭污染物15m高排气筒排放</w:t>
            </w:r>
            <w:r>
              <w:rPr>
                <w:rFonts w:hint="default" w:ascii="Times New Roman" w:hAnsi="Times New Roman" w:eastAsia="宋体" w:cs="Times New Roman"/>
                <w:bCs/>
                <w:color w:val="0000FF"/>
                <w:kern w:val="36"/>
                <w:sz w:val="24"/>
                <w:szCs w:val="24"/>
              </w:rPr>
              <w:t>标准</w:t>
            </w:r>
            <w:r>
              <w:rPr>
                <w:rFonts w:hint="default" w:ascii="Times New Roman" w:hAnsi="Times New Roman" w:eastAsia="宋体" w:cs="Times New Roman"/>
                <w:bCs/>
                <w:color w:val="0000FF"/>
                <w:kern w:val="36"/>
                <w:sz w:val="24"/>
                <w:szCs w:val="24"/>
                <w:lang w:eastAsia="zh-CN"/>
              </w:rPr>
              <w:t>值</w:t>
            </w:r>
            <w:r>
              <w:rPr>
                <w:rFonts w:hint="default" w:ascii="Times New Roman" w:hAnsi="Times New Roman" w:eastAsia="宋体" w:cs="Times New Roman"/>
                <w:bCs/>
                <w:color w:val="0000FF"/>
                <w:kern w:val="36"/>
                <w:sz w:val="24"/>
                <w:szCs w:val="24"/>
              </w:rPr>
              <w:t>要求</w:t>
            </w:r>
            <w:r>
              <w:rPr>
                <w:rFonts w:hint="default" w:ascii="Times New Roman" w:hAnsi="Times New Roman" w:eastAsia="宋体" w:cs="Times New Roman"/>
                <w:color w:val="0000FF"/>
                <w:sz w:val="24"/>
                <w:szCs w:val="24"/>
                <w:lang w:val="en-US" w:eastAsia="zh-CN"/>
              </w:rPr>
              <w:t>（氨4.9</w:t>
            </w:r>
            <w:r>
              <w:rPr>
                <w:rFonts w:hint="default" w:ascii="Times New Roman" w:hAnsi="Times New Roman" w:eastAsia="宋体" w:cs="Times New Roman"/>
                <w:color w:val="0000FF"/>
                <w:sz w:val="24"/>
                <w:szCs w:val="24"/>
              </w:rPr>
              <w:t>kg/h</w:t>
            </w:r>
            <w:r>
              <w:rPr>
                <w:rFonts w:hint="default" w:ascii="Times New Roman" w:hAnsi="Times New Roman" w:eastAsia="宋体" w:cs="Times New Roman"/>
                <w:color w:val="0000FF"/>
                <w:sz w:val="24"/>
                <w:szCs w:val="24"/>
                <w:lang w:eastAsia="zh-CN"/>
              </w:rPr>
              <w:t>，硫化氢</w:t>
            </w:r>
            <w:r>
              <w:rPr>
                <w:rFonts w:hint="default" w:ascii="Times New Roman" w:hAnsi="Times New Roman" w:eastAsia="宋体" w:cs="Times New Roman"/>
                <w:color w:val="0000FF"/>
                <w:sz w:val="24"/>
                <w:szCs w:val="24"/>
                <w:lang w:val="en-US" w:eastAsia="zh-CN"/>
              </w:rPr>
              <w:t>0.33</w:t>
            </w:r>
            <w:r>
              <w:rPr>
                <w:rFonts w:hint="default" w:ascii="Times New Roman" w:hAnsi="Times New Roman" w:eastAsia="宋体" w:cs="Times New Roman"/>
                <w:color w:val="0000FF"/>
                <w:sz w:val="24"/>
                <w:szCs w:val="24"/>
              </w:rPr>
              <w:t>kg/h</w:t>
            </w:r>
            <w:r>
              <w:rPr>
                <w:rFonts w:hint="default" w:ascii="Times New Roman" w:hAnsi="Times New Roman" w:eastAsia="宋体" w:cs="Times New Roman"/>
                <w:color w:val="0000FF"/>
                <w:sz w:val="24"/>
                <w:szCs w:val="24"/>
                <w:lang w:eastAsia="zh-CN"/>
              </w:rPr>
              <w:t>，臭气浓度</w:t>
            </w:r>
            <w:r>
              <w:rPr>
                <w:rFonts w:hint="default" w:ascii="Times New Roman" w:hAnsi="Times New Roman" w:eastAsia="宋体" w:cs="Times New Roman"/>
                <w:color w:val="0000FF"/>
                <w:sz w:val="24"/>
                <w:szCs w:val="24"/>
                <w:lang w:val="en-US" w:eastAsia="zh-CN"/>
              </w:rPr>
              <w:t>2000无量纲）；DA002排气筒中氨的</w:t>
            </w:r>
            <w:r>
              <w:rPr>
                <w:rFonts w:hint="default" w:ascii="Times New Roman" w:hAnsi="Times New Roman" w:eastAsia="宋体" w:cs="Times New Roman"/>
                <w:color w:val="0000FF"/>
                <w:sz w:val="24"/>
                <w:szCs w:val="24"/>
                <w:lang w:eastAsia="zh-CN"/>
              </w:rPr>
              <w:t>最大排放速率为</w:t>
            </w:r>
            <w:r>
              <w:rPr>
                <w:rFonts w:hint="default" w:ascii="Times New Roman" w:hAnsi="Times New Roman" w:eastAsia="宋体" w:cs="Times New Roman"/>
                <w:color w:val="0000FF"/>
                <w:kern w:val="2"/>
                <w:sz w:val="24"/>
                <w:szCs w:val="24"/>
                <w:lang w:val="en-US" w:eastAsia="zh-CN" w:bidi="ar-SA"/>
              </w:rPr>
              <w:t>5.85</w:t>
            </w:r>
            <w:r>
              <w:rPr>
                <w:rFonts w:hint="default" w:ascii="Times New Roman" w:hAnsi="Times New Roman" w:eastAsia="宋体" w:cs="Times New Roman"/>
                <w:color w:val="0000FF"/>
                <w:sz w:val="24"/>
                <w:szCs w:val="24"/>
                <w:lang w:val="en-US" w:eastAsia="zh-CN"/>
              </w:rPr>
              <w:t>×10</w:t>
            </w:r>
            <w:r>
              <w:rPr>
                <w:rFonts w:hint="default" w:ascii="Times New Roman" w:hAnsi="Times New Roman" w:eastAsia="宋体" w:cs="Times New Roman"/>
                <w:color w:val="0000FF"/>
                <w:sz w:val="24"/>
                <w:szCs w:val="24"/>
                <w:vertAlign w:val="superscript"/>
                <w:lang w:val="en-US" w:eastAsia="zh-CN"/>
              </w:rPr>
              <w:t>-3</w:t>
            </w:r>
            <w:r>
              <w:rPr>
                <w:rFonts w:hint="default" w:ascii="Times New Roman" w:hAnsi="Times New Roman" w:eastAsia="宋体" w:cs="Times New Roman"/>
                <w:color w:val="0000FF"/>
                <w:sz w:val="24"/>
                <w:szCs w:val="24"/>
              </w:rPr>
              <w:t>kg/h</w:t>
            </w:r>
            <w:r>
              <w:rPr>
                <w:rFonts w:hint="default" w:ascii="Times New Roman" w:hAnsi="Times New Roman" w:eastAsia="宋体" w:cs="Times New Roman"/>
                <w:color w:val="0000FF"/>
                <w:sz w:val="24"/>
                <w:szCs w:val="24"/>
                <w:lang w:eastAsia="zh-CN"/>
              </w:rPr>
              <w:t>，硫化氢最大排放速率为</w:t>
            </w:r>
            <w:r>
              <w:rPr>
                <w:rFonts w:hint="default" w:ascii="Times New Roman" w:hAnsi="Times New Roman" w:eastAsia="宋体" w:cs="Times New Roman"/>
                <w:color w:val="0000FF"/>
                <w:sz w:val="24"/>
                <w:szCs w:val="24"/>
                <w:lang w:val="en-US" w:eastAsia="zh-CN"/>
              </w:rPr>
              <w:t>5.5×10</w:t>
            </w:r>
            <w:r>
              <w:rPr>
                <w:rFonts w:hint="default" w:ascii="Times New Roman" w:hAnsi="Times New Roman" w:eastAsia="宋体" w:cs="Times New Roman"/>
                <w:color w:val="0000FF"/>
                <w:sz w:val="24"/>
                <w:szCs w:val="24"/>
                <w:vertAlign w:val="superscript"/>
                <w:lang w:val="en-US" w:eastAsia="zh-CN"/>
              </w:rPr>
              <w:t>-4</w:t>
            </w:r>
            <w:r>
              <w:rPr>
                <w:rFonts w:hint="default" w:ascii="Times New Roman" w:hAnsi="Times New Roman" w:eastAsia="宋体" w:cs="Times New Roman"/>
                <w:color w:val="0000FF"/>
                <w:sz w:val="24"/>
                <w:szCs w:val="24"/>
              </w:rPr>
              <w:t>kg/h</w:t>
            </w:r>
            <w:r>
              <w:rPr>
                <w:rFonts w:hint="default" w:ascii="Times New Roman" w:hAnsi="Times New Roman" w:eastAsia="宋体" w:cs="Times New Roman"/>
                <w:color w:val="0000FF"/>
                <w:sz w:val="24"/>
                <w:szCs w:val="24"/>
                <w:lang w:eastAsia="zh-CN"/>
              </w:rPr>
              <w:t>，臭气浓度最大排放为</w:t>
            </w:r>
            <w:r>
              <w:rPr>
                <w:rFonts w:hint="default" w:ascii="Times New Roman" w:hAnsi="Times New Roman" w:eastAsia="宋体" w:cs="Times New Roman"/>
                <w:color w:val="0000FF"/>
                <w:sz w:val="24"/>
                <w:szCs w:val="24"/>
                <w:lang w:val="en-US" w:eastAsia="zh-CN"/>
              </w:rPr>
              <w:t>741（无量纲），</w:t>
            </w:r>
            <w:r>
              <w:rPr>
                <w:rFonts w:hint="default" w:ascii="Times New Roman" w:hAnsi="Times New Roman" w:eastAsia="宋体" w:cs="Times New Roman"/>
                <w:color w:val="0000FF"/>
                <w:sz w:val="24"/>
                <w:szCs w:val="24"/>
                <w:lang w:eastAsia="zh-CN"/>
              </w:rPr>
              <w:t>满足</w:t>
            </w:r>
            <w:r>
              <w:rPr>
                <w:rFonts w:hint="default" w:ascii="Times New Roman" w:hAnsi="Times New Roman" w:eastAsia="宋体" w:cs="Times New Roman"/>
                <w:bCs/>
                <w:color w:val="0000FF"/>
                <w:kern w:val="36"/>
                <w:sz w:val="24"/>
                <w:szCs w:val="24"/>
              </w:rPr>
              <w:t>《恶臭污染物排放标准》（GB14554-93）中表</w:t>
            </w:r>
            <w:r>
              <w:rPr>
                <w:rFonts w:hint="default" w:ascii="Times New Roman" w:hAnsi="Times New Roman" w:eastAsia="宋体" w:cs="Times New Roman"/>
                <w:bCs/>
                <w:color w:val="0000FF"/>
                <w:kern w:val="36"/>
                <w:sz w:val="24"/>
                <w:szCs w:val="24"/>
                <w:lang w:val="en-US" w:eastAsia="zh-CN"/>
              </w:rPr>
              <w:t>2恶臭污染物15m高排气筒排放</w:t>
            </w:r>
            <w:r>
              <w:rPr>
                <w:rFonts w:hint="default" w:ascii="Times New Roman" w:hAnsi="Times New Roman" w:eastAsia="宋体" w:cs="Times New Roman"/>
                <w:bCs/>
                <w:color w:val="0000FF"/>
                <w:kern w:val="36"/>
                <w:sz w:val="24"/>
                <w:szCs w:val="24"/>
              </w:rPr>
              <w:t>标准</w:t>
            </w:r>
            <w:r>
              <w:rPr>
                <w:rFonts w:hint="default" w:ascii="Times New Roman" w:hAnsi="Times New Roman" w:eastAsia="宋体" w:cs="Times New Roman"/>
                <w:bCs/>
                <w:color w:val="0000FF"/>
                <w:kern w:val="36"/>
                <w:sz w:val="24"/>
                <w:szCs w:val="24"/>
                <w:lang w:eastAsia="zh-CN"/>
              </w:rPr>
              <w:t>值</w:t>
            </w:r>
            <w:r>
              <w:rPr>
                <w:rFonts w:hint="default" w:ascii="Times New Roman" w:hAnsi="Times New Roman" w:eastAsia="宋体" w:cs="Times New Roman"/>
                <w:bCs/>
                <w:color w:val="0000FF"/>
                <w:kern w:val="36"/>
                <w:sz w:val="24"/>
                <w:szCs w:val="24"/>
              </w:rPr>
              <w:t>要求</w:t>
            </w:r>
            <w:r>
              <w:rPr>
                <w:rFonts w:hint="default" w:ascii="Times New Roman" w:hAnsi="Times New Roman" w:eastAsia="宋体" w:cs="Times New Roman"/>
                <w:color w:val="0000FF"/>
                <w:sz w:val="24"/>
                <w:szCs w:val="24"/>
                <w:lang w:val="en-US" w:eastAsia="zh-CN"/>
              </w:rPr>
              <w:t>（氨4.9</w:t>
            </w:r>
            <w:r>
              <w:rPr>
                <w:rFonts w:hint="default" w:ascii="Times New Roman" w:hAnsi="Times New Roman" w:eastAsia="宋体" w:cs="Times New Roman"/>
                <w:color w:val="0000FF"/>
                <w:sz w:val="24"/>
                <w:szCs w:val="24"/>
              </w:rPr>
              <w:t>kg/h</w:t>
            </w:r>
            <w:r>
              <w:rPr>
                <w:rFonts w:hint="default" w:ascii="Times New Roman" w:hAnsi="Times New Roman" w:eastAsia="宋体" w:cs="Times New Roman"/>
                <w:color w:val="0000FF"/>
                <w:sz w:val="24"/>
                <w:szCs w:val="24"/>
                <w:lang w:eastAsia="zh-CN"/>
              </w:rPr>
              <w:t>，硫化氢</w:t>
            </w:r>
            <w:r>
              <w:rPr>
                <w:rFonts w:hint="default" w:ascii="Times New Roman" w:hAnsi="Times New Roman" w:eastAsia="宋体" w:cs="Times New Roman"/>
                <w:color w:val="0000FF"/>
                <w:sz w:val="24"/>
                <w:szCs w:val="24"/>
                <w:lang w:val="en-US" w:eastAsia="zh-CN"/>
              </w:rPr>
              <w:t>0.33</w:t>
            </w:r>
            <w:r>
              <w:rPr>
                <w:rFonts w:hint="default" w:ascii="Times New Roman" w:hAnsi="Times New Roman" w:eastAsia="宋体" w:cs="Times New Roman"/>
                <w:color w:val="0000FF"/>
                <w:sz w:val="24"/>
                <w:szCs w:val="24"/>
              </w:rPr>
              <w:t>kg/h</w:t>
            </w:r>
            <w:r>
              <w:rPr>
                <w:rFonts w:hint="default" w:ascii="Times New Roman" w:hAnsi="Times New Roman" w:eastAsia="宋体" w:cs="Times New Roman"/>
                <w:color w:val="0000FF"/>
                <w:sz w:val="24"/>
                <w:szCs w:val="24"/>
                <w:lang w:eastAsia="zh-CN"/>
              </w:rPr>
              <w:t>，臭气浓度</w:t>
            </w:r>
            <w:r>
              <w:rPr>
                <w:rFonts w:hint="default" w:ascii="Times New Roman" w:hAnsi="Times New Roman" w:eastAsia="宋体" w:cs="Times New Roman"/>
                <w:color w:val="0000FF"/>
                <w:sz w:val="24"/>
                <w:szCs w:val="24"/>
                <w:lang w:val="en-US" w:eastAsia="zh-CN"/>
              </w:rPr>
              <w:t>2000无量纲）；DA003排气筒中颗粒物的</w:t>
            </w:r>
            <w:r>
              <w:rPr>
                <w:rFonts w:hint="default" w:ascii="Times New Roman" w:hAnsi="Times New Roman" w:eastAsia="宋体" w:cs="Times New Roman"/>
                <w:color w:val="0000FF"/>
                <w:sz w:val="24"/>
                <w:szCs w:val="24"/>
                <w:lang w:eastAsia="zh-CN"/>
              </w:rPr>
              <w:t>最大排放浓度为</w:t>
            </w:r>
            <w:r>
              <w:rPr>
                <w:rFonts w:hint="default" w:ascii="Times New Roman" w:hAnsi="Times New Roman" w:eastAsia="宋体" w:cs="Times New Roman"/>
                <w:color w:val="0000FF"/>
                <w:sz w:val="24"/>
                <w:szCs w:val="24"/>
                <w:lang w:val="en-US" w:eastAsia="zh-CN"/>
              </w:rPr>
              <w:t>6.6</w:t>
            </w:r>
            <w:r>
              <w:rPr>
                <w:rFonts w:hint="default" w:ascii="Times New Roman" w:hAnsi="Times New Roman" w:eastAsia="宋体" w:cs="Times New Roman"/>
                <w:color w:val="0000FF"/>
                <w:sz w:val="24"/>
                <w:szCs w:val="24"/>
                <w:highlight w:val="none"/>
                <w:lang w:val="en-US" w:eastAsia="zh-CN"/>
              </w:rPr>
              <w:t>mg/m</w:t>
            </w:r>
            <w:r>
              <w:rPr>
                <w:rFonts w:hint="default" w:ascii="Times New Roman" w:hAnsi="Times New Roman" w:eastAsia="宋体" w:cs="Times New Roman"/>
                <w:color w:val="0000FF"/>
                <w:sz w:val="24"/>
                <w:szCs w:val="24"/>
                <w:highlight w:val="none"/>
                <w:vertAlign w:val="superscript"/>
                <w:lang w:val="en-US" w:eastAsia="zh-CN"/>
              </w:rPr>
              <w:t>3</w:t>
            </w:r>
            <w:r>
              <w:rPr>
                <w:rFonts w:hint="default" w:ascii="Times New Roman" w:hAnsi="Times New Roman" w:eastAsia="宋体" w:cs="Times New Roman"/>
                <w:color w:val="0000FF"/>
                <w:sz w:val="24"/>
                <w:szCs w:val="24"/>
                <w:lang w:eastAsia="zh-CN"/>
              </w:rPr>
              <w:t>，</w:t>
            </w:r>
            <w:r>
              <w:rPr>
                <w:rFonts w:hint="default" w:ascii="Times New Roman" w:hAnsi="Times New Roman" w:eastAsia="宋体" w:cs="Times New Roman"/>
                <w:color w:val="0000FF"/>
                <w:sz w:val="24"/>
                <w:szCs w:val="24"/>
                <w:lang w:val="en-US" w:eastAsia="zh-CN"/>
              </w:rPr>
              <w:t>NOx</w:t>
            </w:r>
            <w:r>
              <w:rPr>
                <w:rFonts w:hint="default" w:ascii="Times New Roman" w:hAnsi="Times New Roman" w:eastAsia="宋体" w:cs="Times New Roman"/>
                <w:color w:val="0000FF"/>
                <w:sz w:val="24"/>
                <w:szCs w:val="24"/>
                <w:lang w:eastAsia="zh-CN"/>
              </w:rPr>
              <w:t>最大排放浓度为</w:t>
            </w:r>
            <w:r>
              <w:rPr>
                <w:rFonts w:hint="default" w:ascii="Times New Roman" w:hAnsi="Times New Roman" w:eastAsia="宋体" w:cs="Times New Roman"/>
                <w:color w:val="0000FF"/>
                <w:sz w:val="24"/>
                <w:szCs w:val="24"/>
                <w:lang w:val="en-US" w:eastAsia="zh-CN"/>
              </w:rPr>
              <w:t>29</w:t>
            </w:r>
            <w:r>
              <w:rPr>
                <w:rFonts w:hint="default" w:ascii="Times New Roman" w:hAnsi="Times New Roman" w:eastAsia="宋体" w:cs="Times New Roman"/>
                <w:color w:val="0000FF"/>
                <w:sz w:val="24"/>
                <w:szCs w:val="24"/>
                <w:highlight w:val="none"/>
                <w:lang w:val="en-US" w:eastAsia="zh-CN"/>
              </w:rPr>
              <w:t>mg/m</w:t>
            </w:r>
            <w:r>
              <w:rPr>
                <w:rFonts w:hint="default" w:ascii="Times New Roman" w:hAnsi="Times New Roman" w:eastAsia="宋体" w:cs="Times New Roman"/>
                <w:color w:val="0000FF"/>
                <w:sz w:val="24"/>
                <w:szCs w:val="24"/>
                <w:highlight w:val="none"/>
                <w:vertAlign w:val="superscript"/>
                <w:lang w:val="en-US" w:eastAsia="zh-CN"/>
              </w:rPr>
              <w:t>3</w:t>
            </w:r>
            <w:r>
              <w:rPr>
                <w:rFonts w:hint="default" w:ascii="Times New Roman" w:hAnsi="Times New Roman" w:eastAsia="宋体" w:cs="Times New Roman"/>
                <w:color w:val="0000FF"/>
                <w:sz w:val="24"/>
                <w:szCs w:val="24"/>
                <w:lang w:val="en-US" w:eastAsia="zh-CN"/>
              </w:rPr>
              <w:t>，</w:t>
            </w:r>
            <w:r>
              <w:rPr>
                <w:rFonts w:hint="default" w:ascii="Times New Roman" w:hAnsi="Times New Roman" w:eastAsia="宋体" w:cs="Times New Roman"/>
                <w:color w:val="0000FF"/>
                <w:sz w:val="24"/>
                <w:szCs w:val="24"/>
                <w:lang w:eastAsia="zh-CN"/>
              </w:rPr>
              <w:t>满足</w:t>
            </w:r>
            <w:r>
              <w:rPr>
                <w:rFonts w:hint="default" w:ascii="Times New Roman" w:hAnsi="Times New Roman" w:eastAsia="宋体" w:cs="Times New Roman"/>
                <w:bCs/>
                <w:color w:val="0000FF"/>
                <w:kern w:val="36"/>
                <w:sz w:val="24"/>
                <w:szCs w:val="24"/>
              </w:rPr>
              <w:t>《区域性大气污染物综合排放标准》（DB37/2376-2019）重点控制区排放标准要求</w:t>
            </w:r>
            <w:r>
              <w:rPr>
                <w:rFonts w:hint="default" w:ascii="Times New Roman" w:hAnsi="Times New Roman" w:eastAsia="宋体" w:cs="Times New Roman"/>
                <w:color w:val="0000FF"/>
                <w:sz w:val="24"/>
                <w:szCs w:val="24"/>
                <w:lang w:val="en-US" w:eastAsia="zh-CN"/>
              </w:rPr>
              <w:t>（颗粒物10</w:t>
            </w:r>
            <w:r>
              <w:rPr>
                <w:rFonts w:hint="default" w:ascii="Times New Roman" w:hAnsi="Times New Roman" w:eastAsia="宋体" w:cs="Times New Roman"/>
                <w:color w:val="0000FF"/>
                <w:sz w:val="24"/>
                <w:szCs w:val="24"/>
                <w:highlight w:val="none"/>
                <w:lang w:val="en-US" w:eastAsia="zh-CN"/>
              </w:rPr>
              <w:t>mg/m</w:t>
            </w:r>
            <w:r>
              <w:rPr>
                <w:rFonts w:hint="default" w:ascii="Times New Roman" w:hAnsi="Times New Roman" w:eastAsia="宋体" w:cs="Times New Roman"/>
                <w:color w:val="0000FF"/>
                <w:sz w:val="24"/>
                <w:szCs w:val="24"/>
                <w:highlight w:val="none"/>
                <w:vertAlign w:val="superscript"/>
                <w:lang w:val="en-US" w:eastAsia="zh-CN"/>
              </w:rPr>
              <w:t>3</w:t>
            </w:r>
            <w:r>
              <w:rPr>
                <w:rFonts w:hint="default" w:ascii="Times New Roman" w:hAnsi="Times New Roman" w:eastAsia="宋体" w:cs="Times New Roman"/>
                <w:color w:val="0000FF"/>
                <w:sz w:val="24"/>
                <w:szCs w:val="24"/>
                <w:lang w:eastAsia="zh-CN"/>
              </w:rPr>
              <w:t>，</w:t>
            </w:r>
            <w:r>
              <w:rPr>
                <w:rFonts w:hint="default" w:ascii="Times New Roman" w:hAnsi="Times New Roman" w:eastAsia="宋体" w:cs="Times New Roman"/>
                <w:color w:val="0000FF"/>
                <w:sz w:val="24"/>
                <w:szCs w:val="24"/>
                <w:lang w:val="en-US" w:eastAsia="zh-CN"/>
              </w:rPr>
              <w:t>NOx 100</w:t>
            </w:r>
            <w:r>
              <w:rPr>
                <w:rFonts w:hint="default" w:ascii="Times New Roman" w:hAnsi="Times New Roman" w:eastAsia="宋体" w:cs="Times New Roman"/>
                <w:color w:val="0000FF"/>
                <w:sz w:val="24"/>
                <w:szCs w:val="24"/>
                <w:highlight w:val="none"/>
                <w:lang w:val="en-US" w:eastAsia="zh-CN"/>
              </w:rPr>
              <w:t>mg/m</w:t>
            </w:r>
            <w:r>
              <w:rPr>
                <w:rFonts w:hint="default" w:ascii="Times New Roman" w:hAnsi="Times New Roman" w:eastAsia="宋体" w:cs="Times New Roman"/>
                <w:color w:val="0000FF"/>
                <w:sz w:val="24"/>
                <w:szCs w:val="24"/>
                <w:highlight w:val="none"/>
                <w:vertAlign w:val="superscript"/>
                <w:lang w:val="en-US" w:eastAsia="zh-CN"/>
              </w:rPr>
              <w:t>3</w:t>
            </w:r>
            <w:r>
              <w:rPr>
                <w:rFonts w:hint="default" w:ascii="Times New Roman" w:hAnsi="Times New Roman" w:eastAsia="宋体" w:cs="Times New Roman"/>
                <w:color w:val="0000FF"/>
                <w:sz w:val="24"/>
                <w:szCs w:val="24"/>
                <w:lang w:val="en-US" w:eastAsia="zh-CN"/>
              </w:rPr>
              <w:t>）；DA004排气筒中颗粒物的</w:t>
            </w:r>
            <w:r>
              <w:rPr>
                <w:rFonts w:hint="default" w:ascii="Times New Roman" w:hAnsi="Times New Roman" w:eastAsia="宋体" w:cs="Times New Roman"/>
                <w:color w:val="0000FF"/>
                <w:sz w:val="24"/>
                <w:szCs w:val="24"/>
                <w:lang w:eastAsia="zh-CN"/>
              </w:rPr>
              <w:t>最大排放浓度为</w:t>
            </w:r>
            <w:r>
              <w:rPr>
                <w:rFonts w:hint="default" w:ascii="Times New Roman" w:hAnsi="Times New Roman" w:eastAsia="宋体" w:cs="Times New Roman"/>
                <w:color w:val="0000FF"/>
                <w:sz w:val="24"/>
                <w:szCs w:val="24"/>
                <w:lang w:val="en-US" w:eastAsia="zh-CN"/>
              </w:rPr>
              <w:t>6.8</w:t>
            </w:r>
            <w:r>
              <w:rPr>
                <w:rFonts w:hint="default" w:ascii="Times New Roman" w:hAnsi="Times New Roman" w:eastAsia="宋体" w:cs="Times New Roman"/>
                <w:color w:val="0000FF"/>
                <w:sz w:val="24"/>
                <w:szCs w:val="24"/>
                <w:highlight w:val="none"/>
                <w:lang w:val="en-US" w:eastAsia="zh-CN"/>
              </w:rPr>
              <w:t>mg/m</w:t>
            </w:r>
            <w:r>
              <w:rPr>
                <w:rFonts w:hint="default" w:ascii="Times New Roman" w:hAnsi="Times New Roman" w:eastAsia="宋体" w:cs="Times New Roman"/>
                <w:color w:val="0000FF"/>
                <w:sz w:val="24"/>
                <w:szCs w:val="24"/>
                <w:highlight w:val="none"/>
                <w:vertAlign w:val="superscript"/>
                <w:lang w:val="en-US" w:eastAsia="zh-CN"/>
              </w:rPr>
              <w:t>3</w:t>
            </w:r>
            <w:r>
              <w:rPr>
                <w:rFonts w:hint="default" w:ascii="Times New Roman" w:hAnsi="Times New Roman" w:eastAsia="宋体" w:cs="Times New Roman"/>
                <w:color w:val="0000FF"/>
                <w:sz w:val="24"/>
                <w:szCs w:val="24"/>
                <w:lang w:eastAsia="zh-CN"/>
              </w:rPr>
              <w:t>，</w:t>
            </w:r>
            <w:r>
              <w:rPr>
                <w:rFonts w:hint="default" w:ascii="Times New Roman" w:hAnsi="Times New Roman" w:eastAsia="宋体" w:cs="Times New Roman"/>
                <w:color w:val="0000FF"/>
                <w:sz w:val="24"/>
                <w:szCs w:val="24"/>
                <w:lang w:val="en-US" w:eastAsia="zh-CN"/>
              </w:rPr>
              <w:t>NOx</w:t>
            </w:r>
            <w:r>
              <w:rPr>
                <w:rFonts w:hint="default" w:ascii="Times New Roman" w:hAnsi="Times New Roman" w:eastAsia="宋体" w:cs="Times New Roman"/>
                <w:color w:val="0000FF"/>
                <w:sz w:val="24"/>
                <w:szCs w:val="24"/>
                <w:lang w:eastAsia="zh-CN"/>
              </w:rPr>
              <w:t>最大排放浓度为</w:t>
            </w:r>
            <w:r>
              <w:rPr>
                <w:rFonts w:hint="default" w:ascii="Times New Roman" w:hAnsi="Times New Roman" w:eastAsia="宋体" w:cs="Times New Roman"/>
                <w:color w:val="0000FF"/>
                <w:sz w:val="24"/>
                <w:szCs w:val="24"/>
                <w:lang w:val="en-US" w:eastAsia="zh-CN"/>
              </w:rPr>
              <w:t>28</w:t>
            </w:r>
            <w:r>
              <w:rPr>
                <w:rFonts w:hint="default" w:ascii="Times New Roman" w:hAnsi="Times New Roman" w:eastAsia="宋体" w:cs="Times New Roman"/>
                <w:color w:val="0000FF"/>
                <w:sz w:val="24"/>
                <w:szCs w:val="24"/>
                <w:highlight w:val="none"/>
                <w:lang w:val="en-US" w:eastAsia="zh-CN"/>
              </w:rPr>
              <w:t>mg/m</w:t>
            </w:r>
            <w:r>
              <w:rPr>
                <w:rFonts w:hint="default" w:ascii="Times New Roman" w:hAnsi="Times New Roman" w:eastAsia="宋体" w:cs="Times New Roman"/>
                <w:color w:val="0000FF"/>
                <w:sz w:val="24"/>
                <w:szCs w:val="24"/>
                <w:highlight w:val="none"/>
                <w:vertAlign w:val="superscript"/>
                <w:lang w:val="en-US" w:eastAsia="zh-CN"/>
              </w:rPr>
              <w:t>3</w:t>
            </w:r>
            <w:r>
              <w:rPr>
                <w:rFonts w:hint="default" w:ascii="Times New Roman" w:hAnsi="Times New Roman" w:eastAsia="宋体" w:cs="Times New Roman"/>
                <w:color w:val="0000FF"/>
                <w:sz w:val="24"/>
                <w:szCs w:val="24"/>
                <w:lang w:val="en-US" w:eastAsia="zh-CN"/>
              </w:rPr>
              <w:t>，</w:t>
            </w:r>
            <w:r>
              <w:rPr>
                <w:rFonts w:hint="default" w:ascii="Times New Roman" w:hAnsi="Times New Roman" w:eastAsia="宋体" w:cs="Times New Roman"/>
                <w:color w:val="0000FF"/>
                <w:sz w:val="24"/>
                <w:szCs w:val="24"/>
                <w:lang w:eastAsia="zh-CN"/>
              </w:rPr>
              <w:t>满足</w:t>
            </w:r>
            <w:r>
              <w:rPr>
                <w:rFonts w:hint="default" w:ascii="Times New Roman" w:hAnsi="Times New Roman" w:eastAsia="宋体" w:cs="Times New Roman"/>
                <w:bCs/>
                <w:color w:val="0000FF"/>
                <w:kern w:val="36"/>
                <w:sz w:val="24"/>
                <w:szCs w:val="24"/>
              </w:rPr>
              <w:t>《区域性大气污染物综合排放标准》（DB37/2376-2019）重点控制区排放标准要求</w:t>
            </w:r>
            <w:r>
              <w:rPr>
                <w:rFonts w:hint="default" w:ascii="Times New Roman" w:hAnsi="Times New Roman" w:eastAsia="宋体" w:cs="Times New Roman"/>
                <w:color w:val="0000FF"/>
                <w:sz w:val="24"/>
                <w:szCs w:val="24"/>
                <w:lang w:val="en-US" w:eastAsia="zh-CN"/>
              </w:rPr>
              <w:t>（颗粒物10</w:t>
            </w:r>
            <w:r>
              <w:rPr>
                <w:rFonts w:hint="default" w:ascii="Times New Roman" w:hAnsi="Times New Roman" w:eastAsia="宋体" w:cs="Times New Roman"/>
                <w:color w:val="0000FF"/>
                <w:sz w:val="24"/>
                <w:szCs w:val="24"/>
                <w:highlight w:val="none"/>
                <w:lang w:val="en-US" w:eastAsia="zh-CN"/>
              </w:rPr>
              <w:t>mg/m</w:t>
            </w:r>
            <w:r>
              <w:rPr>
                <w:rFonts w:hint="default" w:ascii="Times New Roman" w:hAnsi="Times New Roman" w:eastAsia="宋体" w:cs="Times New Roman"/>
                <w:color w:val="0000FF"/>
                <w:sz w:val="24"/>
                <w:szCs w:val="24"/>
                <w:highlight w:val="none"/>
                <w:vertAlign w:val="superscript"/>
                <w:lang w:val="en-US" w:eastAsia="zh-CN"/>
              </w:rPr>
              <w:t>3</w:t>
            </w:r>
            <w:r>
              <w:rPr>
                <w:rFonts w:hint="default" w:ascii="Times New Roman" w:hAnsi="Times New Roman" w:eastAsia="宋体" w:cs="Times New Roman"/>
                <w:color w:val="0000FF"/>
                <w:sz w:val="24"/>
                <w:szCs w:val="24"/>
                <w:lang w:eastAsia="zh-CN"/>
              </w:rPr>
              <w:t>，</w:t>
            </w:r>
            <w:r>
              <w:rPr>
                <w:rFonts w:hint="default" w:ascii="Times New Roman" w:hAnsi="Times New Roman" w:eastAsia="宋体" w:cs="Times New Roman"/>
                <w:color w:val="0000FF"/>
                <w:sz w:val="24"/>
                <w:szCs w:val="24"/>
                <w:lang w:val="en-US" w:eastAsia="zh-CN"/>
              </w:rPr>
              <w:t>NOx 100</w:t>
            </w:r>
            <w:r>
              <w:rPr>
                <w:rFonts w:hint="default" w:ascii="Times New Roman" w:hAnsi="Times New Roman" w:eastAsia="宋体" w:cs="Times New Roman"/>
                <w:color w:val="0000FF"/>
                <w:sz w:val="24"/>
                <w:szCs w:val="24"/>
                <w:highlight w:val="none"/>
                <w:lang w:val="en-US" w:eastAsia="zh-CN"/>
              </w:rPr>
              <w:t>mg/m</w:t>
            </w:r>
            <w:r>
              <w:rPr>
                <w:rFonts w:hint="default" w:ascii="Times New Roman" w:hAnsi="Times New Roman" w:eastAsia="宋体" w:cs="Times New Roman"/>
                <w:color w:val="0000FF"/>
                <w:sz w:val="24"/>
                <w:szCs w:val="24"/>
                <w:highlight w:val="none"/>
                <w:vertAlign w:val="superscript"/>
                <w:lang w:val="en-US" w:eastAsia="zh-CN"/>
              </w:rPr>
              <w:t>3</w:t>
            </w:r>
            <w:r>
              <w:rPr>
                <w:rFonts w:hint="default" w:ascii="Times New Roman" w:hAnsi="Times New Roman" w:eastAsia="宋体" w:cs="Times New Roman"/>
                <w:color w:val="0000FF"/>
                <w:sz w:val="24"/>
                <w:szCs w:val="24"/>
                <w:lang w:val="en-US" w:eastAsia="zh-CN"/>
              </w:rPr>
              <w:t>）；DA005排气筒中颗粒物的</w:t>
            </w:r>
            <w:r>
              <w:rPr>
                <w:rFonts w:hint="default" w:ascii="Times New Roman" w:hAnsi="Times New Roman" w:eastAsia="宋体" w:cs="Times New Roman"/>
                <w:color w:val="0000FF"/>
                <w:sz w:val="24"/>
                <w:szCs w:val="24"/>
                <w:lang w:eastAsia="zh-CN"/>
              </w:rPr>
              <w:t>最大排放浓度为</w:t>
            </w:r>
            <w:r>
              <w:rPr>
                <w:rFonts w:hint="default" w:ascii="Times New Roman" w:hAnsi="Times New Roman" w:eastAsia="宋体" w:cs="Times New Roman"/>
                <w:color w:val="0000FF"/>
                <w:sz w:val="24"/>
                <w:szCs w:val="24"/>
                <w:lang w:val="en-US" w:eastAsia="zh-CN"/>
              </w:rPr>
              <w:t>6.7</w:t>
            </w:r>
            <w:r>
              <w:rPr>
                <w:rFonts w:hint="default" w:ascii="Times New Roman" w:hAnsi="Times New Roman" w:eastAsia="宋体" w:cs="Times New Roman"/>
                <w:color w:val="0000FF"/>
                <w:sz w:val="24"/>
                <w:szCs w:val="24"/>
                <w:highlight w:val="none"/>
                <w:lang w:val="en-US" w:eastAsia="zh-CN"/>
              </w:rPr>
              <w:t>mg/m</w:t>
            </w:r>
            <w:r>
              <w:rPr>
                <w:rFonts w:hint="default" w:ascii="Times New Roman" w:hAnsi="Times New Roman" w:eastAsia="宋体" w:cs="Times New Roman"/>
                <w:color w:val="0000FF"/>
                <w:sz w:val="24"/>
                <w:szCs w:val="24"/>
                <w:highlight w:val="none"/>
                <w:vertAlign w:val="superscript"/>
                <w:lang w:val="en-US" w:eastAsia="zh-CN"/>
              </w:rPr>
              <w:t>3</w:t>
            </w:r>
            <w:r>
              <w:rPr>
                <w:rFonts w:hint="default" w:ascii="Times New Roman" w:hAnsi="Times New Roman" w:eastAsia="宋体" w:cs="Times New Roman"/>
                <w:color w:val="0000FF"/>
                <w:sz w:val="24"/>
                <w:szCs w:val="24"/>
                <w:lang w:eastAsia="zh-CN"/>
              </w:rPr>
              <w:t>，</w:t>
            </w:r>
            <w:r>
              <w:rPr>
                <w:rFonts w:hint="default" w:ascii="Times New Roman" w:hAnsi="Times New Roman" w:eastAsia="宋体" w:cs="Times New Roman"/>
                <w:color w:val="0000FF"/>
                <w:sz w:val="24"/>
                <w:szCs w:val="24"/>
                <w:lang w:val="en-US" w:eastAsia="zh-CN"/>
              </w:rPr>
              <w:t>NOx</w:t>
            </w:r>
            <w:r>
              <w:rPr>
                <w:rFonts w:hint="default" w:ascii="Times New Roman" w:hAnsi="Times New Roman" w:eastAsia="宋体" w:cs="Times New Roman"/>
                <w:color w:val="0000FF"/>
                <w:sz w:val="24"/>
                <w:szCs w:val="24"/>
                <w:lang w:eastAsia="zh-CN"/>
              </w:rPr>
              <w:t>最大排放浓度为</w:t>
            </w:r>
            <w:r>
              <w:rPr>
                <w:rFonts w:hint="default" w:ascii="Times New Roman" w:hAnsi="Times New Roman" w:eastAsia="宋体" w:cs="Times New Roman"/>
                <w:color w:val="0000FF"/>
                <w:sz w:val="24"/>
                <w:szCs w:val="24"/>
                <w:lang w:val="en-US" w:eastAsia="zh-CN"/>
              </w:rPr>
              <w:t>29</w:t>
            </w:r>
            <w:r>
              <w:rPr>
                <w:rFonts w:hint="default" w:ascii="Times New Roman" w:hAnsi="Times New Roman" w:eastAsia="宋体" w:cs="Times New Roman"/>
                <w:color w:val="0000FF"/>
                <w:sz w:val="24"/>
                <w:szCs w:val="24"/>
                <w:highlight w:val="none"/>
                <w:lang w:val="en-US" w:eastAsia="zh-CN"/>
              </w:rPr>
              <w:t>mg/m</w:t>
            </w:r>
            <w:r>
              <w:rPr>
                <w:rFonts w:hint="default" w:ascii="Times New Roman" w:hAnsi="Times New Roman" w:eastAsia="宋体" w:cs="Times New Roman"/>
                <w:color w:val="0000FF"/>
                <w:sz w:val="24"/>
                <w:szCs w:val="24"/>
                <w:highlight w:val="none"/>
                <w:vertAlign w:val="superscript"/>
                <w:lang w:val="en-US" w:eastAsia="zh-CN"/>
              </w:rPr>
              <w:t>3</w:t>
            </w:r>
            <w:r>
              <w:rPr>
                <w:rFonts w:hint="default" w:ascii="Times New Roman" w:hAnsi="Times New Roman" w:eastAsia="宋体" w:cs="Times New Roman"/>
                <w:color w:val="0000FF"/>
                <w:sz w:val="24"/>
                <w:szCs w:val="24"/>
                <w:lang w:val="en-US" w:eastAsia="zh-CN"/>
              </w:rPr>
              <w:t>，</w:t>
            </w:r>
            <w:r>
              <w:rPr>
                <w:rFonts w:hint="default" w:ascii="Times New Roman" w:hAnsi="Times New Roman" w:eastAsia="宋体" w:cs="Times New Roman"/>
                <w:color w:val="0000FF"/>
                <w:sz w:val="24"/>
                <w:szCs w:val="24"/>
                <w:lang w:eastAsia="zh-CN"/>
              </w:rPr>
              <w:t>满足</w:t>
            </w:r>
            <w:r>
              <w:rPr>
                <w:rFonts w:hint="default" w:ascii="Times New Roman" w:hAnsi="Times New Roman" w:eastAsia="宋体" w:cs="Times New Roman"/>
                <w:bCs/>
                <w:color w:val="0000FF"/>
                <w:kern w:val="36"/>
                <w:sz w:val="24"/>
                <w:szCs w:val="24"/>
              </w:rPr>
              <w:t>《区域性大气污染物综合排放标准》（DB37/2376-2019）重点控制区排放标准要求</w:t>
            </w:r>
            <w:r>
              <w:rPr>
                <w:rFonts w:hint="default" w:ascii="Times New Roman" w:hAnsi="Times New Roman" w:eastAsia="宋体" w:cs="Times New Roman"/>
                <w:color w:val="0000FF"/>
                <w:sz w:val="24"/>
                <w:szCs w:val="24"/>
                <w:lang w:val="en-US" w:eastAsia="zh-CN"/>
              </w:rPr>
              <w:t>（颗粒物10</w:t>
            </w:r>
            <w:r>
              <w:rPr>
                <w:rFonts w:hint="default" w:ascii="Times New Roman" w:hAnsi="Times New Roman" w:eastAsia="宋体" w:cs="Times New Roman"/>
                <w:color w:val="0000FF"/>
                <w:sz w:val="24"/>
                <w:szCs w:val="24"/>
                <w:highlight w:val="none"/>
                <w:lang w:val="en-US" w:eastAsia="zh-CN"/>
              </w:rPr>
              <w:t>mg/m</w:t>
            </w:r>
            <w:r>
              <w:rPr>
                <w:rFonts w:hint="default" w:ascii="Times New Roman" w:hAnsi="Times New Roman" w:eastAsia="宋体" w:cs="Times New Roman"/>
                <w:color w:val="0000FF"/>
                <w:sz w:val="24"/>
                <w:szCs w:val="24"/>
                <w:highlight w:val="none"/>
                <w:vertAlign w:val="superscript"/>
                <w:lang w:val="en-US" w:eastAsia="zh-CN"/>
              </w:rPr>
              <w:t>3</w:t>
            </w:r>
            <w:r>
              <w:rPr>
                <w:rFonts w:hint="default" w:ascii="Times New Roman" w:hAnsi="Times New Roman" w:eastAsia="宋体" w:cs="Times New Roman"/>
                <w:color w:val="0000FF"/>
                <w:sz w:val="24"/>
                <w:szCs w:val="24"/>
                <w:lang w:eastAsia="zh-CN"/>
              </w:rPr>
              <w:t>，</w:t>
            </w:r>
            <w:r>
              <w:rPr>
                <w:rFonts w:hint="default" w:ascii="Times New Roman" w:hAnsi="Times New Roman" w:eastAsia="宋体" w:cs="Times New Roman"/>
                <w:color w:val="0000FF"/>
                <w:sz w:val="24"/>
                <w:szCs w:val="24"/>
                <w:lang w:val="en-US" w:eastAsia="zh-CN"/>
              </w:rPr>
              <w:t>NOx 100</w:t>
            </w:r>
            <w:r>
              <w:rPr>
                <w:rFonts w:hint="default" w:ascii="Times New Roman" w:hAnsi="Times New Roman" w:eastAsia="宋体" w:cs="Times New Roman"/>
                <w:color w:val="0000FF"/>
                <w:sz w:val="24"/>
                <w:szCs w:val="24"/>
                <w:highlight w:val="none"/>
                <w:lang w:val="en-US" w:eastAsia="zh-CN"/>
              </w:rPr>
              <w:t>mg/m</w:t>
            </w:r>
            <w:r>
              <w:rPr>
                <w:rFonts w:hint="default" w:ascii="Times New Roman" w:hAnsi="Times New Roman" w:eastAsia="宋体" w:cs="Times New Roman"/>
                <w:color w:val="0000FF"/>
                <w:sz w:val="24"/>
                <w:szCs w:val="24"/>
                <w:highlight w:val="none"/>
                <w:vertAlign w:val="superscript"/>
                <w:lang w:val="en-US" w:eastAsia="zh-CN"/>
              </w:rPr>
              <w:t>3</w:t>
            </w:r>
            <w:r>
              <w:rPr>
                <w:rFonts w:hint="default" w:ascii="Times New Roman" w:hAnsi="Times New Roman" w:eastAsia="宋体" w:cs="Times New Roman"/>
                <w:color w:val="0000FF"/>
                <w:sz w:val="24"/>
                <w:szCs w:val="24"/>
                <w:lang w:val="en-US" w:eastAsia="zh-CN"/>
              </w:rPr>
              <w:t>）</w:t>
            </w:r>
            <w:r>
              <w:rPr>
                <w:rFonts w:hint="eastAsia" w:ascii="Times New Roman" w:hAnsi="Times New Roman" w:eastAsia="宋体" w:cs="Times New Roman"/>
                <w:color w:val="0000FF"/>
                <w:sz w:val="24"/>
                <w:szCs w:val="24"/>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default" w:ascii="Times New Roman" w:hAnsi="Times New Roman" w:eastAsia="宋体" w:cs="Times New Roman"/>
                <w:lang w:val="en-US" w:eastAsia="zh-CN"/>
              </w:rPr>
            </w:pPr>
            <w:r>
              <w:rPr>
                <w:rFonts w:hint="default" w:ascii="Times New Roman" w:hAnsi="Times New Roman" w:eastAsia="宋体" w:cs="Times New Roman"/>
                <w:color w:val="0000FF"/>
                <w:kern w:val="2"/>
                <w:sz w:val="24"/>
                <w:szCs w:val="24"/>
                <w:lang w:val="en-US" w:eastAsia="zh-CN" w:bidi="ar"/>
              </w:rPr>
              <w:t>厂界氨最大排放浓度为0.17mg/m</w:t>
            </w:r>
            <w:r>
              <w:rPr>
                <w:rFonts w:hint="default" w:ascii="Times New Roman" w:hAnsi="Times New Roman" w:eastAsia="宋体" w:cs="Times New Roman"/>
                <w:color w:val="0000FF"/>
                <w:kern w:val="2"/>
                <w:sz w:val="24"/>
                <w:szCs w:val="24"/>
                <w:vertAlign w:val="superscript"/>
                <w:lang w:val="en-US" w:eastAsia="zh-CN" w:bidi="ar"/>
              </w:rPr>
              <w:t>3</w:t>
            </w:r>
            <w:r>
              <w:rPr>
                <w:rFonts w:hint="default" w:ascii="Times New Roman" w:hAnsi="Times New Roman" w:eastAsia="宋体" w:cs="Times New Roman"/>
                <w:color w:val="0000FF"/>
                <w:kern w:val="2"/>
                <w:sz w:val="24"/>
                <w:szCs w:val="24"/>
                <w:vertAlign w:val="baseline"/>
                <w:lang w:val="en-US" w:eastAsia="zh-CN" w:bidi="ar"/>
              </w:rPr>
              <w:t>，</w:t>
            </w:r>
            <w:r>
              <w:rPr>
                <w:rFonts w:hint="default" w:ascii="Times New Roman" w:hAnsi="Times New Roman" w:eastAsia="宋体" w:cs="Times New Roman"/>
                <w:color w:val="0000FF"/>
                <w:kern w:val="2"/>
                <w:sz w:val="24"/>
                <w:szCs w:val="24"/>
                <w:lang w:val="en-US" w:eastAsia="zh-CN" w:bidi="ar"/>
              </w:rPr>
              <w:t>厂界硫化氢最大排放浓度为0.015mg/m</w:t>
            </w:r>
            <w:r>
              <w:rPr>
                <w:rFonts w:hint="default" w:ascii="Times New Roman" w:hAnsi="Times New Roman" w:eastAsia="宋体" w:cs="Times New Roman"/>
                <w:color w:val="0000FF"/>
                <w:kern w:val="2"/>
                <w:sz w:val="24"/>
                <w:szCs w:val="24"/>
                <w:vertAlign w:val="superscript"/>
                <w:lang w:val="en-US" w:eastAsia="zh-CN" w:bidi="ar"/>
              </w:rPr>
              <w:t>3</w:t>
            </w:r>
            <w:r>
              <w:rPr>
                <w:rFonts w:hint="default" w:ascii="Times New Roman" w:hAnsi="Times New Roman" w:eastAsia="宋体" w:cs="Times New Roman"/>
                <w:color w:val="0000FF"/>
                <w:kern w:val="2"/>
                <w:sz w:val="24"/>
                <w:szCs w:val="24"/>
                <w:vertAlign w:val="baseline"/>
                <w:lang w:val="en-US" w:eastAsia="zh-CN" w:bidi="ar"/>
              </w:rPr>
              <w:t>，氨、硫化氢</w:t>
            </w:r>
            <w:r>
              <w:rPr>
                <w:rFonts w:hint="default" w:ascii="Times New Roman" w:hAnsi="Times New Roman" w:eastAsia="宋体" w:cs="Times New Roman"/>
                <w:color w:val="0000FF"/>
                <w:sz w:val="24"/>
                <w:szCs w:val="24"/>
                <w:lang w:val="en-US" w:eastAsia="zh-CN" w:bidi="ar-SA"/>
              </w:rPr>
              <w:t>满足</w:t>
            </w:r>
            <w:r>
              <w:rPr>
                <w:rFonts w:hint="default" w:ascii="Times New Roman" w:hAnsi="Times New Roman" w:eastAsia="宋体" w:cs="Times New Roman"/>
                <w:bCs/>
                <w:color w:val="0000FF"/>
                <w:kern w:val="36"/>
                <w:sz w:val="24"/>
                <w:szCs w:val="24"/>
              </w:rPr>
              <w:t>《恶臭污染物排放标准》（GB14554-93）中表</w:t>
            </w:r>
            <w:r>
              <w:rPr>
                <w:rFonts w:hint="default" w:ascii="Times New Roman" w:hAnsi="Times New Roman" w:eastAsia="宋体" w:cs="Times New Roman"/>
                <w:bCs/>
                <w:color w:val="0000FF"/>
                <w:kern w:val="36"/>
                <w:sz w:val="24"/>
                <w:szCs w:val="24"/>
                <w:lang w:val="en-US" w:eastAsia="zh-CN"/>
              </w:rPr>
              <w:t>1恶臭污染物厂界标准值</w:t>
            </w:r>
            <w:r>
              <w:rPr>
                <w:rFonts w:hint="default" w:ascii="Times New Roman" w:hAnsi="Times New Roman" w:eastAsia="宋体" w:cs="Times New Roman"/>
                <w:bCs/>
                <w:color w:val="0000FF"/>
                <w:kern w:val="36"/>
                <w:sz w:val="24"/>
                <w:szCs w:val="24"/>
              </w:rPr>
              <w:t>要求</w:t>
            </w:r>
            <w:r>
              <w:rPr>
                <w:rFonts w:hint="default" w:ascii="Times New Roman" w:hAnsi="Times New Roman" w:eastAsia="宋体" w:cs="Times New Roman"/>
                <w:color w:val="0000FF"/>
                <w:sz w:val="24"/>
                <w:szCs w:val="24"/>
                <w:lang w:val="en-US" w:eastAsia="zh-CN"/>
              </w:rPr>
              <w:t>（氨1.5</w:t>
            </w:r>
            <w:r>
              <w:rPr>
                <w:rFonts w:hint="default" w:ascii="Times New Roman" w:hAnsi="Times New Roman" w:eastAsia="宋体" w:cs="Times New Roman"/>
                <w:color w:val="0000FF"/>
                <w:kern w:val="2"/>
                <w:sz w:val="24"/>
                <w:szCs w:val="24"/>
                <w:lang w:val="en-US" w:eastAsia="zh-CN" w:bidi="ar"/>
              </w:rPr>
              <w:t>mg/m</w:t>
            </w:r>
            <w:r>
              <w:rPr>
                <w:rFonts w:hint="default" w:ascii="Times New Roman" w:hAnsi="Times New Roman" w:eastAsia="宋体" w:cs="Times New Roman"/>
                <w:color w:val="0000FF"/>
                <w:kern w:val="2"/>
                <w:sz w:val="24"/>
                <w:szCs w:val="24"/>
                <w:vertAlign w:val="superscript"/>
                <w:lang w:val="en-US" w:eastAsia="zh-CN" w:bidi="ar"/>
              </w:rPr>
              <w:t>3</w:t>
            </w:r>
            <w:r>
              <w:rPr>
                <w:rFonts w:hint="default" w:ascii="Times New Roman" w:hAnsi="Times New Roman" w:eastAsia="宋体" w:cs="Times New Roman"/>
                <w:color w:val="0000FF"/>
                <w:sz w:val="24"/>
                <w:szCs w:val="24"/>
                <w:lang w:eastAsia="zh-CN"/>
              </w:rPr>
              <w:t>，硫化氢</w:t>
            </w:r>
            <w:r>
              <w:rPr>
                <w:rFonts w:hint="default" w:ascii="Times New Roman" w:hAnsi="Times New Roman" w:eastAsia="宋体" w:cs="Times New Roman"/>
                <w:color w:val="0000FF"/>
                <w:sz w:val="24"/>
                <w:szCs w:val="24"/>
                <w:lang w:val="en-US" w:eastAsia="zh-CN"/>
              </w:rPr>
              <w:t>0.06</w:t>
            </w:r>
            <w:r>
              <w:rPr>
                <w:rFonts w:hint="default" w:ascii="Times New Roman" w:hAnsi="Times New Roman" w:eastAsia="宋体" w:cs="Times New Roman"/>
                <w:color w:val="0000FF"/>
                <w:kern w:val="2"/>
                <w:sz w:val="24"/>
                <w:szCs w:val="24"/>
                <w:lang w:val="en-US" w:eastAsia="zh-CN" w:bidi="ar"/>
              </w:rPr>
              <w:t>mg/m</w:t>
            </w:r>
            <w:r>
              <w:rPr>
                <w:rFonts w:hint="default" w:ascii="Times New Roman" w:hAnsi="Times New Roman" w:eastAsia="宋体" w:cs="Times New Roman"/>
                <w:color w:val="0000FF"/>
                <w:kern w:val="2"/>
                <w:sz w:val="24"/>
                <w:szCs w:val="24"/>
                <w:vertAlign w:val="superscript"/>
                <w:lang w:val="en-US" w:eastAsia="zh-CN" w:bidi="ar"/>
              </w:rPr>
              <w:t>3</w:t>
            </w:r>
            <w:r>
              <w:rPr>
                <w:rFonts w:hint="default" w:ascii="Times New Roman" w:hAnsi="Times New Roman" w:eastAsia="宋体" w:cs="Times New Roman"/>
                <w:color w:val="0000FF"/>
                <w:kern w:val="2"/>
                <w:sz w:val="24"/>
                <w:szCs w:val="24"/>
                <w:vertAlign w:val="baseline"/>
                <w:lang w:val="en-US" w:eastAsia="zh-CN" w:bidi="ar"/>
              </w:rPr>
              <w:t>）</w:t>
            </w:r>
            <w:r>
              <w:rPr>
                <w:rFonts w:hint="default" w:ascii="Times New Roman" w:hAnsi="Times New Roman" w:eastAsia="宋体" w:cs="Times New Roman"/>
                <w:color w:val="0000FF"/>
                <w:sz w:val="24"/>
                <w:szCs w:val="24"/>
                <w:lang w:val="en-US" w:eastAsia="zh-CN" w:bidi="ar-SA"/>
              </w:rPr>
              <w:t>；厂界臭气浓度</w:t>
            </w:r>
            <w:r>
              <w:rPr>
                <w:rFonts w:hint="default" w:ascii="Times New Roman" w:hAnsi="Times New Roman" w:eastAsia="宋体" w:cs="Times New Roman"/>
                <w:color w:val="0000FF"/>
                <w:kern w:val="2"/>
                <w:sz w:val="24"/>
                <w:szCs w:val="24"/>
                <w:lang w:val="en-US" w:eastAsia="zh-CN" w:bidi="ar"/>
              </w:rPr>
              <w:t>最大排放为16（无量纲）</w:t>
            </w:r>
            <w:r>
              <w:rPr>
                <w:rFonts w:hint="default" w:ascii="Times New Roman" w:hAnsi="Times New Roman" w:eastAsia="宋体" w:cs="Times New Roman"/>
                <w:color w:val="0000FF"/>
                <w:kern w:val="2"/>
                <w:sz w:val="24"/>
                <w:szCs w:val="24"/>
                <w:vertAlign w:val="baseline"/>
                <w:lang w:val="en-US" w:eastAsia="zh-CN" w:bidi="ar"/>
              </w:rPr>
              <w:t>，臭气浓度满足</w:t>
            </w:r>
            <w:r>
              <w:rPr>
                <w:rFonts w:hint="default" w:ascii="Times New Roman" w:hAnsi="Times New Roman" w:eastAsia="宋体" w:cs="Times New Roman"/>
                <w:color w:val="0000FF"/>
                <w:sz w:val="24"/>
                <w:szCs w:val="24"/>
                <w:lang w:val="en-US" w:eastAsia="zh-CN"/>
              </w:rPr>
              <w:t>《挥发性有机物排放标准 第7部分：其他行业》（DB37/2801.7-2019）表2厂界监控点浓度限值标准（臭气浓度16无量纲）</w:t>
            </w:r>
            <w:r>
              <w:rPr>
                <w:rFonts w:hint="default" w:ascii="Times New Roman" w:hAnsi="Times New Roman" w:eastAsia="宋体" w:cs="Times New Roman"/>
                <w:color w:val="0000FF"/>
                <w:sz w:val="24"/>
                <w:szCs w:val="24"/>
                <w:lang w:eastAsia="zh-CN"/>
              </w:rPr>
              <w:t>；</w:t>
            </w:r>
            <w:r>
              <w:rPr>
                <w:rFonts w:hint="default" w:ascii="Times New Roman" w:hAnsi="Times New Roman" w:eastAsia="宋体" w:cs="Times New Roman"/>
                <w:color w:val="0000FF"/>
                <w:kern w:val="2"/>
                <w:sz w:val="24"/>
                <w:szCs w:val="24"/>
                <w:lang w:val="en-US" w:eastAsia="zh-CN" w:bidi="ar"/>
              </w:rPr>
              <w:t>厂界氯化氢最大排放浓度为0.042mg/m</w:t>
            </w:r>
            <w:r>
              <w:rPr>
                <w:rFonts w:hint="default" w:ascii="Times New Roman" w:hAnsi="Times New Roman" w:eastAsia="宋体" w:cs="Times New Roman"/>
                <w:color w:val="0000FF"/>
                <w:kern w:val="2"/>
                <w:sz w:val="24"/>
                <w:szCs w:val="24"/>
                <w:vertAlign w:val="superscript"/>
                <w:lang w:val="en-US" w:eastAsia="zh-CN" w:bidi="ar"/>
              </w:rPr>
              <w:t>3</w:t>
            </w:r>
            <w:r>
              <w:rPr>
                <w:rFonts w:hint="default" w:ascii="Times New Roman" w:hAnsi="Times New Roman" w:eastAsia="宋体" w:cs="Times New Roman"/>
                <w:color w:val="0000FF"/>
                <w:kern w:val="2"/>
                <w:sz w:val="24"/>
                <w:szCs w:val="24"/>
                <w:vertAlign w:val="baseline"/>
                <w:lang w:val="en-US" w:eastAsia="zh-CN" w:bidi="ar"/>
              </w:rPr>
              <w:t>，氯化氢浓度满足</w:t>
            </w:r>
            <w:r>
              <w:rPr>
                <w:rFonts w:hint="default" w:ascii="Times New Roman" w:hAnsi="Times New Roman" w:eastAsia="宋体" w:cs="Times New Roman"/>
                <w:color w:val="0000FF"/>
                <w:sz w:val="24"/>
                <w:szCs w:val="24"/>
                <w:lang w:val="en-US" w:eastAsia="zh-CN"/>
              </w:rPr>
              <w:t>《大气污染物综合排放标准》（GB16297-1996）表2新污染源大气污染物无组织排放浓度限值要求（氯化氢：0.2mg/m</w:t>
            </w:r>
            <w:r>
              <w:rPr>
                <w:rFonts w:hint="default" w:ascii="Times New Roman" w:hAnsi="Times New Roman" w:eastAsia="宋体" w:cs="Times New Roman"/>
                <w:color w:val="0000FF"/>
                <w:sz w:val="24"/>
                <w:szCs w:val="24"/>
                <w:vertAlign w:val="superscript"/>
                <w:lang w:val="en-US" w:eastAsia="zh-CN"/>
              </w:rPr>
              <w:t>3</w:t>
            </w:r>
            <w:r>
              <w:rPr>
                <w:rFonts w:hint="default" w:ascii="Times New Roman" w:hAnsi="Times New Roman" w:eastAsia="宋体" w:cs="Times New Roman"/>
                <w:color w:val="0000FF"/>
                <w:sz w:val="24"/>
                <w:szCs w:val="24"/>
                <w:lang w:val="en-US" w:eastAsia="zh-CN"/>
              </w:rPr>
              <w:t>）</w:t>
            </w:r>
            <w:r>
              <w:rPr>
                <w:rFonts w:hint="eastAsia" w:ascii="Times New Roman" w:hAnsi="Times New Roman" w:eastAsia="宋体" w:cs="Times New Roman"/>
                <w:color w:val="0000FF"/>
                <w:sz w:val="24"/>
                <w:szCs w:val="24"/>
                <w:lang w:val="en-US" w:eastAsia="zh-CN"/>
              </w:rPr>
              <w:t>。</w:t>
            </w:r>
          </w:p>
          <w:p>
            <w:pPr>
              <w:pStyle w:val="2"/>
              <w:ind w:left="0" w:leftChars="0" w:firstLine="482" w:firstLineChars="200"/>
              <w:rPr>
                <w:rFonts w:hint="eastAsia" w:ascii="黑体" w:hAnsi="黑体" w:eastAsia="黑体" w:cs="黑体"/>
                <w:b/>
                <w:bCs/>
                <w:color w:val="auto"/>
                <w:lang w:val="en-US" w:eastAsia="zh-CN"/>
              </w:rPr>
            </w:pPr>
            <w:r>
              <w:rPr>
                <w:rFonts w:hint="eastAsia" w:ascii="黑体" w:hAnsi="黑体" w:eastAsia="黑体" w:cs="黑体"/>
                <w:b/>
                <w:bCs/>
                <w:color w:val="auto"/>
                <w:lang w:val="en-US" w:eastAsia="zh-CN"/>
              </w:rPr>
              <w:t>1.3噪声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噪声主要来源于空压机、挤压机、过滤机、套缩机、混揉机等设备，噪声级一般在75～95dB(A)左右，针对噪声防治企业采取了利用生产车间墙壁隔绝和吸收噪声、在主要噪声设备底座加装减振垫、减振器、合理布局、加强绿化等防治措施。</w:t>
            </w:r>
          </w:p>
          <w:p>
            <w:pPr>
              <w:pStyle w:val="2"/>
              <w:ind w:left="0" w:leftChars="0" w:firstLine="482" w:firstLineChars="200"/>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1.4固废</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color w:val="auto"/>
                <w:sz w:val="24"/>
                <w:szCs w:val="24"/>
                <w:lang w:val="en-US" w:eastAsia="zh-CN"/>
              </w:rPr>
            </w:pPr>
            <w:r>
              <w:rPr>
                <w:rFonts w:hint="default" w:ascii="Times New Roman" w:hAnsi="Times New Roman" w:eastAsia="宋体" w:cs="Times New Roman"/>
                <w:color w:val="auto"/>
                <w:kern w:val="2"/>
                <w:sz w:val="24"/>
                <w:szCs w:val="24"/>
                <w:lang w:val="en-US" w:eastAsia="zh-CN" w:bidi="ar"/>
              </w:rPr>
              <w:t>项目产生的固体废物主要为</w:t>
            </w:r>
            <w:r>
              <w:rPr>
                <w:rFonts w:hint="eastAsia" w:ascii="Times New Roman" w:hAnsi="Times New Roman" w:eastAsia="宋体" w:cs="Times New Roman"/>
                <w:color w:val="auto"/>
                <w:kern w:val="2"/>
                <w:sz w:val="24"/>
                <w:szCs w:val="24"/>
                <w:lang w:val="en-US" w:eastAsia="zh-CN" w:bidi="ar"/>
              </w:rPr>
              <w:t>切粒压片工序中</w:t>
            </w:r>
            <w:r>
              <w:rPr>
                <w:rFonts w:hint="default" w:ascii="Times New Roman" w:hAnsi="Times New Roman" w:eastAsia="宋体" w:cs="Times New Roman"/>
                <w:color w:val="auto"/>
                <w:kern w:val="2"/>
                <w:sz w:val="24"/>
                <w:szCs w:val="24"/>
                <w:lang w:val="en-US" w:eastAsia="zh-CN" w:bidi="ar"/>
              </w:rPr>
              <w:t>产生的</w:t>
            </w:r>
            <w:r>
              <w:rPr>
                <w:rFonts w:hint="eastAsia" w:ascii="Times New Roman" w:hAnsi="Times New Roman" w:eastAsia="宋体" w:cs="Times New Roman"/>
                <w:color w:val="auto"/>
                <w:kern w:val="2"/>
                <w:sz w:val="24"/>
                <w:szCs w:val="24"/>
                <w:lang w:val="en-US" w:eastAsia="zh-CN" w:bidi="ar"/>
              </w:rPr>
              <w:t>边角料</w:t>
            </w:r>
            <w:r>
              <w:rPr>
                <w:rFonts w:hint="default" w:ascii="Times New Roman" w:hAnsi="Times New Roman" w:eastAsia="宋体" w:cs="Times New Roman"/>
                <w:color w:val="auto"/>
                <w:kern w:val="2"/>
                <w:sz w:val="24"/>
                <w:szCs w:val="24"/>
                <w:lang w:val="en-US" w:eastAsia="zh-CN" w:bidi="ar"/>
              </w:rPr>
              <w:t>，</w:t>
            </w:r>
            <w:r>
              <w:rPr>
                <w:rFonts w:hint="eastAsia" w:ascii="Times New Roman" w:hAnsi="Times New Roman" w:eastAsia="宋体" w:cs="Times New Roman"/>
                <w:color w:val="auto"/>
                <w:kern w:val="2"/>
                <w:sz w:val="24"/>
                <w:szCs w:val="24"/>
                <w:lang w:val="en-US" w:eastAsia="zh-CN" w:bidi="ar"/>
              </w:rPr>
              <w:t>过滤工序中产生的残渣</w:t>
            </w:r>
            <w:r>
              <w:rPr>
                <w:rFonts w:hint="default" w:ascii="Times New Roman" w:hAnsi="Times New Roman" w:eastAsia="宋体" w:cs="Times New Roman"/>
                <w:color w:val="auto"/>
                <w:kern w:val="2"/>
                <w:sz w:val="24"/>
                <w:szCs w:val="24"/>
                <w:lang w:val="en-US" w:eastAsia="zh-CN" w:bidi="ar"/>
              </w:rPr>
              <w:t>，</w:t>
            </w:r>
            <w:r>
              <w:rPr>
                <w:rFonts w:hint="eastAsia" w:ascii="Times New Roman" w:hAnsi="Times New Roman" w:eastAsia="宋体" w:cs="Times New Roman"/>
                <w:color w:val="auto"/>
                <w:kern w:val="2"/>
                <w:sz w:val="24"/>
                <w:szCs w:val="24"/>
                <w:lang w:val="en-US" w:eastAsia="zh-CN" w:bidi="ar"/>
              </w:rPr>
              <w:t>挤出塑性工序中产生的残次品，原辅材料使用过程中产生的废包装袋，污水处理站产生的污泥，废机油以及生活垃圾。切粒压片工序中</w:t>
            </w:r>
            <w:r>
              <w:rPr>
                <w:rFonts w:hint="default" w:ascii="Times New Roman" w:hAnsi="Times New Roman" w:eastAsia="宋体" w:cs="Times New Roman"/>
                <w:color w:val="auto"/>
                <w:kern w:val="2"/>
                <w:sz w:val="24"/>
                <w:szCs w:val="24"/>
                <w:lang w:val="en-US" w:eastAsia="zh-CN" w:bidi="ar"/>
              </w:rPr>
              <w:t>产生的</w:t>
            </w:r>
            <w:r>
              <w:rPr>
                <w:rFonts w:hint="eastAsia" w:ascii="Times New Roman" w:hAnsi="Times New Roman" w:eastAsia="宋体" w:cs="Times New Roman"/>
                <w:color w:val="auto"/>
                <w:kern w:val="2"/>
                <w:sz w:val="24"/>
                <w:szCs w:val="24"/>
                <w:lang w:val="en-US" w:eastAsia="zh-CN" w:bidi="ar"/>
              </w:rPr>
              <w:t>边角料</w:t>
            </w:r>
            <w:r>
              <w:rPr>
                <w:rFonts w:hint="default" w:ascii="Times New Roman" w:hAnsi="Times New Roman" w:eastAsia="宋体" w:cs="Times New Roman"/>
                <w:color w:val="auto"/>
                <w:kern w:val="2"/>
                <w:sz w:val="24"/>
                <w:szCs w:val="24"/>
                <w:lang w:val="en-US" w:eastAsia="zh-CN" w:bidi="ar"/>
              </w:rPr>
              <w:t>，</w:t>
            </w:r>
            <w:r>
              <w:rPr>
                <w:rFonts w:hint="eastAsia" w:ascii="Times New Roman" w:hAnsi="Times New Roman" w:eastAsia="宋体" w:cs="Times New Roman"/>
                <w:color w:val="auto"/>
                <w:kern w:val="2"/>
                <w:sz w:val="24"/>
                <w:szCs w:val="24"/>
                <w:lang w:val="en-US" w:eastAsia="zh-CN" w:bidi="ar"/>
              </w:rPr>
              <w:t>过滤工序中产生的残渣</w:t>
            </w:r>
            <w:r>
              <w:rPr>
                <w:rFonts w:hint="default" w:ascii="Times New Roman" w:hAnsi="Times New Roman" w:eastAsia="宋体" w:cs="Times New Roman"/>
                <w:color w:val="auto"/>
                <w:kern w:val="2"/>
                <w:sz w:val="24"/>
                <w:szCs w:val="24"/>
                <w:lang w:val="en-US" w:eastAsia="zh-CN" w:bidi="ar"/>
              </w:rPr>
              <w:t>，</w:t>
            </w:r>
            <w:r>
              <w:rPr>
                <w:rFonts w:hint="eastAsia" w:ascii="Times New Roman" w:hAnsi="Times New Roman" w:eastAsia="宋体" w:cs="Times New Roman"/>
                <w:color w:val="auto"/>
                <w:kern w:val="2"/>
                <w:sz w:val="24"/>
                <w:szCs w:val="24"/>
                <w:lang w:val="en-US" w:eastAsia="zh-CN" w:bidi="ar"/>
              </w:rPr>
              <w:t>挤出塑性工序中产生的残次品均收集后作为生物饲料的生产原料外卖；废包装袋作为废品外售；污水处理站产生的污泥委托交由建材生产企业处理；废机油暂存危废间委托交由有资质单位处理；职工生活垃圾由环卫部门定期清理外运。</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三、现有项目产污汇总</w:t>
            </w:r>
          </w:p>
          <w:p>
            <w:pPr>
              <w:keepNext w:val="0"/>
              <w:keepLines w:val="0"/>
              <w:pageBreakBefore w:val="0"/>
              <w:kinsoku/>
              <w:wordWrap/>
              <w:overflowPunct/>
              <w:topLinePunct w:val="0"/>
              <w:autoSpaceDE/>
              <w:autoSpaceDN/>
              <w:bidi w:val="0"/>
              <w:spacing w:line="360" w:lineRule="auto"/>
              <w:jc w:val="center"/>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表30 现有项目污染物汇总</w:t>
            </w:r>
          </w:p>
          <w:tbl>
            <w:tblPr>
              <w:tblStyle w:val="21"/>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69"/>
              <w:gridCol w:w="1100"/>
              <w:gridCol w:w="2250"/>
              <w:gridCol w:w="1347"/>
              <w:gridCol w:w="1565"/>
              <w:gridCol w:w="13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369" w:type="dxa"/>
                  <w:vMerge w:val="restar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类型</w:t>
                  </w:r>
                </w:p>
              </w:tc>
              <w:tc>
                <w:tcPr>
                  <w:tcW w:w="1100" w:type="dxa"/>
                  <w:vMerge w:val="restar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产污环节</w:t>
                  </w:r>
                </w:p>
              </w:tc>
              <w:tc>
                <w:tcPr>
                  <w:tcW w:w="2250" w:type="dxa"/>
                  <w:vMerge w:val="restar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污染物名称</w:t>
                  </w:r>
                </w:p>
              </w:tc>
              <w:tc>
                <w:tcPr>
                  <w:tcW w:w="2912" w:type="dxa"/>
                  <w:gridSpan w:val="2"/>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排放量</w:t>
                  </w:r>
                  <w:r>
                    <w:rPr>
                      <w:rFonts w:hint="default" w:ascii="Times New Roman" w:hAnsi="Times New Roman" w:cs="Times New Roman"/>
                      <w:sz w:val="21"/>
                      <w:szCs w:val="21"/>
                      <w:lang w:val="en-US" w:eastAsia="zh-CN"/>
                    </w:rPr>
                    <w:t>/浓度</w:t>
                  </w:r>
                </w:p>
              </w:tc>
              <w:tc>
                <w:tcPr>
                  <w:tcW w:w="1306" w:type="dxa"/>
                  <w:vMerge w:val="restar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369"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rPr>
                  </w:pPr>
                </w:p>
              </w:tc>
              <w:tc>
                <w:tcPr>
                  <w:tcW w:w="1100"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rPr>
                  </w:pPr>
                </w:p>
              </w:tc>
              <w:tc>
                <w:tcPr>
                  <w:tcW w:w="2250"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rPr>
                  </w:pPr>
                </w:p>
              </w:tc>
              <w:tc>
                <w:tcPr>
                  <w:tcW w:w="1347"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黄河龙</w:t>
                  </w:r>
                </w:p>
              </w:tc>
              <w:tc>
                <w:tcPr>
                  <w:tcW w:w="156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color w:val="0000FF"/>
                      <w:sz w:val="21"/>
                      <w:szCs w:val="21"/>
                      <w:lang w:eastAsia="zh-CN"/>
                    </w:rPr>
                  </w:pPr>
                  <w:r>
                    <w:rPr>
                      <w:rFonts w:hint="default" w:ascii="Times New Roman" w:hAnsi="Times New Roman" w:cs="Times New Roman"/>
                      <w:color w:val="0000FF"/>
                      <w:sz w:val="21"/>
                      <w:szCs w:val="21"/>
                      <w:lang w:eastAsia="zh-CN"/>
                    </w:rPr>
                    <w:t>海奥斯</w:t>
                  </w:r>
                </w:p>
              </w:tc>
              <w:tc>
                <w:tcPr>
                  <w:tcW w:w="1306"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369" w:type="dxa"/>
                  <w:vMerge w:val="restar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大气污染物</w:t>
                  </w:r>
                </w:p>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eastAsia="zh-CN"/>
                    </w:rPr>
                  </w:pPr>
                </w:p>
              </w:tc>
              <w:tc>
                <w:tcPr>
                  <w:tcW w:w="1100" w:type="dxa"/>
                  <w:vMerge w:val="restar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有组织</w:t>
                  </w:r>
                </w:p>
              </w:tc>
              <w:tc>
                <w:tcPr>
                  <w:tcW w:w="225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氨</w:t>
                  </w:r>
                </w:p>
              </w:tc>
              <w:tc>
                <w:tcPr>
                  <w:tcW w:w="1347"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56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color w:val="0000FF"/>
                      <w:sz w:val="21"/>
                      <w:szCs w:val="21"/>
                      <w:lang w:val="en-US" w:eastAsia="zh-CN"/>
                    </w:rPr>
                  </w:pPr>
                  <w:r>
                    <w:rPr>
                      <w:rFonts w:hint="default" w:ascii="Times New Roman" w:hAnsi="Times New Roman" w:cs="Times New Roman"/>
                      <w:color w:val="0000FF"/>
                      <w:sz w:val="21"/>
                      <w:szCs w:val="21"/>
                      <w:lang w:val="en-US" w:eastAsia="zh-CN"/>
                    </w:rPr>
                    <w:t>0.716t/a</w:t>
                  </w:r>
                </w:p>
              </w:tc>
              <w:tc>
                <w:tcPr>
                  <w:tcW w:w="1306"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369"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eastAsia="zh-CN"/>
                    </w:rPr>
                  </w:pPr>
                </w:p>
              </w:tc>
              <w:tc>
                <w:tcPr>
                  <w:tcW w:w="1100"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val="en-US" w:eastAsia="zh-CN"/>
                    </w:rPr>
                  </w:pPr>
                </w:p>
              </w:tc>
              <w:tc>
                <w:tcPr>
                  <w:tcW w:w="225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硫化氢</w:t>
                  </w:r>
                </w:p>
              </w:tc>
              <w:tc>
                <w:tcPr>
                  <w:tcW w:w="1347"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56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color w:val="0000FF"/>
                      <w:sz w:val="21"/>
                      <w:szCs w:val="21"/>
                      <w:lang w:val="en-US" w:eastAsia="zh-CN"/>
                    </w:rPr>
                  </w:pPr>
                  <w:r>
                    <w:rPr>
                      <w:rFonts w:hint="default" w:ascii="Times New Roman" w:hAnsi="Times New Roman" w:cs="Times New Roman"/>
                      <w:color w:val="0000FF"/>
                      <w:sz w:val="21"/>
                      <w:szCs w:val="21"/>
                      <w:lang w:val="en-US" w:eastAsia="zh-CN"/>
                    </w:rPr>
                    <w:t>0.060t/a</w:t>
                  </w:r>
                </w:p>
              </w:tc>
              <w:tc>
                <w:tcPr>
                  <w:tcW w:w="1306"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369"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eastAsia="zh-CN"/>
                    </w:rPr>
                  </w:pPr>
                </w:p>
              </w:tc>
              <w:tc>
                <w:tcPr>
                  <w:tcW w:w="1100"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val="en-US" w:eastAsia="zh-CN"/>
                    </w:rPr>
                  </w:pPr>
                </w:p>
              </w:tc>
              <w:tc>
                <w:tcPr>
                  <w:tcW w:w="225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lang w:val="en-US" w:eastAsia="zh-CN"/>
                    </w:rPr>
                    <w:t>SO</w:t>
                  </w:r>
                  <w:r>
                    <w:rPr>
                      <w:rFonts w:hint="default" w:ascii="Times New Roman" w:hAnsi="Times New Roman" w:cs="Times New Roman"/>
                      <w:sz w:val="21"/>
                      <w:szCs w:val="21"/>
                      <w:vertAlign w:val="subscript"/>
                      <w:lang w:val="en-US" w:eastAsia="zh-CN"/>
                    </w:rPr>
                    <w:t>2</w:t>
                  </w:r>
                </w:p>
              </w:tc>
              <w:tc>
                <w:tcPr>
                  <w:tcW w:w="1347"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56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color w:val="0000FF"/>
                      <w:sz w:val="21"/>
                      <w:szCs w:val="21"/>
                      <w:lang w:val="en-US" w:eastAsia="zh-CN"/>
                    </w:rPr>
                  </w:pPr>
                  <w:r>
                    <w:rPr>
                      <w:rFonts w:hint="default" w:ascii="Times New Roman" w:hAnsi="Times New Roman" w:cs="Times New Roman"/>
                      <w:color w:val="0000FF"/>
                      <w:sz w:val="21"/>
                      <w:szCs w:val="21"/>
                      <w:lang w:val="en-US" w:eastAsia="zh-CN"/>
                    </w:rPr>
                    <w:t>0.151t/a</w:t>
                  </w:r>
                </w:p>
              </w:tc>
              <w:tc>
                <w:tcPr>
                  <w:tcW w:w="1306"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369"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eastAsia="zh-CN"/>
                    </w:rPr>
                  </w:pPr>
                </w:p>
              </w:tc>
              <w:tc>
                <w:tcPr>
                  <w:tcW w:w="1100"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val="en-US" w:eastAsia="zh-CN"/>
                    </w:rPr>
                  </w:pPr>
                </w:p>
              </w:tc>
              <w:tc>
                <w:tcPr>
                  <w:tcW w:w="225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lang w:val="en-US" w:eastAsia="zh-CN"/>
                    </w:rPr>
                    <w:t>NO</w:t>
                  </w:r>
                  <w:r>
                    <w:rPr>
                      <w:rFonts w:hint="default" w:ascii="Times New Roman" w:hAnsi="Times New Roman" w:cs="Times New Roman"/>
                      <w:sz w:val="21"/>
                      <w:szCs w:val="21"/>
                      <w:vertAlign w:val="subscript"/>
                      <w:lang w:val="en-US" w:eastAsia="zh-CN"/>
                    </w:rPr>
                    <w:t>X</w:t>
                  </w:r>
                </w:p>
              </w:tc>
              <w:tc>
                <w:tcPr>
                  <w:tcW w:w="1347"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56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color w:val="0000FF"/>
                      <w:sz w:val="21"/>
                      <w:szCs w:val="21"/>
                      <w:lang w:val="en-US" w:eastAsia="zh-CN"/>
                    </w:rPr>
                  </w:pPr>
                  <w:r>
                    <w:rPr>
                      <w:rFonts w:hint="default" w:ascii="Times New Roman" w:hAnsi="Times New Roman" w:cs="Times New Roman"/>
                      <w:color w:val="0000FF"/>
                      <w:sz w:val="21"/>
                      <w:szCs w:val="21"/>
                      <w:lang w:val="en-US" w:eastAsia="zh-CN"/>
                    </w:rPr>
                    <w:t>1.468t/a</w:t>
                  </w:r>
                </w:p>
              </w:tc>
              <w:tc>
                <w:tcPr>
                  <w:tcW w:w="1306"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369"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eastAsia="zh-CN"/>
                    </w:rPr>
                  </w:pPr>
                </w:p>
              </w:tc>
              <w:tc>
                <w:tcPr>
                  <w:tcW w:w="1100"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val="en-US" w:eastAsia="zh-CN"/>
                    </w:rPr>
                  </w:pPr>
                </w:p>
              </w:tc>
              <w:tc>
                <w:tcPr>
                  <w:tcW w:w="225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eastAsia="zh-CN"/>
                    </w:rPr>
                    <w:t>颗粒物</w:t>
                  </w:r>
                </w:p>
              </w:tc>
              <w:tc>
                <w:tcPr>
                  <w:tcW w:w="1347"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 xml:space="preserve">0.037t/a           </w:t>
                  </w:r>
                </w:p>
              </w:tc>
              <w:tc>
                <w:tcPr>
                  <w:tcW w:w="156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color w:val="0000FF"/>
                      <w:sz w:val="21"/>
                      <w:szCs w:val="21"/>
                      <w:lang w:val="en-US" w:eastAsia="zh-CN"/>
                    </w:rPr>
                  </w:pPr>
                  <w:r>
                    <w:rPr>
                      <w:rFonts w:hint="default" w:ascii="Times New Roman" w:hAnsi="Times New Roman" w:cs="Times New Roman"/>
                      <w:color w:val="0000FF"/>
                      <w:sz w:val="21"/>
                      <w:szCs w:val="21"/>
                      <w:lang w:val="en-US" w:eastAsia="zh-CN"/>
                    </w:rPr>
                    <w:t>0.360t/a</w:t>
                  </w:r>
                </w:p>
              </w:tc>
              <w:tc>
                <w:tcPr>
                  <w:tcW w:w="1306"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369"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eastAsia="zh-CN"/>
                    </w:rPr>
                  </w:pPr>
                </w:p>
              </w:tc>
              <w:tc>
                <w:tcPr>
                  <w:tcW w:w="1100" w:type="dxa"/>
                  <w:vMerge w:val="restar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无组织</w:t>
                  </w:r>
                </w:p>
              </w:tc>
              <w:tc>
                <w:tcPr>
                  <w:tcW w:w="225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氨</w:t>
                  </w:r>
                </w:p>
              </w:tc>
              <w:tc>
                <w:tcPr>
                  <w:tcW w:w="1347"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0.19mg/m</w:t>
                  </w:r>
                  <w:r>
                    <w:rPr>
                      <w:rFonts w:hint="default" w:ascii="Times New Roman" w:hAnsi="Times New Roman" w:cs="Times New Roman"/>
                      <w:color w:val="auto"/>
                      <w:sz w:val="21"/>
                      <w:szCs w:val="21"/>
                      <w:vertAlign w:val="superscript"/>
                      <w:lang w:val="en-US" w:eastAsia="zh-CN"/>
                    </w:rPr>
                    <w:t>3</w:t>
                  </w:r>
                </w:p>
              </w:tc>
              <w:tc>
                <w:tcPr>
                  <w:tcW w:w="156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color w:val="0000FF"/>
                      <w:sz w:val="21"/>
                      <w:szCs w:val="21"/>
                      <w:lang w:val="en-US" w:eastAsia="zh-CN"/>
                    </w:rPr>
                  </w:pPr>
                  <w:r>
                    <w:rPr>
                      <w:rFonts w:hint="default" w:ascii="Times New Roman" w:hAnsi="Times New Roman" w:cs="Times New Roman"/>
                      <w:color w:val="0000FF"/>
                      <w:sz w:val="21"/>
                      <w:szCs w:val="21"/>
                      <w:lang w:val="en-US" w:eastAsia="zh-CN"/>
                    </w:rPr>
                    <w:t>0.11mg/m</w:t>
                  </w:r>
                  <w:r>
                    <w:rPr>
                      <w:rFonts w:hint="default" w:ascii="Times New Roman" w:hAnsi="Times New Roman" w:cs="Times New Roman"/>
                      <w:color w:val="0000FF"/>
                      <w:sz w:val="21"/>
                      <w:szCs w:val="21"/>
                      <w:vertAlign w:val="superscript"/>
                      <w:lang w:val="en-US" w:eastAsia="zh-CN"/>
                    </w:rPr>
                    <w:t>3</w:t>
                  </w:r>
                </w:p>
              </w:tc>
              <w:tc>
                <w:tcPr>
                  <w:tcW w:w="1306" w:type="dxa"/>
                  <w:vMerge w:val="restar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车间密闭，厂区绿化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369"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eastAsia="zh-CN"/>
                    </w:rPr>
                  </w:pPr>
                </w:p>
              </w:tc>
              <w:tc>
                <w:tcPr>
                  <w:tcW w:w="1100"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val="en-US" w:eastAsia="zh-CN"/>
                    </w:rPr>
                  </w:pPr>
                </w:p>
              </w:tc>
              <w:tc>
                <w:tcPr>
                  <w:tcW w:w="225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硫化氢</w:t>
                  </w:r>
                </w:p>
              </w:tc>
              <w:tc>
                <w:tcPr>
                  <w:tcW w:w="1347"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0.019mg/m</w:t>
                  </w:r>
                  <w:r>
                    <w:rPr>
                      <w:rFonts w:hint="default" w:ascii="Times New Roman" w:hAnsi="Times New Roman" w:cs="Times New Roman"/>
                      <w:color w:val="auto"/>
                      <w:sz w:val="21"/>
                      <w:szCs w:val="21"/>
                      <w:vertAlign w:val="superscript"/>
                      <w:lang w:val="en-US" w:eastAsia="zh-CN"/>
                    </w:rPr>
                    <w:t>3</w:t>
                  </w:r>
                </w:p>
              </w:tc>
              <w:tc>
                <w:tcPr>
                  <w:tcW w:w="156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color w:val="0000FF"/>
                      <w:sz w:val="21"/>
                      <w:szCs w:val="21"/>
                      <w:lang w:val="en-US" w:eastAsia="zh-CN"/>
                    </w:rPr>
                  </w:pPr>
                  <w:r>
                    <w:rPr>
                      <w:rFonts w:hint="default" w:ascii="Times New Roman" w:hAnsi="Times New Roman" w:cs="Times New Roman"/>
                      <w:color w:val="0000FF"/>
                      <w:sz w:val="21"/>
                      <w:szCs w:val="21"/>
                      <w:lang w:val="en-US" w:eastAsia="zh-CN"/>
                    </w:rPr>
                    <w:t>0.009mg/m</w:t>
                  </w:r>
                  <w:r>
                    <w:rPr>
                      <w:rFonts w:hint="default" w:ascii="Times New Roman" w:hAnsi="Times New Roman" w:cs="Times New Roman"/>
                      <w:color w:val="0000FF"/>
                      <w:sz w:val="21"/>
                      <w:szCs w:val="21"/>
                      <w:vertAlign w:val="superscript"/>
                      <w:lang w:val="en-US" w:eastAsia="zh-CN"/>
                    </w:rPr>
                    <w:t>3</w:t>
                  </w:r>
                </w:p>
              </w:tc>
              <w:tc>
                <w:tcPr>
                  <w:tcW w:w="1306"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369"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eastAsia="zh-CN"/>
                    </w:rPr>
                  </w:pPr>
                </w:p>
              </w:tc>
              <w:tc>
                <w:tcPr>
                  <w:tcW w:w="1100"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val="en-US" w:eastAsia="zh-CN"/>
                    </w:rPr>
                  </w:pPr>
                </w:p>
              </w:tc>
              <w:tc>
                <w:tcPr>
                  <w:tcW w:w="225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臭气浓度</w:t>
                  </w:r>
                </w:p>
              </w:tc>
              <w:tc>
                <w:tcPr>
                  <w:tcW w:w="1347"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15（无量纲）</w:t>
                  </w:r>
                </w:p>
              </w:tc>
              <w:tc>
                <w:tcPr>
                  <w:tcW w:w="156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color w:val="0000FF"/>
                      <w:sz w:val="21"/>
                      <w:szCs w:val="21"/>
                      <w:lang w:val="en-US" w:eastAsia="zh-CN"/>
                    </w:rPr>
                  </w:pPr>
                  <w:r>
                    <w:rPr>
                      <w:rFonts w:hint="default" w:ascii="Times New Roman" w:hAnsi="Times New Roman" w:cs="Times New Roman"/>
                      <w:color w:val="0000FF"/>
                      <w:sz w:val="21"/>
                      <w:szCs w:val="21"/>
                      <w:lang w:val="en-US" w:eastAsia="zh-CN"/>
                    </w:rPr>
                    <w:t>15（无量纲）</w:t>
                  </w:r>
                </w:p>
              </w:tc>
              <w:tc>
                <w:tcPr>
                  <w:tcW w:w="1306"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369"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eastAsia="zh-CN"/>
                    </w:rPr>
                  </w:pPr>
                </w:p>
              </w:tc>
              <w:tc>
                <w:tcPr>
                  <w:tcW w:w="1100"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val="en-US" w:eastAsia="zh-CN"/>
                    </w:rPr>
                  </w:pPr>
                </w:p>
              </w:tc>
              <w:tc>
                <w:tcPr>
                  <w:tcW w:w="225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VOCS</w:t>
                  </w:r>
                </w:p>
              </w:tc>
              <w:tc>
                <w:tcPr>
                  <w:tcW w:w="1347"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1.04mg/m</w:t>
                  </w:r>
                  <w:r>
                    <w:rPr>
                      <w:rFonts w:hint="default" w:ascii="Times New Roman" w:hAnsi="Times New Roman" w:cs="Times New Roman"/>
                      <w:color w:val="auto"/>
                      <w:sz w:val="21"/>
                      <w:szCs w:val="21"/>
                      <w:vertAlign w:val="superscript"/>
                      <w:lang w:val="en-US" w:eastAsia="zh-CN"/>
                    </w:rPr>
                    <w:t>3</w:t>
                  </w:r>
                </w:p>
              </w:tc>
              <w:tc>
                <w:tcPr>
                  <w:tcW w:w="156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color w:val="0000FF"/>
                      <w:sz w:val="21"/>
                      <w:szCs w:val="21"/>
                      <w:lang w:val="en-US" w:eastAsia="zh-CN"/>
                    </w:rPr>
                  </w:pPr>
                  <w:r>
                    <w:rPr>
                      <w:rFonts w:hint="default" w:ascii="Times New Roman" w:hAnsi="Times New Roman" w:cs="Times New Roman"/>
                      <w:color w:val="0000FF"/>
                      <w:sz w:val="21"/>
                      <w:szCs w:val="21"/>
                      <w:lang w:val="en-US" w:eastAsia="zh-CN"/>
                    </w:rPr>
                    <w:t>/</w:t>
                  </w:r>
                </w:p>
              </w:tc>
              <w:tc>
                <w:tcPr>
                  <w:tcW w:w="1306"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369"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eastAsia="zh-CN"/>
                    </w:rPr>
                  </w:pPr>
                </w:p>
              </w:tc>
              <w:tc>
                <w:tcPr>
                  <w:tcW w:w="1100"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val="en-US" w:eastAsia="zh-CN"/>
                    </w:rPr>
                  </w:pPr>
                </w:p>
              </w:tc>
              <w:tc>
                <w:tcPr>
                  <w:tcW w:w="225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颗粒物</w:t>
                  </w:r>
                </w:p>
              </w:tc>
              <w:tc>
                <w:tcPr>
                  <w:tcW w:w="1347"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0.399mg/m</w:t>
                  </w:r>
                  <w:r>
                    <w:rPr>
                      <w:rFonts w:hint="default" w:ascii="Times New Roman" w:hAnsi="Times New Roman" w:cs="Times New Roman"/>
                      <w:color w:val="auto"/>
                      <w:sz w:val="21"/>
                      <w:szCs w:val="21"/>
                      <w:vertAlign w:val="superscript"/>
                      <w:lang w:val="en-US" w:eastAsia="zh-CN"/>
                    </w:rPr>
                    <w:t>3</w:t>
                  </w:r>
                </w:p>
              </w:tc>
              <w:tc>
                <w:tcPr>
                  <w:tcW w:w="156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color w:val="0000FF"/>
                      <w:sz w:val="21"/>
                      <w:szCs w:val="21"/>
                      <w:lang w:val="en-US" w:eastAsia="zh-CN"/>
                    </w:rPr>
                  </w:pPr>
                  <w:r>
                    <w:rPr>
                      <w:rFonts w:hint="default" w:ascii="Times New Roman" w:hAnsi="Times New Roman" w:cs="Times New Roman"/>
                      <w:color w:val="0000FF"/>
                      <w:sz w:val="21"/>
                      <w:szCs w:val="21"/>
                      <w:lang w:val="en-US" w:eastAsia="zh-CN"/>
                    </w:rPr>
                    <w:t>/</w:t>
                  </w:r>
                </w:p>
              </w:tc>
              <w:tc>
                <w:tcPr>
                  <w:tcW w:w="1306"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69" w:type="dxa"/>
                  <w:vMerge w:val="restar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水污染物</w:t>
                  </w:r>
                </w:p>
              </w:tc>
              <w:tc>
                <w:tcPr>
                  <w:tcW w:w="1100" w:type="dxa"/>
                  <w:vMerge w:val="restar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生活污水、生产废水</w:t>
                  </w:r>
                </w:p>
              </w:tc>
              <w:tc>
                <w:tcPr>
                  <w:tcW w:w="225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废水量</w:t>
                  </w:r>
                </w:p>
              </w:tc>
              <w:tc>
                <w:tcPr>
                  <w:tcW w:w="1347"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54000t/a</w:t>
                  </w:r>
                </w:p>
              </w:tc>
              <w:tc>
                <w:tcPr>
                  <w:tcW w:w="156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cs="Times New Roman"/>
                      <w:color w:val="0000FF"/>
                      <w:sz w:val="21"/>
                      <w:szCs w:val="21"/>
                      <w:lang w:val="en-US" w:eastAsia="zh-CN"/>
                    </w:rPr>
                    <w:t>270900t/a</w:t>
                  </w:r>
                </w:p>
              </w:tc>
              <w:tc>
                <w:tcPr>
                  <w:tcW w:w="1306" w:type="dxa"/>
                  <w:vMerge w:val="restar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排入海奥斯污水处理站进行处理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69"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eastAsia="zh-CN"/>
                    </w:rPr>
                  </w:pPr>
                </w:p>
              </w:tc>
              <w:tc>
                <w:tcPr>
                  <w:tcW w:w="1100"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val="en-US" w:eastAsia="zh-CN"/>
                    </w:rPr>
                  </w:pPr>
                </w:p>
              </w:tc>
              <w:tc>
                <w:tcPr>
                  <w:tcW w:w="225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COD</w:t>
                  </w:r>
                </w:p>
              </w:tc>
              <w:tc>
                <w:tcPr>
                  <w:tcW w:w="1347"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1.793t/a</w:t>
                  </w:r>
                </w:p>
              </w:tc>
              <w:tc>
                <w:tcPr>
                  <w:tcW w:w="156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cs="Times New Roman"/>
                      <w:color w:val="0000FF"/>
                      <w:sz w:val="21"/>
                      <w:szCs w:val="21"/>
                      <w:lang w:val="en-US" w:eastAsia="zh-CN"/>
                    </w:rPr>
                    <w:t>8.067t/a</w:t>
                  </w:r>
                </w:p>
              </w:tc>
              <w:tc>
                <w:tcPr>
                  <w:tcW w:w="1306"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69"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eastAsia="zh-CN"/>
                    </w:rPr>
                  </w:pPr>
                </w:p>
              </w:tc>
              <w:tc>
                <w:tcPr>
                  <w:tcW w:w="1100"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val="en-US" w:eastAsia="zh-CN"/>
                    </w:rPr>
                  </w:pPr>
                </w:p>
              </w:tc>
              <w:tc>
                <w:tcPr>
                  <w:tcW w:w="225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氨氮</w:t>
                  </w:r>
                </w:p>
              </w:tc>
              <w:tc>
                <w:tcPr>
                  <w:tcW w:w="1347"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0.171t/a</w:t>
                  </w:r>
                </w:p>
              </w:tc>
              <w:tc>
                <w:tcPr>
                  <w:tcW w:w="156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cs="Times New Roman"/>
                      <w:color w:val="0000FF"/>
                      <w:sz w:val="21"/>
                      <w:szCs w:val="21"/>
                      <w:lang w:val="en-US" w:eastAsia="zh-CN"/>
                    </w:rPr>
                    <w:t>0.770t/a</w:t>
                  </w:r>
                </w:p>
              </w:tc>
              <w:tc>
                <w:tcPr>
                  <w:tcW w:w="1306"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369" w:type="dxa"/>
                  <w:vMerge w:val="restar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固体废物</w:t>
                  </w:r>
                </w:p>
              </w:tc>
              <w:tc>
                <w:tcPr>
                  <w:tcW w:w="110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原料包装</w:t>
                  </w:r>
                </w:p>
              </w:tc>
              <w:tc>
                <w:tcPr>
                  <w:tcW w:w="225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废包装袋、废酒瓶</w:t>
                  </w:r>
                </w:p>
              </w:tc>
              <w:tc>
                <w:tcPr>
                  <w:tcW w:w="1347"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0.55t/a</w:t>
                  </w:r>
                </w:p>
              </w:tc>
              <w:tc>
                <w:tcPr>
                  <w:tcW w:w="156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color w:val="0000FF"/>
                      <w:sz w:val="21"/>
                      <w:szCs w:val="21"/>
                      <w:lang w:val="en-US" w:eastAsia="zh-CN"/>
                    </w:rPr>
                  </w:pPr>
                  <w:r>
                    <w:rPr>
                      <w:rFonts w:hint="default" w:ascii="Times New Roman" w:hAnsi="Times New Roman" w:cs="Times New Roman"/>
                      <w:color w:val="0000FF"/>
                      <w:sz w:val="21"/>
                      <w:szCs w:val="21"/>
                      <w:lang w:val="en-US" w:eastAsia="zh-CN"/>
                    </w:rPr>
                    <w:t>2.5t/a</w:t>
                  </w:r>
                </w:p>
              </w:tc>
              <w:tc>
                <w:tcPr>
                  <w:tcW w:w="1306" w:type="dxa"/>
                  <w:vMerge w:val="restart"/>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外售综合利用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369"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eastAsia="zh-CN"/>
                    </w:rPr>
                  </w:pPr>
                </w:p>
              </w:tc>
              <w:tc>
                <w:tcPr>
                  <w:tcW w:w="110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生产环节</w:t>
                  </w:r>
                </w:p>
              </w:tc>
              <w:tc>
                <w:tcPr>
                  <w:tcW w:w="2250"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杂质、酒糟、边角料</w:t>
                  </w:r>
                </w:p>
              </w:tc>
              <w:tc>
                <w:tcPr>
                  <w:tcW w:w="1347"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13.0t/a</w:t>
                  </w:r>
                </w:p>
              </w:tc>
              <w:tc>
                <w:tcPr>
                  <w:tcW w:w="156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color w:val="0000FF"/>
                      <w:sz w:val="21"/>
                      <w:szCs w:val="21"/>
                      <w:lang w:val="en-US" w:eastAsia="zh-CN"/>
                    </w:rPr>
                  </w:pPr>
                  <w:r>
                    <w:rPr>
                      <w:rFonts w:hint="default" w:ascii="Times New Roman" w:hAnsi="Times New Roman" w:cs="Times New Roman"/>
                      <w:color w:val="0000FF"/>
                      <w:sz w:val="21"/>
                      <w:szCs w:val="21"/>
                      <w:lang w:val="en-US" w:eastAsia="zh-CN"/>
                    </w:rPr>
                    <w:t>200t/a</w:t>
                  </w:r>
                </w:p>
              </w:tc>
              <w:tc>
                <w:tcPr>
                  <w:tcW w:w="1306"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369"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eastAsia="zh-CN"/>
                    </w:rPr>
                  </w:pPr>
                </w:p>
              </w:tc>
              <w:tc>
                <w:tcPr>
                  <w:tcW w:w="110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生活过程</w:t>
                  </w:r>
                </w:p>
              </w:tc>
              <w:tc>
                <w:tcPr>
                  <w:tcW w:w="2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生活垃圾、化粪池污泥</w:t>
                  </w:r>
                </w:p>
              </w:tc>
              <w:tc>
                <w:tcPr>
                  <w:tcW w:w="1347"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40.5t/a </w:t>
                  </w:r>
                </w:p>
              </w:tc>
              <w:tc>
                <w:tcPr>
                  <w:tcW w:w="156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color w:val="0000FF"/>
                      <w:sz w:val="21"/>
                      <w:szCs w:val="21"/>
                      <w:lang w:val="en-US" w:eastAsia="zh-CN"/>
                    </w:rPr>
                  </w:pPr>
                  <w:r>
                    <w:rPr>
                      <w:rFonts w:hint="default" w:ascii="Times New Roman" w:hAnsi="Times New Roman" w:cs="Times New Roman"/>
                      <w:color w:val="0000FF"/>
                      <w:sz w:val="21"/>
                      <w:szCs w:val="21"/>
                      <w:lang w:val="en-US" w:eastAsia="zh-CN"/>
                    </w:rPr>
                    <w:t>230t/a</w:t>
                  </w:r>
                </w:p>
              </w:tc>
              <w:tc>
                <w:tcPr>
                  <w:tcW w:w="130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环卫部门定期清运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369"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eastAsia="zh-CN"/>
                    </w:rPr>
                  </w:pPr>
                </w:p>
              </w:tc>
              <w:tc>
                <w:tcPr>
                  <w:tcW w:w="11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sz w:val="21"/>
                      <w:szCs w:val="21"/>
                      <w:lang w:val="en-US" w:eastAsia="zh-CN"/>
                    </w:rPr>
                  </w:pPr>
                </w:p>
              </w:tc>
              <w:tc>
                <w:tcPr>
                  <w:tcW w:w="22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餐饮垃圾，隔油池油渣</w:t>
                  </w:r>
                </w:p>
              </w:tc>
              <w:tc>
                <w:tcPr>
                  <w:tcW w:w="1347"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1.5t/a</w:t>
                  </w:r>
                </w:p>
              </w:tc>
              <w:tc>
                <w:tcPr>
                  <w:tcW w:w="1565" w:type="dxa"/>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color w:val="0000FF"/>
                      <w:sz w:val="21"/>
                      <w:szCs w:val="21"/>
                      <w:lang w:val="en-US" w:eastAsia="zh-CN"/>
                    </w:rPr>
                  </w:pPr>
                  <w:r>
                    <w:rPr>
                      <w:rFonts w:hint="default" w:ascii="Times New Roman" w:hAnsi="Times New Roman" w:cs="Times New Roman"/>
                      <w:color w:val="0000FF"/>
                      <w:sz w:val="21"/>
                      <w:szCs w:val="21"/>
                      <w:lang w:val="en-US" w:eastAsia="zh-CN"/>
                    </w:rPr>
                    <w:t>/</w:t>
                  </w:r>
                </w:p>
              </w:tc>
              <w:tc>
                <w:tcPr>
                  <w:tcW w:w="1306" w:type="dxa"/>
                  <w:vMerge w:val="continue"/>
                  <w:tcBorders>
                    <w:tl2br w:val="nil"/>
                    <w:tr2bl w:val="nil"/>
                  </w:tcBorders>
                  <w:vAlign w:val="center"/>
                </w:tcPr>
                <w:p>
                  <w:pPr>
                    <w:pStyle w:val="13"/>
                    <w:keepNext w:val="0"/>
                    <w:keepLines w:val="0"/>
                    <w:pageBreakBefore w:val="0"/>
                    <w:widowControl w:val="0"/>
                    <w:kinsoku/>
                    <w:wordWrap/>
                    <w:overflowPunct/>
                    <w:topLinePunct w:val="0"/>
                    <w:autoSpaceDE/>
                    <w:autoSpaceDN/>
                    <w:bidi w:val="0"/>
                    <w:adjustRightInd/>
                    <w:snapToGrid/>
                    <w:spacing w:line="360" w:lineRule="atLeast"/>
                    <w:ind w:firstLine="0" w:firstLineChars="0"/>
                    <w:jc w:val="center"/>
                    <w:textAlignment w:val="auto"/>
                    <w:rPr>
                      <w:rFonts w:hint="default" w:ascii="Times New Roman" w:hAnsi="Times New Roman" w:cs="Times New Roman"/>
                      <w:sz w:val="21"/>
                      <w:szCs w:val="21"/>
                      <w:lang w:eastAsia="zh-CN"/>
                    </w:rPr>
                  </w:pP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200"/>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 xml:space="preserve"> 四、现有项目总量满足情况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国家对SO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、NO</w:t>
            </w:r>
            <w:r>
              <w:rPr>
                <w:rFonts w:hint="default" w:ascii="Times New Roman" w:hAnsi="Times New Roman" w:eastAsia="宋体" w:cs="Times New Roman"/>
                <w:color w:val="auto"/>
                <w:sz w:val="24"/>
                <w:szCs w:val="24"/>
                <w:vertAlign w:val="subscript"/>
                <w:lang w:val="en-US" w:eastAsia="zh-CN"/>
              </w:rPr>
              <w:t>X</w:t>
            </w:r>
            <w:r>
              <w:rPr>
                <w:rFonts w:hint="default" w:ascii="Times New Roman" w:hAnsi="Times New Roman" w:eastAsia="宋体" w:cs="Times New Roman"/>
                <w:color w:val="auto"/>
                <w:sz w:val="24"/>
                <w:szCs w:val="24"/>
                <w:lang w:val="en-US" w:eastAsia="zh-CN"/>
              </w:rPr>
              <w:t>、COD、氨氮实行排放总量控制，对重点地区重点行业的挥发性有机物排放实行总量减排任务；根据《国务院关于印发大气污染防治行动计划的通知》（国发﹝2013﹞37号）和《淄博市人民政府关于控制烟尘污染的通告》的要求，淄博市对烟（粉）尘排放亦实行总量控制。</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现有项目满足总量情况：</w:t>
            </w:r>
          </w:p>
          <w:p>
            <w:pPr>
              <w:keepNext w:val="0"/>
              <w:keepLines w:val="0"/>
              <w:pageBreakBefore w:val="0"/>
              <w:kinsoku/>
              <w:wordWrap/>
              <w:overflowPunct/>
              <w:topLinePunct w:val="0"/>
              <w:autoSpaceDE/>
              <w:autoSpaceDN/>
              <w:bidi w:val="0"/>
              <w:spacing w:line="360" w:lineRule="auto"/>
              <w:jc w:val="center"/>
              <w:textAlignment w:val="auto"/>
              <w:rPr>
                <w:rFonts w:hint="default" w:ascii="Times New Roman" w:hAnsi="Times New Roman" w:eastAsia="黑体" w:cs="Times New Roman"/>
                <w:b/>
                <w:bCs/>
                <w:color w:val="auto"/>
                <w:sz w:val="24"/>
                <w:szCs w:val="24"/>
                <w:lang w:val="en-US" w:eastAsia="zh-CN"/>
              </w:rPr>
            </w:pPr>
            <w:r>
              <w:rPr>
                <w:rFonts w:hint="default" w:ascii="Times New Roman" w:hAnsi="Times New Roman" w:eastAsia="黑体" w:cs="Times New Roman"/>
                <w:b/>
                <w:bCs/>
                <w:color w:val="auto"/>
                <w:sz w:val="24"/>
                <w:szCs w:val="24"/>
                <w:lang w:val="en-US" w:eastAsia="zh-CN"/>
              </w:rPr>
              <w:t>表</w:t>
            </w:r>
            <w:r>
              <w:rPr>
                <w:rFonts w:hint="eastAsia" w:eastAsia="黑体" w:cs="Times New Roman"/>
                <w:b/>
                <w:bCs/>
                <w:color w:val="auto"/>
                <w:sz w:val="24"/>
                <w:szCs w:val="24"/>
                <w:lang w:val="en-US" w:eastAsia="zh-CN"/>
              </w:rPr>
              <w:t>31</w:t>
            </w:r>
            <w:r>
              <w:rPr>
                <w:rFonts w:hint="eastAsia" w:ascii="Times New Roman" w:hAnsi="Times New Roman" w:eastAsia="黑体" w:cs="Times New Roman"/>
                <w:b/>
                <w:bCs/>
                <w:color w:val="auto"/>
                <w:sz w:val="24"/>
                <w:szCs w:val="24"/>
                <w:lang w:val="en-US" w:eastAsia="zh-CN"/>
              </w:rPr>
              <w:t xml:space="preserve"> </w:t>
            </w:r>
            <w:r>
              <w:rPr>
                <w:rFonts w:hint="default" w:ascii="Times New Roman" w:hAnsi="Times New Roman" w:eastAsia="黑体" w:cs="Times New Roman"/>
                <w:b/>
                <w:bCs/>
                <w:color w:val="auto"/>
                <w:sz w:val="24"/>
                <w:szCs w:val="24"/>
                <w:lang w:val="en-US" w:eastAsia="zh-CN"/>
              </w:rPr>
              <w:t>现有项目总量满足情况表</w:t>
            </w:r>
          </w:p>
          <w:tbl>
            <w:tblPr>
              <w:tblStyle w:val="20"/>
              <w:tblW w:w="793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587"/>
              <w:gridCol w:w="623"/>
              <w:gridCol w:w="1103"/>
              <w:gridCol w:w="1364"/>
              <w:gridCol w:w="1409"/>
              <w:gridCol w:w="85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587" w:type="dxa"/>
                  <w:noWrap w:val="0"/>
                  <w:vAlign w:val="center"/>
                </w:tcPr>
                <w:p>
                  <w:pPr>
                    <w:keepNext w:val="0"/>
                    <w:keepLines w:val="0"/>
                    <w:pageBreakBefore w:val="0"/>
                    <w:widowControl w:val="0"/>
                    <w:tabs>
                      <w:tab w:val="center" w:pos="1155"/>
                      <w:tab w:val="right" w:pos="2190"/>
                    </w:tabs>
                    <w:kinsoku/>
                    <w:wordWrap/>
                    <w:overflowPunct/>
                    <w:topLinePunct w:val="0"/>
                    <w:autoSpaceDE/>
                    <w:autoSpaceDN/>
                    <w:bidi w:val="0"/>
                    <w:spacing w:line="360" w:lineRule="atLeast"/>
                    <w:jc w:val="center"/>
                    <w:textAlignment w:val="auto"/>
                    <w:rPr>
                      <w:rFonts w:hint="default" w:ascii="Times New Roman" w:hAnsi="Times New Roman" w:eastAsia="宋体" w:cs="Times New Roman"/>
                      <w:color w:val="0000FF"/>
                      <w:kern w:val="2"/>
                      <w:sz w:val="21"/>
                      <w:szCs w:val="21"/>
                      <w:lang w:val="en-US" w:eastAsia="zh-CN" w:bidi="ar-SA"/>
                    </w:rPr>
                  </w:pPr>
                  <w:r>
                    <w:rPr>
                      <w:rFonts w:hint="eastAsia" w:cs="Times New Roman"/>
                      <w:color w:val="0000FF"/>
                      <w:sz w:val="21"/>
                      <w:szCs w:val="21"/>
                      <w:lang w:eastAsia="zh-CN"/>
                    </w:rPr>
                    <w:t>厂区</w:t>
                  </w:r>
                </w:p>
              </w:tc>
              <w:tc>
                <w:tcPr>
                  <w:tcW w:w="1726" w:type="dxa"/>
                  <w:gridSpan w:val="2"/>
                  <w:noWrap w:val="0"/>
                  <w:vAlign w:val="center"/>
                </w:tcPr>
                <w:p>
                  <w:pPr>
                    <w:keepNext w:val="0"/>
                    <w:keepLines w:val="0"/>
                    <w:pageBreakBefore w:val="0"/>
                    <w:widowControl w:val="0"/>
                    <w:tabs>
                      <w:tab w:val="center" w:pos="1155"/>
                      <w:tab w:val="right" w:pos="2190"/>
                    </w:tabs>
                    <w:kinsoku/>
                    <w:wordWrap/>
                    <w:overflowPunct/>
                    <w:topLinePunct w:val="0"/>
                    <w:autoSpaceDE/>
                    <w:autoSpaceDN/>
                    <w:bidi w:val="0"/>
                    <w:spacing w:line="360" w:lineRule="atLeast"/>
                    <w:jc w:val="center"/>
                    <w:textAlignment w:val="auto"/>
                    <w:rPr>
                      <w:rFonts w:hint="eastAsia" w:cs="Times New Roman"/>
                      <w:color w:val="0000FF"/>
                      <w:sz w:val="21"/>
                      <w:szCs w:val="21"/>
                      <w:lang w:eastAsia="zh-CN"/>
                    </w:rPr>
                  </w:pPr>
                  <w:r>
                    <w:rPr>
                      <w:rFonts w:hint="default" w:ascii="Times New Roman" w:hAnsi="Times New Roman" w:eastAsia="宋体" w:cs="Times New Roman"/>
                      <w:color w:val="0000FF"/>
                      <w:sz w:val="21"/>
                      <w:szCs w:val="21"/>
                    </w:rPr>
                    <w:t>污染物</w:t>
                  </w:r>
                </w:p>
              </w:tc>
              <w:tc>
                <w:tcPr>
                  <w:tcW w:w="1364" w:type="dxa"/>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t>实际排放量</w:t>
                  </w:r>
                  <w:r>
                    <w:rPr>
                      <w:rFonts w:hint="default" w:ascii="Times New Roman" w:hAnsi="Times New Roman" w:eastAsia="宋体" w:cs="Times New Roman"/>
                      <w:color w:val="0000FF"/>
                      <w:sz w:val="21"/>
                      <w:szCs w:val="21"/>
                      <w:lang w:eastAsia="zh-CN"/>
                    </w:rPr>
                    <w:t>（</w:t>
                  </w:r>
                  <w:r>
                    <w:rPr>
                      <w:rFonts w:hint="default" w:ascii="Times New Roman" w:hAnsi="Times New Roman" w:eastAsia="宋体" w:cs="Times New Roman"/>
                      <w:color w:val="0000FF"/>
                      <w:sz w:val="21"/>
                      <w:szCs w:val="21"/>
                      <w:lang w:val="en-US" w:eastAsia="zh-CN"/>
                    </w:rPr>
                    <w:t>t/a</w:t>
                  </w:r>
                  <w:r>
                    <w:rPr>
                      <w:rFonts w:hint="default" w:ascii="Times New Roman" w:hAnsi="Times New Roman" w:eastAsia="宋体" w:cs="Times New Roman"/>
                      <w:color w:val="0000FF"/>
                      <w:sz w:val="21"/>
                      <w:szCs w:val="21"/>
                      <w:lang w:eastAsia="zh-CN"/>
                    </w:rPr>
                    <w:t>）</w:t>
                  </w:r>
                </w:p>
              </w:tc>
              <w:tc>
                <w:tcPr>
                  <w:tcW w:w="1409"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eastAsia="zh-CN"/>
                    </w:rPr>
                    <w:t>总量确认书量（</w:t>
                  </w:r>
                  <w:r>
                    <w:rPr>
                      <w:rFonts w:hint="default" w:ascii="Times New Roman" w:hAnsi="Times New Roman" w:eastAsia="宋体" w:cs="Times New Roman"/>
                      <w:color w:val="0000FF"/>
                      <w:sz w:val="21"/>
                      <w:szCs w:val="21"/>
                      <w:lang w:val="en-US" w:eastAsia="zh-CN"/>
                    </w:rPr>
                    <w:t>t/a</w:t>
                  </w:r>
                  <w:r>
                    <w:rPr>
                      <w:rFonts w:hint="default" w:ascii="Times New Roman" w:hAnsi="Times New Roman" w:eastAsia="宋体" w:cs="Times New Roman"/>
                      <w:color w:val="0000FF"/>
                      <w:sz w:val="21"/>
                      <w:szCs w:val="21"/>
                      <w:lang w:eastAsia="zh-CN"/>
                    </w:rPr>
                    <w:t>）</w:t>
                  </w:r>
                </w:p>
              </w:tc>
              <w:tc>
                <w:tcPr>
                  <w:tcW w:w="851"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default" w:ascii="Times New Roman" w:hAnsi="Times New Roman" w:eastAsia="宋体" w:cs="Times New Roman"/>
                      <w:color w:val="0000FF"/>
                      <w:sz w:val="21"/>
                      <w:szCs w:val="21"/>
                      <w:lang w:eastAsia="zh-CN"/>
                    </w:rPr>
                  </w:pPr>
                  <w:r>
                    <w:rPr>
                      <w:rFonts w:hint="default" w:ascii="Times New Roman" w:hAnsi="Times New Roman" w:eastAsia="宋体" w:cs="Times New Roman"/>
                      <w:color w:val="0000FF"/>
                      <w:sz w:val="21"/>
                      <w:szCs w:val="21"/>
                      <w:lang w:eastAsia="zh-CN"/>
                    </w:rPr>
                    <w:t>满足情况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587" w:type="dxa"/>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default" w:ascii="Times New Roman" w:hAnsi="Times New Roman" w:eastAsia="宋体" w:cs="Times New Roman"/>
                      <w:color w:val="0000FF"/>
                      <w:kern w:val="2"/>
                      <w:sz w:val="21"/>
                      <w:szCs w:val="21"/>
                      <w:lang w:val="en-US" w:eastAsia="zh-CN" w:bidi="ar-SA"/>
                    </w:rPr>
                  </w:pPr>
                  <w:r>
                    <w:rPr>
                      <w:rFonts w:hint="eastAsia" w:cs="Times New Roman"/>
                      <w:color w:val="0000FF"/>
                      <w:sz w:val="21"/>
                      <w:szCs w:val="21"/>
                      <w:lang w:eastAsia="zh-CN"/>
                    </w:rPr>
                    <w:t>山东黄河龙集团有限公司</w:t>
                  </w:r>
                </w:p>
              </w:tc>
              <w:tc>
                <w:tcPr>
                  <w:tcW w:w="623" w:type="dxa"/>
                  <w:vMerge w:val="restart"/>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color w:val="0000FF"/>
                      <w:sz w:val="21"/>
                      <w:szCs w:val="21"/>
                    </w:rPr>
                    <w:t>废气</w:t>
                  </w:r>
                </w:p>
              </w:tc>
              <w:tc>
                <w:tcPr>
                  <w:tcW w:w="1103" w:type="dxa"/>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color w:val="0000FF"/>
                      <w:sz w:val="21"/>
                      <w:szCs w:val="21"/>
                    </w:rPr>
                    <w:t>颗粒物</w:t>
                  </w:r>
                </w:p>
              </w:tc>
              <w:tc>
                <w:tcPr>
                  <w:tcW w:w="1364" w:type="dxa"/>
                  <w:noWrap w:val="0"/>
                  <w:vAlign w:val="center"/>
                </w:tcPr>
                <w:p>
                  <w:pPr>
                    <w:pStyle w:val="13"/>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0000FF"/>
                      <w:kern w:val="2"/>
                      <w:sz w:val="21"/>
                      <w:szCs w:val="21"/>
                      <w:vertAlign w:val="baseline"/>
                      <w:lang w:val="en-US" w:eastAsia="zh-CN" w:bidi="ar-SA"/>
                    </w:rPr>
                  </w:pPr>
                  <w:r>
                    <w:rPr>
                      <w:rFonts w:hint="default" w:ascii="Times New Roman" w:hAnsi="Times New Roman" w:eastAsia="宋体" w:cs="Times New Roman"/>
                      <w:color w:val="0000FF"/>
                      <w:kern w:val="2"/>
                      <w:sz w:val="21"/>
                      <w:szCs w:val="21"/>
                      <w:vertAlign w:val="baseline"/>
                      <w:lang w:val="en-US" w:eastAsia="zh-CN" w:bidi="ar-SA"/>
                    </w:rPr>
                    <w:t>0.0372</w:t>
                  </w:r>
                </w:p>
              </w:tc>
              <w:tc>
                <w:tcPr>
                  <w:tcW w:w="1409"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 w:val="0"/>
                      <w:bCs w:val="0"/>
                      <w:snapToGrid w:val="0"/>
                      <w:color w:val="0000FF"/>
                      <w:spacing w:val="0"/>
                      <w:kern w:val="21"/>
                      <w:position w:val="0"/>
                      <w:sz w:val="21"/>
                      <w:szCs w:val="21"/>
                      <w:lang w:val="en-US" w:eastAsia="zh-CN" w:bidi="ar-SA"/>
                    </w:rPr>
                  </w:pPr>
                  <w:r>
                    <w:rPr>
                      <w:rFonts w:hint="default" w:ascii="Times New Roman" w:hAnsi="Times New Roman" w:eastAsia="宋体" w:cs="Times New Roman"/>
                      <w:b w:val="0"/>
                      <w:bCs w:val="0"/>
                      <w:snapToGrid w:val="0"/>
                      <w:color w:val="0000FF"/>
                      <w:spacing w:val="0"/>
                      <w:kern w:val="21"/>
                      <w:position w:val="0"/>
                      <w:sz w:val="21"/>
                      <w:szCs w:val="21"/>
                      <w:lang w:val="en-US" w:eastAsia="zh-CN" w:bidi="ar-SA"/>
                    </w:rPr>
                    <w:t>0.206</w:t>
                  </w:r>
                </w:p>
              </w:tc>
              <w:tc>
                <w:tcPr>
                  <w:tcW w:w="851"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 w:val="0"/>
                      <w:bCs w:val="0"/>
                      <w:snapToGrid w:val="0"/>
                      <w:color w:val="0000FF"/>
                      <w:spacing w:val="0"/>
                      <w:kern w:val="21"/>
                      <w:position w:val="0"/>
                      <w:sz w:val="21"/>
                      <w:szCs w:val="21"/>
                      <w:lang w:val="en-US" w:eastAsia="zh-CN" w:bidi="ar-SA"/>
                    </w:rPr>
                  </w:pPr>
                  <w:r>
                    <w:rPr>
                      <w:rFonts w:hint="default" w:ascii="Times New Roman" w:hAnsi="Times New Roman" w:eastAsia="宋体" w:cs="Times New Roman"/>
                      <w:b w:val="0"/>
                      <w:bCs w:val="0"/>
                      <w:snapToGrid w:val="0"/>
                      <w:color w:val="0000FF"/>
                      <w:spacing w:val="0"/>
                      <w:kern w:val="21"/>
                      <w:position w:val="0"/>
                      <w:sz w:val="21"/>
                      <w:szCs w:val="21"/>
                      <w:lang w:val="en-US" w:eastAsia="zh-CN" w:bidi="ar-SA"/>
                    </w:rPr>
                    <w:t>满足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587" w:type="dxa"/>
                  <w:vMerge w:val="restart"/>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default" w:ascii="Times New Roman" w:hAnsi="Times New Roman" w:eastAsia="宋体" w:cs="Times New Roman"/>
                      <w:color w:val="0000FF"/>
                      <w:kern w:val="2"/>
                      <w:sz w:val="21"/>
                      <w:szCs w:val="21"/>
                      <w:lang w:val="en-US" w:eastAsia="zh-CN" w:bidi="ar-SA"/>
                    </w:rPr>
                  </w:pPr>
                  <w:r>
                    <w:rPr>
                      <w:rFonts w:hint="eastAsia" w:cs="Times New Roman"/>
                      <w:color w:val="0000FF"/>
                      <w:sz w:val="21"/>
                      <w:szCs w:val="21"/>
                      <w:lang w:eastAsia="zh-CN"/>
                    </w:rPr>
                    <w:t>山东海奥斯生物科技股份有限公司</w:t>
                  </w:r>
                </w:p>
              </w:tc>
              <w:tc>
                <w:tcPr>
                  <w:tcW w:w="623" w:type="dxa"/>
                  <w:vMerge w:val="continue"/>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default" w:ascii="Times New Roman" w:hAnsi="Times New Roman" w:eastAsia="宋体" w:cs="Times New Roman"/>
                      <w:color w:val="0000FF"/>
                      <w:sz w:val="21"/>
                      <w:szCs w:val="21"/>
                    </w:rPr>
                  </w:pPr>
                </w:p>
              </w:tc>
              <w:tc>
                <w:tcPr>
                  <w:tcW w:w="1103" w:type="dxa"/>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default" w:ascii="Times New Roman" w:hAnsi="Times New Roman" w:eastAsia="宋体" w:cs="Times New Roman"/>
                      <w:color w:val="0000FF"/>
                      <w:kern w:val="2"/>
                      <w:sz w:val="21"/>
                      <w:szCs w:val="21"/>
                      <w:vertAlign w:val="subscript"/>
                      <w:lang w:val="en-US" w:eastAsia="zh-CN" w:bidi="ar-SA"/>
                    </w:rPr>
                  </w:pPr>
                  <w:r>
                    <w:rPr>
                      <w:rFonts w:hint="eastAsia" w:cs="Times New Roman"/>
                      <w:color w:val="0000FF"/>
                      <w:sz w:val="21"/>
                      <w:szCs w:val="21"/>
                      <w:lang w:val="en-US" w:eastAsia="zh-CN"/>
                    </w:rPr>
                    <w:t>SO</w:t>
                  </w:r>
                  <w:r>
                    <w:rPr>
                      <w:rFonts w:hint="eastAsia" w:cs="Times New Roman"/>
                      <w:color w:val="0000FF"/>
                      <w:sz w:val="21"/>
                      <w:szCs w:val="21"/>
                      <w:vertAlign w:val="subscript"/>
                      <w:lang w:val="en-US" w:eastAsia="zh-CN"/>
                    </w:rPr>
                    <w:t>2</w:t>
                  </w:r>
                </w:p>
              </w:tc>
              <w:tc>
                <w:tcPr>
                  <w:tcW w:w="1364" w:type="dxa"/>
                  <w:noWrap w:val="0"/>
                  <w:vAlign w:val="center"/>
                </w:tcPr>
                <w:p>
                  <w:pPr>
                    <w:pStyle w:val="13"/>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0000FF"/>
                      <w:kern w:val="2"/>
                      <w:sz w:val="21"/>
                      <w:szCs w:val="21"/>
                      <w:vertAlign w:val="baseline"/>
                      <w:lang w:val="en-US" w:eastAsia="zh-CN" w:bidi="ar-SA"/>
                    </w:rPr>
                  </w:pPr>
                  <w:r>
                    <w:rPr>
                      <w:rFonts w:hint="eastAsia" w:ascii="Times New Roman" w:hAnsi="Times New Roman" w:cs="Times New Roman"/>
                      <w:color w:val="0000FF"/>
                      <w:kern w:val="2"/>
                      <w:sz w:val="21"/>
                      <w:szCs w:val="21"/>
                      <w:vertAlign w:val="baseline"/>
                      <w:lang w:val="en-US" w:eastAsia="zh-CN" w:bidi="ar-SA"/>
                    </w:rPr>
                    <w:t>0.151</w:t>
                  </w:r>
                </w:p>
              </w:tc>
              <w:tc>
                <w:tcPr>
                  <w:tcW w:w="1409"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 w:val="0"/>
                      <w:bCs w:val="0"/>
                      <w:snapToGrid w:val="0"/>
                      <w:color w:val="0000FF"/>
                      <w:spacing w:val="0"/>
                      <w:kern w:val="21"/>
                      <w:position w:val="0"/>
                      <w:sz w:val="21"/>
                      <w:szCs w:val="21"/>
                      <w:lang w:val="en-US" w:eastAsia="zh-CN" w:bidi="ar-SA"/>
                    </w:rPr>
                  </w:pPr>
                  <w:r>
                    <w:rPr>
                      <w:rFonts w:hint="eastAsia" w:cs="Times New Roman"/>
                      <w:b w:val="0"/>
                      <w:bCs w:val="0"/>
                      <w:snapToGrid w:val="0"/>
                      <w:color w:val="0000FF"/>
                      <w:spacing w:val="0"/>
                      <w:kern w:val="21"/>
                      <w:position w:val="0"/>
                      <w:sz w:val="21"/>
                      <w:szCs w:val="21"/>
                      <w:lang w:val="en-US" w:eastAsia="zh-CN" w:bidi="ar-SA"/>
                    </w:rPr>
                    <w:t>0.900</w:t>
                  </w:r>
                </w:p>
              </w:tc>
              <w:tc>
                <w:tcPr>
                  <w:tcW w:w="851"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 w:val="0"/>
                      <w:bCs w:val="0"/>
                      <w:snapToGrid w:val="0"/>
                      <w:color w:val="0000FF"/>
                      <w:spacing w:val="0"/>
                      <w:kern w:val="21"/>
                      <w:position w:val="0"/>
                      <w:sz w:val="21"/>
                      <w:szCs w:val="21"/>
                      <w:lang w:val="en-US" w:eastAsia="zh-CN" w:bidi="ar-SA"/>
                    </w:rPr>
                  </w:pPr>
                  <w:r>
                    <w:rPr>
                      <w:rFonts w:hint="default" w:ascii="Times New Roman" w:hAnsi="Times New Roman" w:eastAsia="宋体" w:cs="Times New Roman"/>
                      <w:b w:val="0"/>
                      <w:bCs w:val="0"/>
                      <w:snapToGrid w:val="0"/>
                      <w:color w:val="0000FF"/>
                      <w:spacing w:val="0"/>
                      <w:kern w:val="21"/>
                      <w:position w:val="0"/>
                      <w:sz w:val="21"/>
                      <w:szCs w:val="21"/>
                      <w:lang w:val="en-US" w:eastAsia="zh-CN" w:bidi="ar-SA"/>
                    </w:rPr>
                    <w:t>满足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587" w:type="dxa"/>
                  <w:vMerge w:val="continue"/>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default" w:ascii="Times New Roman" w:hAnsi="Times New Roman" w:eastAsia="宋体" w:cs="Times New Roman"/>
                      <w:color w:val="0000FF"/>
                      <w:sz w:val="21"/>
                      <w:szCs w:val="21"/>
                    </w:rPr>
                  </w:pPr>
                </w:p>
              </w:tc>
              <w:tc>
                <w:tcPr>
                  <w:tcW w:w="623" w:type="dxa"/>
                  <w:vMerge w:val="continue"/>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default" w:ascii="Times New Roman" w:hAnsi="Times New Roman" w:eastAsia="宋体" w:cs="Times New Roman"/>
                      <w:color w:val="0000FF"/>
                      <w:sz w:val="21"/>
                      <w:szCs w:val="21"/>
                    </w:rPr>
                  </w:pPr>
                </w:p>
              </w:tc>
              <w:tc>
                <w:tcPr>
                  <w:tcW w:w="1103" w:type="dxa"/>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default" w:ascii="Times New Roman" w:hAnsi="Times New Roman" w:eastAsia="宋体" w:cs="Times New Roman"/>
                      <w:color w:val="0000FF"/>
                      <w:kern w:val="2"/>
                      <w:sz w:val="21"/>
                      <w:szCs w:val="21"/>
                      <w:vertAlign w:val="subscript"/>
                      <w:lang w:val="en-US" w:eastAsia="zh-CN" w:bidi="ar-SA"/>
                    </w:rPr>
                  </w:pPr>
                  <w:r>
                    <w:rPr>
                      <w:rFonts w:hint="eastAsia" w:cs="Times New Roman"/>
                      <w:color w:val="0000FF"/>
                      <w:sz w:val="21"/>
                      <w:szCs w:val="21"/>
                      <w:lang w:val="en-US" w:eastAsia="zh-CN"/>
                    </w:rPr>
                    <w:t>NO</w:t>
                  </w:r>
                  <w:r>
                    <w:rPr>
                      <w:rFonts w:hint="eastAsia" w:cs="Times New Roman"/>
                      <w:color w:val="0000FF"/>
                      <w:sz w:val="21"/>
                      <w:szCs w:val="21"/>
                      <w:vertAlign w:val="subscript"/>
                      <w:lang w:val="en-US" w:eastAsia="zh-CN"/>
                    </w:rPr>
                    <w:t>x</w:t>
                  </w:r>
                </w:p>
              </w:tc>
              <w:tc>
                <w:tcPr>
                  <w:tcW w:w="1364" w:type="dxa"/>
                  <w:noWrap w:val="0"/>
                  <w:vAlign w:val="center"/>
                </w:tcPr>
                <w:p>
                  <w:pPr>
                    <w:pStyle w:val="13"/>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0000FF"/>
                      <w:kern w:val="2"/>
                      <w:sz w:val="21"/>
                      <w:szCs w:val="21"/>
                      <w:vertAlign w:val="baseline"/>
                      <w:lang w:val="en-US" w:eastAsia="zh-CN" w:bidi="ar-SA"/>
                    </w:rPr>
                  </w:pPr>
                  <w:r>
                    <w:rPr>
                      <w:rFonts w:hint="eastAsia" w:ascii="Times New Roman" w:hAnsi="Times New Roman" w:cs="Times New Roman"/>
                      <w:color w:val="0000FF"/>
                      <w:kern w:val="2"/>
                      <w:sz w:val="21"/>
                      <w:szCs w:val="21"/>
                      <w:vertAlign w:val="baseline"/>
                      <w:lang w:val="en-US" w:eastAsia="zh-CN" w:bidi="ar-SA"/>
                    </w:rPr>
                    <w:t>1.468</w:t>
                  </w:r>
                </w:p>
              </w:tc>
              <w:tc>
                <w:tcPr>
                  <w:tcW w:w="1409"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 w:val="0"/>
                      <w:bCs w:val="0"/>
                      <w:snapToGrid w:val="0"/>
                      <w:color w:val="0000FF"/>
                      <w:spacing w:val="0"/>
                      <w:kern w:val="21"/>
                      <w:position w:val="0"/>
                      <w:sz w:val="21"/>
                      <w:szCs w:val="21"/>
                      <w:lang w:val="en-US" w:eastAsia="zh-CN" w:bidi="ar-SA"/>
                    </w:rPr>
                  </w:pPr>
                  <w:r>
                    <w:rPr>
                      <w:rFonts w:hint="eastAsia" w:cs="Times New Roman"/>
                      <w:b w:val="0"/>
                      <w:bCs w:val="0"/>
                      <w:snapToGrid w:val="0"/>
                      <w:color w:val="0000FF"/>
                      <w:spacing w:val="0"/>
                      <w:kern w:val="21"/>
                      <w:position w:val="0"/>
                      <w:sz w:val="21"/>
                      <w:szCs w:val="21"/>
                      <w:lang w:val="en-US" w:eastAsia="zh-CN" w:bidi="ar-SA"/>
                    </w:rPr>
                    <w:t>3.136</w:t>
                  </w:r>
                </w:p>
              </w:tc>
              <w:tc>
                <w:tcPr>
                  <w:tcW w:w="851"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 w:val="0"/>
                      <w:bCs w:val="0"/>
                      <w:snapToGrid w:val="0"/>
                      <w:color w:val="0000FF"/>
                      <w:spacing w:val="0"/>
                      <w:kern w:val="21"/>
                      <w:position w:val="0"/>
                      <w:sz w:val="21"/>
                      <w:szCs w:val="21"/>
                      <w:lang w:val="en-US" w:eastAsia="zh-CN" w:bidi="ar-SA"/>
                    </w:rPr>
                  </w:pPr>
                  <w:r>
                    <w:rPr>
                      <w:rFonts w:hint="default" w:ascii="Times New Roman" w:hAnsi="Times New Roman" w:eastAsia="宋体" w:cs="Times New Roman"/>
                      <w:b w:val="0"/>
                      <w:bCs w:val="0"/>
                      <w:snapToGrid w:val="0"/>
                      <w:color w:val="0000FF"/>
                      <w:spacing w:val="0"/>
                      <w:kern w:val="21"/>
                      <w:position w:val="0"/>
                      <w:sz w:val="21"/>
                      <w:szCs w:val="21"/>
                      <w:lang w:val="en-US" w:eastAsia="zh-CN" w:bidi="ar-SA"/>
                    </w:rPr>
                    <w:t>满足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587" w:type="dxa"/>
                  <w:vMerge w:val="continue"/>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default" w:ascii="Times New Roman" w:hAnsi="Times New Roman" w:eastAsia="宋体" w:cs="Times New Roman"/>
                      <w:color w:val="0000FF"/>
                      <w:sz w:val="21"/>
                      <w:szCs w:val="21"/>
                    </w:rPr>
                  </w:pPr>
                </w:p>
              </w:tc>
              <w:tc>
                <w:tcPr>
                  <w:tcW w:w="623" w:type="dxa"/>
                  <w:vMerge w:val="continue"/>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default" w:ascii="Times New Roman" w:hAnsi="Times New Roman" w:eastAsia="宋体" w:cs="Times New Roman"/>
                      <w:color w:val="0000FF"/>
                      <w:sz w:val="21"/>
                      <w:szCs w:val="21"/>
                    </w:rPr>
                  </w:pPr>
                </w:p>
              </w:tc>
              <w:tc>
                <w:tcPr>
                  <w:tcW w:w="1103" w:type="dxa"/>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auto"/>
                    <w:rPr>
                      <w:rFonts w:hint="default" w:ascii="Times New Roman" w:hAnsi="Times New Roman" w:eastAsia="宋体" w:cs="Times New Roman"/>
                      <w:color w:val="0000FF"/>
                      <w:kern w:val="2"/>
                      <w:sz w:val="21"/>
                      <w:szCs w:val="21"/>
                      <w:lang w:val="en-US" w:eastAsia="zh-CN" w:bidi="ar-SA"/>
                    </w:rPr>
                  </w:pPr>
                  <w:r>
                    <w:rPr>
                      <w:rFonts w:hint="eastAsia" w:cs="Times New Roman"/>
                      <w:color w:val="0000FF"/>
                      <w:sz w:val="21"/>
                      <w:szCs w:val="21"/>
                      <w:lang w:val="en-US" w:eastAsia="zh-CN"/>
                    </w:rPr>
                    <w:t>颗粒物</w:t>
                  </w:r>
                </w:p>
              </w:tc>
              <w:tc>
                <w:tcPr>
                  <w:tcW w:w="1364" w:type="dxa"/>
                  <w:noWrap w:val="0"/>
                  <w:vAlign w:val="center"/>
                </w:tcPr>
                <w:p>
                  <w:pPr>
                    <w:pStyle w:val="13"/>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0000FF"/>
                      <w:kern w:val="2"/>
                      <w:sz w:val="21"/>
                      <w:szCs w:val="21"/>
                      <w:vertAlign w:val="baseline"/>
                      <w:lang w:val="en-US" w:eastAsia="zh-CN" w:bidi="ar-SA"/>
                    </w:rPr>
                  </w:pPr>
                  <w:r>
                    <w:rPr>
                      <w:rFonts w:hint="eastAsia" w:ascii="Times New Roman" w:hAnsi="Times New Roman" w:cs="Times New Roman"/>
                      <w:color w:val="0000FF"/>
                      <w:kern w:val="2"/>
                      <w:sz w:val="21"/>
                      <w:szCs w:val="21"/>
                      <w:vertAlign w:val="baseline"/>
                      <w:lang w:val="en-US" w:eastAsia="zh-CN" w:bidi="ar-SA"/>
                    </w:rPr>
                    <w:t>0.360</w:t>
                  </w:r>
                </w:p>
              </w:tc>
              <w:tc>
                <w:tcPr>
                  <w:tcW w:w="1409"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 w:val="0"/>
                      <w:bCs w:val="0"/>
                      <w:snapToGrid w:val="0"/>
                      <w:color w:val="0000FF"/>
                      <w:spacing w:val="0"/>
                      <w:kern w:val="21"/>
                      <w:position w:val="0"/>
                      <w:sz w:val="21"/>
                      <w:szCs w:val="21"/>
                      <w:lang w:val="en-US" w:eastAsia="zh-CN" w:bidi="ar-SA"/>
                    </w:rPr>
                  </w:pPr>
                  <w:r>
                    <w:rPr>
                      <w:rFonts w:hint="eastAsia" w:cs="Times New Roman"/>
                      <w:b w:val="0"/>
                      <w:bCs w:val="0"/>
                      <w:snapToGrid w:val="0"/>
                      <w:color w:val="0000FF"/>
                      <w:spacing w:val="0"/>
                      <w:kern w:val="21"/>
                      <w:position w:val="0"/>
                      <w:sz w:val="21"/>
                      <w:szCs w:val="21"/>
                      <w:lang w:val="en-US" w:eastAsia="zh-CN" w:bidi="ar-SA"/>
                    </w:rPr>
                    <w:t>0.494</w:t>
                  </w:r>
                </w:p>
              </w:tc>
              <w:tc>
                <w:tcPr>
                  <w:tcW w:w="851" w:type="dxa"/>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 w:val="0"/>
                      <w:bCs w:val="0"/>
                      <w:snapToGrid w:val="0"/>
                      <w:color w:val="0000FF"/>
                      <w:spacing w:val="0"/>
                      <w:kern w:val="21"/>
                      <w:position w:val="0"/>
                      <w:sz w:val="21"/>
                      <w:szCs w:val="21"/>
                      <w:lang w:val="en-US" w:eastAsia="zh-CN" w:bidi="ar-SA"/>
                    </w:rPr>
                  </w:pPr>
                  <w:r>
                    <w:rPr>
                      <w:rFonts w:hint="default" w:ascii="Times New Roman" w:hAnsi="Times New Roman" w:eastAsia="宋体" w:cs="Times New Roman"/>
                      <w:b w:val="0"/>
                      <w:bCs w:val="0"/>
                      <w:snapToGrid w:val="0"/>
                      <w:color w:val="0000FF"/>
                      <w:spacing w:val="0"/>
                      <w:kern w:val="21"/>
                      <w:position w:val="0"/>
                      <w:sz w:val="21"/>
                      <w:szCs w:val="21"/>
                      <w:lang w:val="en-US" w:eastAsia="zh-CN" w:bidi="ar-SA"/>
                    </w:rPr>
                    <w:t>满足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937" w:type="dxa"/>
                  <w:gridSpan w:val="6"/>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left"/>
                    <w:textAlignment w:val="auto"/>
                    <w:rPr>
                      <w:rFonts w:hint="default" w:ascii="Times New Roman" w:hAnsi="Times New Roman" w:eastAsia="宋体" w:cs="Times New Roman"/>
                      <w:b w:val="0"/>
                      <w:bCs w:val="0"/>
                      <w:snapToGrid w:val="0"/>
                      <w:color w:val="0000FF"/>
                      <w:spacing w:val="0"/>
                      <w:kern w:val="21"/>
                      <w:position w:val="0"/>
                      <w:sz w:val="21"/>
                      <w:szCs w:val="21"/>
                      <w:lang w:val="en-US" w:eastAsia="zh-CN" w:bidi="ar-SA"/>
                    </w:rPr>
                  </w:pPr>
                  <w:r>
                    <w:rPr>
                      <w:rFonts w:hint="default" w:ascii="Times New Roman" w:hAnsi="Times New Roman" w:eastAsia="宋体" w:cs="Times New Roman"/>
                      <w:b w:val="0"/>
                      <w:bCs w:val="0"/>
                      <w:snapToGrid w:val="0"/>
                      <w:color w:val="0000FF"/>
                      <w:spacing w:val="0"/>
                      <w:kern w:val="21"/>
                      <w:position w:val="0"/>
                      <w:sz w:val="21"/>
                      <w:szCs w:val="21"/>
                      <w:lang w:val="en-US" w:eastAsia="zh-CN" w:bidi="ar-SA"/>
                    </w:rPr>
                    <w:t>备注：现有项目总量根据《</w:t>
                  </w:r>
                  <w:r>
                    <w:rPr>
                      <w:rFonts w:hint="eastAsia" w:cs="Times New Roman"/>
                      <w:b w:val="0"/>
                      <w:bCs w:val="0"/>
                      <w:snapToGrid w:val="0"/>
                      <w:color w:val="0000FF"/>
                      <w:spacing w:val="0"/>
                      <w:kern w:val="21"/>
                      <w:position w:val="0"/>
                      <w:sz w:val="21"/>
                      <w:szCs w:val="21"/>
                      <w:lang w:val="en-US" w:eastAsia="zh-CN" w:bidi="ar-SA"/>
                    </w:rPr>
                    <w:t>关于</w:t>
                  </w:r>
                  <w:r>
                    <w:rPr>
                      <w:rFonts w:hint="default" w:ascii="Times New Roman" w:hAnsi="Times New Roman" w:eastAsia="宋体" w:cs="Times New Roman"/>
                      <w:b w:val="0"/>
                      <w:bCs w:val="0"/>
                      <w:snapToGrid w:val="0"/>
                      <w:color w:val="0000FF"/>
                      <w:spacing w:val="0"/>
                      <w:kern w:val="21"/>
                      <w:position w:val="0"/>
                      <w:sz w:val="21"/>
                      <w:szCs w:val="21"/>
                      <w:lang w:val="en-US" w:eastAsia="zh-CN" w:bidi="ar-SA"/>
                    </w:rPr>
                    <w:t>山东黄河龙集团有限公司粮食酒酿造车间搬迁及技改项目</w:t>
                  </w:r>
                  <w:r>
                    <w:rPr>
                      <w:rFonts w:hint="eastAsia"/>
                      <w:color w:val="0000FF"/>
                      <w:lang w:eastAsia="zh-CN"/>
                    </w:rPr>
                    <w:t>环境影响报告书的审批意见</w:t>
                  </w:r>
                  <w:r>
                    <w:rPr>
                      <w:rFonts w:hint="default" w:ascii="Times New Roman" w:hAnsi="Times New Roman" w:eastAsia="宋体" w:cs="Times New Roman"/>
                      <w:b w:val="0"/>
                      <w:bCs w:val="0"/>
                      <w:snapToGrid w:val="0"/>
                      <w:color w:val="0000FF"/>
                      <w:spacing w:val="0"/>
                      <w:kern w:val="21"/>
                      <w:position w:val="0"/>
                      <w:sz w:val="21"/>
                      <w:szCs w:val="21"/>
                      <w:lang w:val="en-US" w:eastAsia="zh-CN" w:bidi="ar-SA"/>
                    </w:rPr>
                    <w:t>》</w:t>
                  </w:r>
                  <w:r>
                    <w:rPr>
                      <w:rFonts w:hint="eastAsia"/>
                      <w:lang w:eastAsia="zh-CN"/>
                    </w:rPr>
                    <w:t>、</w:t>
                  </w:r>
                  <w:r>
                    <w:rPr>
                      <w:rFonts w:hint="default" w:ascii="Times New Roman" w:hAnsi="Times New Roman" w:cs="Times New Roman"/>
                      <w:b w:val="0"/>
                      <w:bCs w:val="0"/>
                      <w:snapToGrid w:val="0"/>
                      <w:color w:val="0000FF"/>
                      <w:spacing w:val="0"/>
                      <w:kern w:val="21"/>
                      <w:position w:val="0"/>
                      <w:sz w:val="21"/>
                      <w:szCs w:val="21"/>
                      <w:lang w:val="en-US" w:eastAsia="zh-CN" w:bidi="ar-SA"/>
                    </w:rPr>
                    <w:t>《</w:t>
                  </w:r>
                  <w:r>
                    <w:rPr>
                      <w:rFonts w:hint="default" w:ascii="Times New Roman" w:hAnsi="Times New Roman" w:eastAsia="宋体" w:cs="Times New Roman"/>
                      <w:bCs/>
                      <w:color w:val="0000FF"/>
                      <w:sz w:val="21"/>
                      <w:szCs w:val="21"/>
                      <w:u w:val="none"/>
                    </w:rPr>
                    <w:t>年产10亿米高品质蛋白肠衣建设项目</w:t>
                  </w:r>
                  <w:r>
                    <w:rPr>
                      <w:rFonts w:hint="default" w:ascii="Times New Roman" w:hAnsi="Times New Roman" w:eastAsia="宋体" w:cs="Times New Roman"/>
                      <w:bCs/>
                      <w:color w:val="0000FF"/>
                      <w:sz w:val="21"/>
                      <w:szCs w:val="21"/>
                      <w:u w:val="none"/>
                      <w:lang w:eastAsia="zh-CN"/>
                    </w:rPr>
                    <w:t>污染物总量确认书</w:t>
                  </w:r>
                  <w:r>
                    <w:rPr>
                      <w:rFonts w:hint="default" w:ascii="Times New Roman" w:hAnsi="Times New Roman" w:cs="Times New Roman"/>
                      <w:b w:val="0"/>
                      <w:bCs w:val="0"/>
                      <w:snapToGrid w:val="0"/>
                      <w:color w:val="0000FF"/>
                      <w:spacing w:val="0"/>
                      <w:kern w:val="21"/>
                      <w:position w:val="0"/>
                      <w:sz w:val="21"/>
                      <w:szCs w:val="21"/>
                      <w:lang w:val="en-US" w:eastAsia="zh-CN" w:bidi="ar-SA"/>
                    </w:rPr>
                    <w:t>》</w:t>
                  </w:r>
                  <w:r>
                    <w:rPr>
                      <w:rFonts w:hint="default" w:ascii="Times New Roman" w:hAnsi="Times New Roman" w:eastAsia="宋体" w:cs="Times New Roman"/>
                      <w:b w:val="0"/>
                      <w:bCs w:val="0"/>
                      <w:snapToGrid w:val="0"/>
                      <w:color w:val="0000FF"/>
                      <w:spacing w:val="0"/>
                      <w:kern w:val="21"/>
                      <w:position w:val="0"/>
                      <w:sz w:val="21"/>
                      <w:szCs w:val="21"/>
                      <w:lang w:val="en-US" w:eastAsia="zh-CN" w:bidi="ar-SA"/>
                    </w:rPr>
                    <w:t>确定。</w:t>
                  </w:r>
                </w:p>
              </w:tc>
            </w:tr>
          </w:tbl>
          <w:p>
            <w:pPr>
              <w:keepNext w:val="0"/>
              <w:keepLines w:val="0"/>
              <w:pageBreakBefore w:val="0"/>
              <w:kinsoku/>
              <w:wordWrap/>
              <w:overflowPunct/>
              <w:topLinePunct w:val="0"/>
              <w:autoSpaceDE/>
              <w:autoSpaceDN/>
              <w:bidi w:val="0"/>
              <w:spacing w:line="360" w:lineRule="auto"/>
              <w:rPr>
                <w:rFonts w:hint="default"/>
                <w:color w:val="auto"/>
                <w:sz w:val="24"/>
                <w:szCs w:val="24"/>
                <w:lang w:val="en-US" w:eastAsia="zh-CN"/>
              </w:rPr>
            </w:pPr>
          </w:p>
        </w:tc>
      </w:tr>
    </w:tbl>
    <w:p>
      <w:pPr>
        <w:rPr>
          <w:rFonts w:hint="default" w:ascii="Times New Roman" w:hAnsi="Times New Roman" w:cs="Times New Roman"/>
          <w:color w:val="auto"/>
        </w:rPr>
      </w:pPr>
      <w:r>
        <w:rPr>
          <w:rFonts w:hint="default" w:ascii="Times New Roman" w:hAnsi="Times New Roman" w:cs="Times New Roman"/>
          <w:color w:val="auto"/>
        </w:rPr>
        <w:br w:type="page"/>
      </w:r>
    </w:p>
    <w:p>
      <w:pPr>
        <w:pStyle w:val="7"/>
        <w:bidi w:val="0"/>
        <w:jc w:val="center"/>
        <w:rPr>
          <w:rFonts w:hint="default" w:ascii="Times New Roman" w:hAnsi="Times New Roman" w:cs="Times New Roman"/>
          <w:color w:val="auto"/>
        </w:rPr>
      </w:pPr>
      <w:r>
        <w:rPr>
          <w:rFonts w:hint="default" w:ascii="Times New Roman" w:hAnsi="Times New Roman" w:cs="Times New Roman"/>
          <w:color w:val="auto"/>
        </w:rPr>
        <w:t>三、区域环境质量现状、环境保护目标及评价标准</w:t>
      </w:r>
    </w:p>
    <w:tbl>
      <w:tblPr>
        <w:tblStyle w:val="20"/>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7"/>
        <w:gridCol w:w="82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7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区域</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环境</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质量</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现状</w:t>
            </w:r>
          </w:p>
        </w:tc>
        <w:tc>
          <w:tcPr>
            <w:tcW w:w="82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3.1大气环境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shd w:val="clear" w:color="auto" w:fill="FFFFFF"/>
                <w:lang w:val="en-US" w:eastAsia="zh-CN"/>
              </w:rPr>
            </w:pPr>
            <w:r>
              <w:rPr>
                <w:rFonts w:hint="default" w:ascii="Times New Roman" w:hAnsi="Times New Roman" w:eastAsia="宋体" w:cs="Times New Roman"/>
                <w:color w:val="auto"/>
                <w:sz w:val="24"/>
                <w:szCs w:val="24"/>
              </w:rPr>
              <w:t>常规污染物：</w:t>
            </w:r>
            <w:r>
              <w:rPr>
                <w:rFonts w:hint="default" w:ascii="Times New Roman" w:hAnsi="Times New Roman" w:eastAsia="宋体" w:cs="Times New Roman"/>
                <w:color w:val="auto"/>
                <w:sz w:val="24"/>
                <w:szCs w:val="24"/>
                <w:shd w:val="clear" w:color="auto" w:fill="FFFFFF"/>
                <w:lang w:val="en-US" w:eastAsia="zh-CN"/>
              </w:rPr>
              <w:t>根据《</w:t>
            </w:r>
            <w:r>
              <w:rPr>
                <w:rFonts w:hint="default" w:ascii="Times New Roman" w:hAnsi="Times New Roman" w:eastAsia="宋体" w:cs="Times New Roman"/>
                <w:b w:val="0"/>
                <w:bCs w:val="0"/>
                <w:color w:val="auto"/>
                <w:sz w:val="24"/>
                <w:szCs w:val="24"/>
              </w:rPr>
              <w:t>2021年12月份及全年环境质量情况通报</w:t>
            </w:r>
            <w:r>
              <w:rPr>
                <w:rFonts w:hint="default" w:ascii="Times New Roman" w:hAnsi="Times New Roman" w:eastAsia="宋体" w:cs="Times New Roman"/>
                <w:color w:val="auto"/>
                <w:sz w:val="24"/>
                <w:szCs w:val="24"/>
                <w:shd w:val="clear" w:color="auto" w:fill="FFFFFF"/>
                <w:lang w:val="en-US" w:eastAsia="zh-CN"/>
              </w:rPr>
              <w:t>》（淄博市生态环境局）：2021年桓台县</w:t>
            </w:r>
            <w:r>
              <w:rPr>
                <w:rFonts w:hint="default" w:ascii="Times New Roman" w:hAnsi="Times New Roman" w:eastAsia="宋体" w:cs="Times New Roman"/>
                <w:b w:val="0"/>
                <w:bCs w:val="0"/>
                <w:color w:val="auto"/>
                <w:sz w:val="24"/>
                <w:szCs w:val="24"/>
                <w:shd w:val="clear" w:color="auto" w:fill="FFFFFF"/>
                <w:lang w:val="en-US" w:eastAsia="zh-CN"/>
              </w:rPr>
              <w:t>细颗粒物（PM</w:t>
            </w:r>
            <w:r>
              <w:rPr>
                <w:rFonts w:hint="default" w:ascii="Times New Roman" w:hAnsi="Times New Roman" w:eastAsia="宋体" w:cs="Times New Roman"/>
                <w:b w:val="0"/>
                <w:bCs w:val="0"/>
                <w:color w:val="auto"/>
                <w:sz w:val="24"/>
                <w:szCs w:val="24"/>
                <w:shd w:val="clear" w:color="auto" w:fill="FFFFFF"/>
                <w:vertAlign w:val="subscript"/>
                <w:lang w:val="en-US" w:eastAsia="zh-CN"/>
              </w:rPr>
              <w:t>2.5</w:t>
            </w:r>
            <w:r>
              <w:rPr>
                <w:rFonts w:hint="default" w:ascii="Times New Roman" w:hAnsi="Times New Roman" w:eastAsia="宋体" w:cs="Times New Roman"/>
                <w:b w:val="0"/>
                <w:bCs w:val="0"/>
                <w:color w:val="auto"/>
                <w:sz w:val="24"/>
                <w:szCs w:val="24"/>
                <w:shd w:val="clear" w:color="auto" w:fill="FFFFFF"/>
                <w:lang w:val="en-US" w:eastAsia="zh-CN"/>
              </w:rPr>
              <w:t>）为45</w:t>
            </w:r>
            <w:r>
              <w:rPr>
                <w:rStyle w:val="23"/>
                <w:rFonts w:hint="default" w:ascii="Times New Roman" w:hAnsi="Times New Roman" w:eastAsia="宋体" w:cs="Times New Roman"/>
                <w:b w:val="0"/>
                <w:bCs w:val="0"/>
                <w:i w:val="0"/>
                <w:iCs w:val="0"/>
                <w:caps w:val="0"/>
                <w:color w:val="auto"/>
                <w:spacing w:val="0"/>
                <w:sz w:val="24"/>
                <w:szCs w:val="24"/>
                <w:shd w:val="clear" w:color="auto" w:fill="FFFFFF"/>
              </w:rPr>
              <w:t>μg/m³</w:t>
            </w:r>
            <w:r>
              <w:rPr>
                <w:rFonts w:hint="default" w:ascii="Times New Roman" w:hAnsi="Times New Roman" w:eastAsia="宋体" w:cs="Times New Roman"/>
                <w:b w:val="0"/>
                <w:bCs w:val="0"/>
                <w:color w:val="auto"/>
                <w:sz w:val="24"/>
                <w:szCs w:val="24"/>
                <w:shd w:val="clear" w:color="auto" w:fill="FFFFFF"/>
                <w:lang w:val="en-US" w:eastAsia="zh-CN"/>
              </w:rPr>
              <w:t>，二氧化硫（SO</w:t>
            </w:r>
            <w:r>
              <w:rPr>
                <w:rFonts w:hint="default" w:ascii="Times New Roman" w:hAnsi="Times New Roman" w:eastAsia="宋体" w:cs="Times New Roman"/>
                <w:b w:val="0"/>
                <w:bCs w:val="0"/>
                <w:color w:val="auto"/>
                <w:sz w:val="24"/>
                <w:szCs w:val="24"/>
                <w:shd w:val="clear" w:color="auto" w:fill="FFFFFF"/>
                <w:vertAlign w:val="subscript"/>
                <w:lang w:val="en-US" w:eastAsia="zh-CN"/>
              </w:rPr>
              <w:t>2</w:t>
            </w:r>
            <w:r>
              <w:rPr>
                <w:rFonts w:hint="default" w:ascii="Times New Roman" w:hAnsi="Times New Roman" w:eastAsia="宋体" w:cs="Times New Roman"/>
                <w:b w:val="0"/>
                <w:bCs w:val="0"/>
                <w:color w:val="auto"/>
                <w:sz w:val="24"/>
                <w:szCs w:val="24"/>
                <w:shd w:val="clear" w:color="auto" w:fill="FFFFFF"/>
                <w:lang w:val="en-US" w:eastAsia="zh-CN"/>
              </w:rPr>
              <w:t>）为15</w:t>
            </w:r>
            <w:r>
              <w:rPr>
                <w:rStyle w:val="23"/>
                <w:rFonts w:hint="default" w:ascii="Times New Roman" w:hAnsi="Times New Roman" w:eastAsia="宋体" w:cs="Times New Roman"/>
                <w:b w:val="0"/>
                <w:bCs w:val="0"/>
                <w:i w:val="0"/>
                <w:iCs w:val="0"/>
                <w:caps w:val="0"/>
                <w:color w:val="auto"/>
                <w:spacing w:val="0"/>
                <w:sz w:val="24"/>
                <w:szCs w:val="24"/>
                <w:shd w:val="clear" w:color="auto" w:fill="FFFFFF"/>
              </w:rPr>
              <w:t>μg/m³</w:t>
            </w:r>
            <w:r>
              <w:rPr>
                <w:rFonts w:hint="default" w:ascii="Times New Roman" w:hAnsi="Times New Roman" w:eastAsia="宋体" w:cs="Times New Roman"/>
                <w:b w:val="0"/>
                <w:bCs w:val="0"/>
                <w:color w:val="auto"/>
                <w:sz w:val="24"/>
                <w:szCs w:val="24"/>
                <w:shd w:val="clear" w:color="auto" w:fill="FFFFFF"/>
                <w:lang w:val="en-US" w:eastAsia="zh-CN"/>
              </w:rPr>
              <w:t>，可吸入颗粒物（PM</w:t>
            </w:r>
            <w:r>
              <w:rPr>
                <w:rFonts w:hint="default" w:ascii="Times New Roman" w:hAnsi="Times New Roman" w:eastAsia="宋体" w:cs="Times New Roman"/>
                <w:b w:val="0"/>
                <w:bCs w:val="0"/>
                <w:color w:val="auto"/>
                <w:sz w:val="24"/>
                <w:szCs w:val="24"/>
                <w:shd w:val="clear" w:color="auto" w:fill="FFFFFF"/>
                <w:vertAlign w:val="subscript"/>
                <w:lang w:val="en-US" w:eastAsia="zh-CN"/>
              </w:rPr>
              <w:t>10</w:t>
            </w:r>
            <w:r>
              <w:rPr>
                <w:rFonts w:hint="default" w:ascii="Times New Roman" w:hAnsi="Times New Roman" w:eastAsia="宋体" w:cs="Times New Roman"/>
                <w:b w:val="0"/>
                <w:bCs w:val="0"/>
                <w:color w:val="auto"/>
                <w:sz w:val="24"/>
                <w:szCs w:val="24"/>
                <w:shd w:val="clear" w:color="auto" w:fill="FFFFFF"/>
                <w:lang w:val="en-US" w:eastAsia="zh-CN"/>
              </w:rPr>
              <w:t>）79</w:t>
            </w:r>
            <w:r>
              <w:rPr>
                <w:rStyle w:val="23"/>
                <w:rFonts w:hint="default" w:ascii="Times New Roman" w:hAnsi="Times New Roman" w:eastAsia="宋体" w:cs="Times New Roman"/>
                <w:b w:val="0"/>
                <w:bCs w:val="0"/>
                <w:i w:val="0"/>
                <w:iCs w:val="0"/>
                <w:caps w:val="0"/>
                <w:color w:val="auto"/>
                <w:spacing w:val="0"/>
                <w:sz w:val="24"/>
                <w:szCs w:val="24"/>
                <w:shd w:val="clear" w:color="auto" w:fill="FFFFFF"/>
              </w:rPr>
              <w:t>μg/m³</w:t>
            </w:r>
            <w:r>
              <w:rPr>
                <w:rFonts w:hint="default" w:ascii="Times New Roman" w:hAnsi="Times New Roman" w:eastAsia="宋体" w:cs="Times New Roman"/>
                <w:b w:val="0"/>
                <w:bCs w:val="0"/>
                <w:color w:val="auto"/>
                <w:sz w:val="24"/>
                <w:szCs w:val="24"/>
                <w:shd w:val="clear" w:color="auto" w:fill="FFFFFF"/>
                <w:lang w:val="en-US" w:eastAsia="zh-CN"/>
              </w:rPr>
              <w:t>，</w:t>
            </w:r>
            <w:r>
              <w:rPr>
                <w:rFonts w:hint="default" w:ascii="Times New Roman" w:hAnsi="Times New Roman" w:eastAsia="宋体" w:cs="Times New Roman"/>
                <w:color w:val="auto"/>
                <w:sz w:val="24"/>
                <w:szCs w:val="24"/>
                <w:shd w:val="clear" w:color="auto" w:fill="FFFFFF"/>
                <w:lang w:val="en-US" w:eastAsia="zh-CN"/>
              </w:rPr>
              <w:t>二氧化氮（N</w:t>
            </w:r>
            <w:r>
              <w:rPr>
                <w:rFonts w:hint="default" w:ascii="Times New Roman" w:hAnsi="Times New Roman" w:eastAsia="宋体" w:cs="Times New Roman"/>
                <w:b w:val="0"/>
                <w:bCs w:val="0"/>
                <w:color w:val="auto"/>
                <w:sz w:val="24"/>
                <w:szCs w:val="24"/>
                <w:shd w:val="clear" w:color="auto" w:fill="FFFFFF"/>
                <w:lang w:val="en-US" w:eastAsia="zh-CN"/>
              </w:rPr>
              <w:t>O</w:t>
            </w:r>
            <w:r>
              <w:rPr>
                <w:rFonts w:hint="default" w:ascii="Times New Roman" w:hAnsi="Times New Roman" w:eastAsia="宋体" w:cs="Times New Roman"/>
                <w:b w:val="0"/>
                <w:bCs w:val="0"/>
                <w:color w:val="auto"/>
                <w:sz w:val="24"/>
                <w:szCs w:val="24"/>
                <w:shd w:val="clear" w:color="auto" w:fill="FFFFFF"/>
                <w:vertAlign w:val="subscript"/>
                <w:lang w:val="en-US" w:eastAsia="zh-CN"/>
              </w:rPr>
              <w:t>2</w:t>
            </w:r>
            <w:r>
              <w:rPr>
                <w:rFonts w:hint="default" w:ascii="Times New Roman" w:hAnsi="Times New Roman" w:eastAsia="宋体" w:cs="Times New Roman"/>
                <w:b w:val="0"/>
                <w:bCs w:val="0"/>
                <w:color w:val="auto"/>
                <w:sz w:val="24"/>
                <w:szCs w:val="24"/>
                <w:shd w:val="clear" w:color="auto" w:fill="FFFFFF"/>
                <w:lang w:val="en-US" w:eastAsia="zh-CN"/>
              </w:rPr>
              <w:t>）为35</w:t>
            </w:r>
            <w:r>
              <w:rPr>
                <w:rStyle w:val="23"/>
                <w:rFonts w:hint="default" w:ascii="Times New Roman" w:hAnsi="Times New Roman" w:eastAsia="宋体" w:cs="Times New Roman"/>
                <w:b w:val="0"/>
                <w:bCs w:val="0"/>
                <w:i w:val="0"/>
                <w:iCs w:val="0"/>
                <w:caps w:val="0"/>
                <w:color w:val="auto"/>
                <w:spacing w:val="0"/>
                <w:sz w:val="24"/>
                <w:szCs w:val="24"/>
                <w:shd w:val="clear" w:color="auto" w:fill="FFFFFF"/>
              </w:rPr>
              <w:t>μg/m³</w:t>
            </w:r>
            <w:r>
              <w:rPr>
                <w:rFonts w:hint="default" w:ascii="Times New Roman" w:hAnsi="Times New Roman" w:eastAsia="宋体" w:cs="Times New Roman"/>
                <w:b w:val="0"/>
                <w:bCs w:val="0"/>
                <w:color w:val="auto"/>
                <w:sz w:val="24"/>
                <w:szCs w:val="24"/>
                <w:shd w:val="clear" w:color="auto" w:fill="FFFFFF"/>
                <w:lang w:val="en-US" w:eastAsia="zh-CN"/>
              </w:rPr>
              <w:t>。</w:t>
            </w:r>
            <w:r>
              <w:rPr>
                <w:rFonts w:hint="default" w:ascii="Times New Roman" w:hAnsi="Times New Roman" w:eastAsia="宋体" w:cs="Times New Roman"/>
                <w:color w:val="auto"/>
                <w:sz w:val="24"/>
                <w:szCs w:val="24"/>
                <w:shd w:val="clear" w:color="auto" w:fill="FFFFFF"/>
                <w:lang w:val="en-US" w:eastAsia="zh-CN"/>
              </w:rPr>
              <w:t>因此，项目所在区域空气环境质量不满足《环境空气质量标准》(GB3095-2012)中二级标准及修改单要求。PM</w:t>
            </w:r>
            <w:r>
              <w:rPr>
                <w:rFonts w:hint="default" w:ascii="Times New Roman" w:hAnsi="Times New Roman" w:eastAsia="宋体" w:cs="Times New Roman"/>
                <w:color w:val="auto"/>
                <w:sz w:val="24"/>
                <w:szCs w:val="24"/>
                <w:shd w:val="clear" w:color="auto" w:fill="FFFFFF"/>
                <w:vertAlign w:val="subscript"/>
                <w:lang w:val="en-US" w:eastAsia="zh-CN"/>
              </w:rPr>
              <w:t>2.5</w:t>
            </w:r>
            <w:r>
              <w:rPr>
                <w:rFonts w:hint="default" w:ascii="Times New Roman" w:hAnsi="Times New Roman" w:eastAsia="宋体" w:cs="Times New Roman"/>
                <w:color w:val="auto"/>
                <w:sz w:val="24"/>
                <w:szCs w:val="24"/>
                <w:shd w:val="clear" w:color="auto" w:fill="FFFFFF"/>
                <w:lang w:val="en-US" w:eastAsia="zh-CN"/>
              </w:rPr>
              <w:t>、PM</w:t>
            </w:r>
            <w:r>
              <w:rPr>
                <w:rFonts w:hint="default" w:ascii="Times New Roman" w:hAnsi="Times New Roman" w:eastAsia="宋体" w:cs="Times New Roman"/>
                <w:color w:val="auto"/>
                <w:sz w:val="24"/>
                <w:szCs w:val="24"/>
                <w:shd w:val="clear" w:color="auto" w:fill="FFFFFF"/>
                <w:vertAlign w:val="subscript"/>
                <w:lang w:val="en-US" w:eastAsia="zh-CN"/>
              </w:rPr>
              <w:t>10</w:t>
            </w:r>
            <w:r>
              <w:rPr>
                <w:rFonts w:hint="default" w:ascii="Times New Roman" w:hAnsi="Times New Roman" w:eastAsia="宋体" w:cs="Times New Roman"/>
                <w:color w:val="auto"/>
                <w:sz w:val="24"/>
                <w:szCs w:val="24"/>
                <w:shd w:val="clear" w:color="auto" w:fill="FFFFFF"/>
                <w:lang w:val="en-US" w:eastAsia="zh-CN"/>
              </w:rPr>
              <w:t>超标主要是由于淄博属于重工业城市，天气干燥起风较多，植被覆盖率低，以及道路交通扬尘等造成的。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shd w:val="clear" w:color="auto" w:fill="FFFFFF"/>
                <w:lang w:val="en-US" w:eastAsia="zh-CN"/>
              </w:rPr>
              <w:t>根据《山东省新一轮“四减四增”三年行动方案(2021—2023年)》：调整产业结构，减少过剩和落后产业，增加新的增长动能；调整能源结构，减少煤炭消费，增加清洁能源使用；调整运输结构，减少公路运输量，增加铁路运输量；调整农业投入结构，减少化肥农药使用量，增加有机肥使用量。采取相应的保障措施以后，桓台县环境空气质量可得到相应改善。</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3.2地表水环境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shd w:val="clear" w:color="auto" w:fill="FFFFFF"/>
                <w:lang w:val="en-US" w:eastAsia="zh-CN"/>
              </w:rPr>
            </w:pPr>
            <w:r>
              <w:rPr>
                <w:rFonts w:hint="default" w:ascii="Times New Roman" w:hAnsi="Times New Roman" w:eastAsia="宋体" w:cs="Times New Roman"/>
                <w:color w:val="auto"/>
                <w:sz w:val="24"/>
                <w:szCs w:val="24"/>
                <w:shd w:val="clear" w:color="auto" w:fill="FFFFFF"/>
                <w:lang w:val="en-US" w:eastAsia="zh-CN"/>
              </w:rPr>
              <w:t>地表水环境：项目周围地表水主要河流为东猪龙河，执行《地表水环境质量标准》</w:t>
            </w:r>
            <w:r>
              <w:rPr>
                <w:rFonts w:hint="default" w:ascii="Times New Roman" w:hAnsi="Times New Roman" w:eastAsia="宋体" w:cs="Times New Roman"/>
                <w:color w:val="auto"/>
                <w:sz w:val="24"/>
                <w:szCs w:val="24"/>
              </w:rPr>
              <w:t>V</w:t>
            </w:r>
            <w:r>
              <w:rPr>
                <w:rFonts w:hint="default" w:ascii="Times New Roman" w:hAnsi="Times New Roman" w:eastAsia="宋体" w:cs="Times New Roman"/>
                <w:color w:val="auto"/>
                <w:sz w:val="24"/>
                <w:szCs w:val="24"/>
                <w:shd w:val="clear" w:color="auto" w:fill="FFFFFF"/>
                <w:lang w:val="en-US" w:eastAsia="zh-CN"/>
              </w:rPr>
              <w:t>类标准；根据《2020年12月份及全年环境质量情况通报》（淄博市生态环境局）资料显示，</w:t>
            </w:r>
            <w:r>
              <w:rPr>
                <w:rFonts w:hint="default" w:ascii="Times New Roman" w:hAnsi="Times New Roman" w:eastAsia="宋体" w:cs="Times New Roman"/>
                <w:color w:val="auto"/>
                <w:sz w:val="24"/>
                <w:szCs w:val="24"/>
              </w:rPr>
              <w:t>项目区域猪龙河入小清河处监测COD和氨氮年平均浓度分别为22.2mg/L和0.433mg/L，</w:t>
            </w:r>
            <w:r>
              <w:rPr>
                <w:rFonts w:hint="default" w:ascii="Times New Roman" w:hAnsi="Times New Roman" w:eastAsia="宋体" w:cs="Times New Roman"/>
                <w:color w:val="auto"/>
                <w:sz w:val="24"/>
                <w:szCs w:val="24"/>
                <w:shd w:val="clear" w:color="auto" w:fill="FFFFFF"/>
                <w:lang w:val="en-US" w:eastAsia="zh-CN"/>
              </w:rPr>
              <w:t>其水质满足《地表水环境质量标准》</w:t>
            </w:r>
            <w:r>
              <w:rPr>
                <w:rFonts w:hint="default" w:ascii="Times New Roman" w:hAnsi="Times New Roman" w:eastAsia="宋体" w:cs="Times New Roman"/>
                <w:color w:val="auto"/>
                <w:sz w:val="24"/>
                <w:szCs w:val="24"/>
              </w:rPr>
              <w:t>V</w:t>
            </w:r>
            <w:r>
              <w:rPr>
                <w:rFonts w:hint="default" w:ascii="Times New Roman" w:hAnsi="Times New Roman" w:eastAsia="宋体" w:cs="Times New Roman"/>
                <w:color w:val="auto"/>
                <w:sz w:val="24"/>
                <w:szCs w:val="24"/>
                <w:shd w:val="clear" w:color="auto" w:fill="FFFFFF"/>
                <w:lang w:val="en-US" w:eastAsia="zh-CN"/>
              </w:rPr>
              <w:t>类标准。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3.3声环境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rPr>
              <w:t>本项目厂界外50m范围内不存在敏感目标，区域声环境质量满足</w:t>
            </w:r>
            <w:r>
              <w:rPr>
                <w:rFonts w:hint="default" w:ascii="Times New Roman" w:hAnsi="Times New Roman" w:eastAsia="宋体" w:cs="Times New Roman"/>
                <w:color w:val="auto"/>
                <w:sz w:val="24"/>
                <w:szCs w:val="24"/>
              </w:rPr>
              <w:t>《声环境质量标准》（GB3096-2008）</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类标准要求，声环境质量良好。</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3.4生态环境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本项目所在地主要植被类型是一些野生杂草、灌木，还有一些人工速生杨树；野生动物较少，无珍稀濒危动物，生态环境一般。</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3.5电磁环境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本项目不属于广播电台、差转台、电视塔台、卫星地球上行站、雷达等电磁辐射类项目，本评价不再开展电磁环境影响分析。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3.6地下水、土壤环境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shd w:val="clear" w:color="auto" w:fill="FFFFFF"/>
                <w:lang w:val="en-US" w:eastAsia="zh-CN"/>
              </w:rPr>
              <w:t>根据淄博市环保局网站发布的《淄博市2021年3月集中式生活饮用水水源水质状况报告》，</w:t>
            </w:r>
            <w:r>
              <w:rPr>
                <w:rFonts w:hint="default" w:ascii="Times New Roman" w:hAnsi="Times New Roman" w:eastAsia="宋体" w:cs="Times New Roman"/>
                <w:color w:val="auto"/>
                <w:sz w:val="24"/>
                <w:szCs w:val="24"/>
                <w:shd w:val="clear" w:fill="FFFFFF"/>
                <w:lang w:val="en-US"/>
              </w:rPr>
              <w:t>3</w:t>
            </w:r>
            <w:r>
              <w:rPr>
                <w:rFonts w:hint="default" w:ascii="Times New Roman" w:hAnsi="Times New Roman" w:eastAsia="宋体" w:cs="Times New Roman"/>
                <w:color w:val="auto"/>
                <w:sz w:val="24"/>
                <w:szCs w:val="24"/>
                <w:shd w:val="clear" w:fill="FFFFFF"/>
              </w:rPr>
              <w:t>月份监测的</w:t>
            </w:r>
            <w:r>
              <w:rPr>
                <w:rFonts w:hint="default" w:ascii="Times New Roman" w:hAnsi="Times New Roman" w:eastAsia="宋体" w:cs="Times New Roman"/>
                <w:color w:val="auto"/>
                <w:sz w:val="24"/>
                <w:szCs w:val="24"/>
                <w:shd w:val="clear" w:fill="FFFFFF"/>
                <w:lang w:val="en-US"/>
              </w:rPr>
              <w:t>11</w:t>
            </w:r>
            <w:r>
              <w:rPr>
                <w:rFonts w:hint="default" w:ascii="Times New Roman" w:hAnsi="Times New Roman" w:eastAsia="宋体" w:cs="Times New Roman"/>
                <w:color w:val="auto"/>
                <w:sz w:val="24"/>
                <w:szCs w:val="24"/>
                <w:shd w:val="clear" w:fill="FFFFFF"/>
              </w:rPr>
              <w:t>个地级以上集中式饮用水水源常规监测项目全部达标，达标率为</w:t>
            </w:r>
            <w:r>
              <w:rPr>
                <w:rFonts w:hint="default" w:ascii="Times New Roman" w:hAnsi="Times New Roman" w:eastAsia="宋体" w:cs="Times New Roman"/>
                <w:color w:val="auto"/>
                <w:sz w:val="24"/>
                <w:szCs w:val="24"/>
                <w:shd w:val="clear" w:fill="FFFFFF"/>
                <w:lang w:val="en-US"/>
              </w:rPr>
              <w:t>100%</w:t>
            </w:r>
            <w:r>
              <w:rPr>
                <w:rFonts w:hint="default" w:ascii="Times New Roman" w:hAnsi="Times New Roman" w:eastAsia="宋体" w:cs="Times New Roman"/>
                <w:color w:val="auto"/>
                <w:sz w:val="24"/>
                <w:szCs w:val="24"/>
                <w:shd w:val="clear" w:fill="FFFFFF"/>
              </w:rPr>
              <w:t>。</w:t>
            </w:r>
            <w:r>
              <w:rPr>
                <w:rFonts w:hint="default" w:ascii="Times New Roman" w:hAnsi="Times New Roman" w:eastAsia="宋体" w:cs="Times New Roman"/>
                <w:color w:val="auto"/>
                <w:sz w:val="24"/>
                <w:szCs w:val="24"/>
                <w:shd w:val="clear" w:fill="FFFFFF"/>
                <w:lang w:val="en-US"/>
              </w:rPr>
              <w:t>2</w:t>
            </w:r>
            <w:r>
              <w:rPr>
                <w:rFonts w:hint="default" w:ascii="Times New Roman" w:hAnsi="Times New Roman" w:eastAsia="宋体" w:cs="Times New Roman"/>
                <w:color w:val="auto"/>
                <w:sz w:val="24"/>
                <w:szCs w:val="24"/>
                <w:shd w:val="clear" w:fill="FFFFFF"/>
              </w:rPr>
              <w:t>个地表水水源常规监测指标达到或优于《地表水环境质量标准》Ⅲ类标准和相关标准限值，</w:t>
            </w:r>
            <w:r>
              <w:rPr>
                <w:rFonts w:hint="default" w:ascii="Times New Roman" w:hAnsi="Times New Roman" w:eastAsia="宋体" w:cs="Times New Roman"/>
                <w:color w:val="auto"/>
                <w:sz w:val="24"/>
                <w:szCs w:val="24"/>
                <w:shd w:val="clear" w:fill="FFFFFF"/>
                <w:lang w:val="en-US"/>
              </w:rPr>
              <w:t>9</w:t>
            </w:r>
            <w:r>
              <w:rPr>
                <w:rFonts w:hint="default" w:ascii="Times New Roman" w:hAnsi="Times New Roman" w:eastAsia="宋体" w:cs="Times New Roman"/>
                <w:color w:val="auto"/>
                <w:sz w:val="24"/>
                <w:szCs w:val="24"/>
                <w:shd w:val="clear" w:fill="FFFFFF"/>
              </w:rPr>
              <w:t>个地下水水源常规监测指标达到或优于《地下水质量标准》Ⅲ类标准</w:t>
            </w:r>
            <w:r>
              <w:rPr>
                <w:rFonts w:hint="default" w:ascii="Times New Roman" w:hAnsi="Times New Roman" w:eastAsia="宋体" w:cs="Times New Roman"/>
                <w:color w:val="auto"/>
                <w:sz w:val="24"/>
                <w:szCs w:val="24"/>
                <w:shd w:val="clear" w:color="auto" w:fill="FFFFFF"/>
                <w:lang w:val="en-US" w:eastAsia="zh-CN"/>
              </w:rPr>
              <w:t>。</w:t>
            </w:r>
            <w:r>
              <w:rPr>
                <w:rFonts w:hint="default" w:ascii="Times New Roman" w:hAnsi="Times New Roman" w:eastAsia="宋体" w:cs="Times New Roman"/>
                <w:color w:val="auto"/>
                <w:sz w:val="24"/>
                <w:szCs w:val="24"/>
                <w:highlight w:val="none"/>
              </w:rPr>
              <w:t>本项目建成后，</w:t>
            </w:r>
            <w:r>
              <w:rPr>
                <w:rFonts w:hint="default" w:ascii="Times New Roman" w:hAnsi="Times New Roman" w:eastAsia="宋体" w:cs="Times New Roman"/>
                <w:color w:val="auto"/>
                <w:sz w:val="24"/>
                <w:szCs w:val="24"/>
                <w:highlight w:val="none"/>
                <w:lang w:val="en-US" w:eastAsia="zh-CN"/>
              </w:rPr>
              <w:t>产生少许废水</w:t>
            </w:r>
            <w:r>
              <w:rPr>
                <w:rFonts w:hint="default" w:ascii="Times New Roman" w:hAnsi="Times New Roman" w:eastAsia="宋体" w:cs="Times New Roman"/>
                <w:color w:val="auto"/>
                <w:sz w:val="24"/>
                <w:szCs w:val="24"/>
                <w:highlight w:val="none"/>
                <w:lang w:eastAsia="zh-CN"/>
              </w:rPr>
              <w:t>，基本不会</w:t>
            </w:r>
            <w:r>
              <w:rPr>
                <w:rFonts w:hint="default" w:ascii="Times New Roman" w:hAnsi="Times New Roman" w:eastAsia="宋体" w:cs="Times New Roman"/>
                <w:color w:val="auto"/>
                <w:sz w:val="24"/>
                <w:szCs w:val="24"/>
                <w:highlight w:val="none"/>
              </w:rPr>
              <w:t>对地下水</w:t>
            </w:r>
            <w:r>
              <w:rPr>
                <w:rFonts w:hint="default" w:ascii="Times New Roman" w:hAnsi="Times New Roman" w:eastAsia="宋体" w:cs="Times New Roman"/>
                <w:color w:val="auto"/>
                <w:sz w:val="24"/>
                <w:szCs w:val="24"/>
                <w:highlight w:val="none"/>
                <w:lang w:eastAsia="zh-CN"/>
              </w:rPr>
              <w:t>、土壤</w:t>
            </w:r>
            <w:r>
              <w:rPr>
                <w:rFonts w:hint="default" w:ascii="Times New Roman" w:hAnsi="Times New Roman" w:eastAsia="宋体" w:cs="Times New Roman"/>
                <w:color w:val="auto"/>
                <w:sz w:val="24"/>
                <w:szCs w:val="24"/>
                <w:highlight w:val="none"/>
              </w:rPr>
              <w:t>环境造成不利影响，故本评价</w:t>
            </w:r>
            <w:r>
              <w:rPr>
                <w:rFonts w:hint="default" w:ascii="Times New Roman" w:hAnsi="Times New Roman" w:eastAsia="宋体" w:cs="Times New Roman"/>
                <w:color w:val="auto"/>
                <w:sz w:val="24"/>
                <w:szCs w:val="24"/>
                <w:highlight w:val="none"/>
                <w:lang w:eastAsia="zh-CN"/>
              </w:rPr>
              <w:t>原则上无需</w:t>
            </w:r>
            <w:r>
              <w:rPr>
                <w:rFonts w:hint="default" w:ascii="Times New Roman" w:hAnsi="Times New Roman" w:eastAsia="宋体" w:cs="Times New Roman"/>
                <w:color w:val="auto"/>
                <w:sz w:val="24"/>
                <w:szCs w:val="24"/>
                <w:highlight w:val="none"/>
              </w:rPr>
              <w:t>开展地下水</w:t>
            </w:r>
            <w:r>
              <w:rPr>
                <w:rFonts w:hint="default" w:ascii="Times New Roman" w:hAnsi="Times New Roman" w:eastAsia="宋体" w:cs="Times New Roman"/>
                <w:color w:val="auto"/>
                <w:sz w:val="24"/>
                <w:szCs w:val="24"/>
                <w:highlight w:val="none"/>
                <w:lang w:eastAsia="zh-CN"/>
              </w:rPr>
              <w:t>、土壤</w:t>
            </w:r>
            <w:r>
              <w:rPr>
                <w:rFonts w:hint="default" w:ascii="Times New Roman" w:hAnsi="Times New Roman" w:eastAsia="宋体" w:cs="Times New Roman"/>
                <w:color w:val="auto"/>
                <w:sz w:val="24"/>
                <w:szCs w:val="24"/>
                <w:highlight w:val="none"/>
              </w:rPr>
              <w:t>现状调查。不存在土壤、地下水环境污染途径</w:t>
            </w:r>
            <w:r>
              <w:rPr>
                <w:rFonts w:hint="default" w:ascii="Times New Roman" w:hAnsi="Times New Roman" w:eastAsia="宋体" w:cs="Times New Roman"/>
                <w:color w:val="auto"/>
                <w:sz w:val="24"/>
                <w:szCs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7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环境</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保护</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highlight w:val="none"/>
              </w:rPr>
              <w:t>目标</w:t>
            </w:r>
          </w:p>
        </w:tc>
        <w:tc>
          <w:tcPr>
            <w:tcW w:w="82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项目周围500m范围内无自然保护区、风景旅游点和文物古迹等需要特别保护的环境敏感对象。总体上不因本项目的实施而改变区域环境现有功能。</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黑体" w:cs="Times New Roman"/>
                <w:b/>
                <w:bCs/>
                <w:color w:val="auto"/>
                <w:sz w:val="24"/>
                <w:szCs w:val="24"/>
                <w:highlight w:val="none"/>
              </w:rPr>
            </w:pPr>
            <w:r>
              <w:rPr>
                <w:rFonts w:hint="default" w:ascii="Times New Roman" w:hAnsi="Times New Roman" w:eastAsia="黑体" w:cs="Times New Roman"/>
                <w:b/>
                <w:bCs/>
                <w:color w:val="auto"/>
                <w:sz w:val="24"/>
                <w:szCs w:val="24"/>
                <w:highlight w:val="none"/>
              </w:rPr>
              <w:t>表</w:t>
            </w:r>
            <w:r>
              <w:rPr>
                <w:rFonts w:hint="eastAsia" w:eastAsia="黑体" w:cs="Times New Roman"/>
                <w:b/>
                <w:bCs/>
                <w:color w:val="auto"/>
                <w:sz w:val="24"/>
                <w:szCs w:val="24"/>
                <w:highlight w:val="none"/>
                <w:lang w:val="en-US" w:eastAsia="zh-CN"/>
              </w:rPr>
              <w:t>32</w:t>
            </w:r>
            <w:r>
              <w:rPr>
                <w:rFonts w:hint="default" w:ascii="Times New Roman" w:hAnsi="Times New Roman" w:eastAsia="黑体" w:cs="Times New Roman"/>
                <w:b/>
                <w:bCs/>
                <w:color w:val="auto"/>
                <w:sz w:val="24"/>
                <w:szCs w:val="24"/>
                <w:highlight w:val="none"/>
              </w:rPr>
              <w:t xml:space="preserve"> 主要环境保护目标</w:t>
            </w:r>
          </w:p>
          <w:tbl>
            <w:tblPr>
              <w:tblStyle w:val="20"/>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2"/>
              <w:gridCol w:w="1902"/>
              <w:gridCol w:w="1537"/>
              <w:gridCol w:w="1588"/>
              <w:gridCol w:w="22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环境要素</w:t>
                  </w: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保护对象</w:t>
                  </w:r>
                </w:p>
              </w:tc>
              <w:tc>
                <w:tcPr>
                  <w:tcW w:w="153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相对厂址方位</w:t>
                  </w:r>
                </w:p>
              </w:tc>
              <w:tc>
                <w:tcPr>
                  <w:tcW w:w="158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相对厂界距离</w:t>
                  </w:r>
                </w:p>
              </w:tc>
              <w:tc>
                <w:tcPr>
                  <w:tcW w:w="224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保护级别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66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w:t>
                  </w: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东果里村</w:t>
                  </w:r>
                </w:p>
              </w:tc>
              <w:tc>
                <w:tcPr>
                  <w:tcW w:w="153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西北</w:t>
                  </w:r>
                </w:p>
              </w:tc>
              <w:tc>
                <w:tcPr>
                  <w:tcW w:w="158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240</w:t>
                  </w:r>
                  <w:r>
                    <w:rPr>
                      <w:rFonts w:hint="eastAsia" w:cs="Times New Roman"/>
                      <w:color w:val="auto"/>
                      <w:sz w:val="21"/>
                      <w:szCs w:val="21"/>
                      <w:lang w:val="en-US" w:eastAsia="zh-CN"/>
                    </w:rPr>
                    <w:t>m</w:t>
                  </w:r>
                </w:p>
              </w:tc>
              <w:tc>
                <w:tcPr>
                  <w:tcW w:w="224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0"/>
                      <w:position w:val="0"/>
                      <w:sz w:val="21"/>
                      <w:szCs w:val="21"/>
                    </w:rPr>
                    <w:t>《环境空气质量标准》（GB3095-2012）及2018年修改单二级标准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66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山东工业职业学院</w:t>
                  </w:r>
                </w:p>
              </w:tc>
              <w:tc>
                <w:tcPr>
                  <w:tcW w:w="153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南</w:t>
                  </w:r>
                </w:p>
              </w:tc>
              <w:tc>
                <w:tcPr>
                  <w:tcW w:w="158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400m</w:t>
                  </w:r>
                </w:p>
              </w:tc>
              <w:tc>
                <w:tcPr>
                  <w:tcW w:w="224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left"/>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66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锦华苑</w:t>
                  </w:r>
                </w:p>
              </w:tc>
              <w:tc>
                <w:tcPr>
                  <w:tcW w:w="153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西南</w:t>
                  </w:r>
                </w:p>
              </w:tc>
              <w:tc>
                <w:tcPr>
                  <w:tcW w:w="158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330m</w:t>
                  </w:r>
                </w:p>
              </w:tc>
              <w:tc>
                <w:tcPr>
                  <w:tcW w:w="224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left"/>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66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后鲁村</w:t>
                  </w:r>
                </w:p>
              </w:tc>
              <w:tc>
                <w:tcPr>
                  <w:tcW w:w="153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西南</w:t>
                  </w:r>
                </w:p>
              </w:tc>
              <w:tc>
                <w:tcPr>
                  <w:tcW w:w="158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500m</w:t>
                  </w:r>
                </w:p>
              </w:tc>
              <w:tc>
                <w:tcPr>
                  <w:tcW w:w="224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left"/>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w:t>
                  </w:r>
                </w:p>
              </w:tc>
              <w:tc>
                <w:tcPr>
                  <w:tcW w:w="190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东猪龙河</w:t>
                  </w:r>
                </w:p>
              </w:tc>
              <w:tc>
                <w:tcPr>
                  <w:tcW w:w="153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西</w:t>
                  </w:r>
                </w:p>
              </w:tc>
              <w:tc>
                <w:tcPr>
                  <w:tcW w:w="158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3700</w:t>
                  </w:r>
                  <w:r>
                    <w:rPr>
                      <w:rFonts w:hint="eastAsia" w:cs="Times New Roman"/>
                      <w:color w:val="auto"/>
                      <w:sz w:val="21"/>
                      <w:szCs w:val="21"/>
                      <w:lang w:val="en-US" w:eastAsia="zh-CN"/>
                    </w:rPr>
                    <w:t>m</w:t>
                  </w:r>
                </w:p>
              </w:tc>
              <w:tc>
                <w:tcPr>
                  <w:tcW w:w="224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0"/>
                      <w:position w:val="0"/>
                      <w:sz w:val="21"/>
                      <w:szCs w:val="21"/>
                    </w:rPr>
                    <w:t>《地表水环境质量标准》（GB3838-2002）V类标准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5027"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厂界外1m及</w:t>
                  </w:r>
                  <w:r>
                    <w:rPr>
                      <w:rFonts w:hint="default" w:ascii="Times New Roman" w:hAnsi="Times New Roman" w:eastAsia="宋体" w:cs="Times New Roman"/>
                      <w:color w:val="auto"/>
                      <w:sz w:val="21"/>
                      <w:szCs w:val="21"/>
                      <w:lang w:val="en-US" w:eastAsia="zh-CN"/>
                    </w:rPr>
                    <w:t>50m</w:t>
                  </w:r>
                  <w:r>
                    <w:rPr>
                      <w:rFonts w:hint="default" w:ascii="Times New Roman" w:hAnsi="Times New Roman" w:eastAsia="宋体" w:cs="Times New Roman"/>
                      <w:color w:val="auto"/>
                      <w:sz w:val="21"/>
                      <w:szCs w:val="21"/>
                    </w:rPr>
                    <w:t>范围内</w:t>
                  </w:r>
                  <w:r>
                    <w:rPr>
                      <w:rFonts w:hint="default" w:ascii="Times New Roman" w:hAnsi="Times New Roman" w:eastAsia="宋体" w:cs="Times New Roman"/>
                      <w:color w:val="auto"/>
                      <w:sz w:val="21"/>
                      <w:szCs w:val="21"/>
                      <w:lang w:eastAsia="zh-CN"/>
                    </w:rPr>
                    <w:t>无环境保护目标</w:t>
                  </w:r>
                </w:p>
              </w:tc>
              <w:tc>
                <w:tcPr>
                  <w:tcW w:w="224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0"/>
                      <w:position w:val="0"/>
                      <w:sz w:val="21"/>
                      <w:szCs w:val="21"/>
                    </w:rPr>
                    <w:t>《声环境质量标准》（GB3096-2008）2类</w:t>
                  </w:r>
                  <w:r>
                    <w:rPr>
                      <w:rFonts w:hint="default" w:ascii="Times New Roman" w:hAnsi="Times New Roman" w:eastAsia="宋体" w:cs="Times New Roman"/>
                      <w:color w:val="auto"/>
                      <w:spacing w:val="0"/>
                      <w:position w:val="0"/>
                      <w:sz w:val="21"/>
                      <w:szCs w:val="21"/>
                      <w:lang w:val="en-US" w:eastAsia="zh-CN"/>
                    </w:rPr>
                    <w:t>区</w:t>
                  </w:r>
                  <w:r>
                    <w:rPr>
                      <w:rFonts w:hint="default" w:ascii="Times New Roman" w:hAnsi="Times New Roman" w:eastAsia="宋体" w:cs="Times New Roman"/>
                      <w:color w:val="auto"/>
                      <w:spacing w:val="0"/>
                      <w:position w:val="0"/>
                      <w:sz w:val="21"/>
                      <w:szCs w:val="21"/>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03" w:hRule="atLeast"/>
                <w:jc w:val="center"/>
              </w:trPr>
              <w:tc>
                <w:tcPr>
                  <w:tcW w:w="66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w:t>
                  </w:r>
                </w:p>
              </w:tc>
              <w:tc>
                <w:tcPr>
                  <w:tcW w:w="5027"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highlight w:val="none"/>
                      <w:lang w:val="en-US" w:eastAsia="zh-CN" w:bidi="ar-SA"/>
                    </w:rPr>
                    <w:t>厂界周边500m范围内无地下水集中式饮用水水源和热水、矿泉水、温泉等特殊地下水资源。</w:t>
                  </w:r>
                </w:p>
              </w:tc>
              <w:tc>
                <w:tcPr>
                  <w:tcW w:w="2248" w:type="dxa"/>
                  <w:noWrap w:val="0"/>
                  <w:vAlign w:val="center"/>
                </w:tcPr>
                <w:p>
                  <w:pPr>
                    <w:keepNext w:val="0"/>
                    <w:keepLines w:val="0"/>
                    <w:pageBreakBefore w:val="0"/>
                    <w:widowControl w:val="0"/>
                    <w:tabs>
                      <w:tab w:val="left" w:pos="1680"/>
                    </w:tabs>
                    <w:kinsoku/>
                    <w:wordWrap/>
                    <w:overflowPunct/>
                    <w:topLinePunct w:val="0"/>
                    <w:autoSpaceDE/>
                    <w:autoSpaceDN/>
                    <w:bidi w:val="0"/>
                    <w:adjustRightInd/>
                    <w:snapToGrid/>
                    <w:spacing w:line="360" w:lineRule="atLeast"/>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0"/>
                      <w:kern w:val="0"/>
                      <w:position w:val="0"/>
                      <w:sz w:val="21"/>
                      <w:szCs w:val="21"/>
                    </w:rPr>
                    <w:t>《地下水质量标准</w:t>
                  </w:r>
                  <w:r>
                    <w:rPr>
                      <w:rFonts w:hint="default" w:ascii="Times New Roman" w:hAnsi="Times New Roman" w:eastAsia="宋体" w:cs="Times New Roman"/>
                      <w:color w:val="auto"/>
                      <w:spacing w:val="0"/>
                      <w:kern w:val="0"/>
                      <w:position w:val="0"/>
                      <w:sz w:val="21"/>
                      <w:szCs w:val="21"/>
                      <w:lang w:eastAsia="zh-CN"/>
                    </w:rPr>
                    <w:t>》</w:t>
                  </w:r>
                  <w:r>
                    <w:rPr>
                      <w:rFonts w:hint="default" w:ascii="Times New Roman" w:hAnsi="Times New Roman" w:eastAsia="宋体" w:cs="Times New Roman"/>
                      <w:color w:val="auto"/>
                      <w:spacing w:val="0"/>
                      <w:kern w:val="0"/>
                      <w:position w:val="0"/>
                      <w:sz w:val="21"/>
                      <w:szCs w:val="21"/>
                    </w:rPr>
                    <w:t>（GB/T14848-2017）Ⅲ类标准</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color w:val="auto"/>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7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污染</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物排</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放控</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制标</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准</w:t>
            </w:r>
          </w:p>
        </w:tc>
        <w:tc>
          <w:tcPr>
            <w:tcW w:w="8274" w:type="dxa"/>
            <w:tcBorders>
              <w:tl2br w:val="nil"/>
              <w:tr2bl w:val="nil"/>
            </w:tcBorders>
            <w:noWrap w:val="0"/>
            <w:vAlign w:val="center"/>
          </w:tcPr>
          <w:p>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firstLine="482" w:firstLineChars="200"/>
              <w:jc w:val="left"/>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废气</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项目</w:t>
            </w:r>
            <w:r>
              <w:rPr>
                <w:rFonts w:hint="default" w:ascii="Times New Roman" w:hAnsi="Times New Roman" w:eastAsia="宋体" w:cs="Times New Roman"/>
                <w:color w:val="auto"/>
                <w:sz w:val="24"/>
                <w:szCs w:val="24"/>
                <w:lang w:eastAsia="zh-CN"/>
              </w:rPr>
              <w:t>营运期燃气废气执行《锅炉大气污染物排放标准》（DB37/2374-2018）</w:t>
            </w:r>
            <w:r>
              <w:rPr>
                <w:rFonts w:hint="default" w:ascii="Times New Roman" w:hAnsi="Times New Roman" w:eastAsia="宋体" w:cs="Times New Roman"/>
                <w:color w:val="auto"/>
                <w:sz w:val="24"/>
                <w:szCs w:val="24"/>
                <w:lang w:val="en-US" w:eastAsia="zh-CN"/>
              </w:rPr>
              <w:t>中</w:t>
            </w:r>
            <w:r>
              <w:rPr>
                <w:rFonts w:hint="default" w:ascii="Times New Roman" w:hAnsi="Times New Roman" w:eastAsia="宋体" w:cs="Times New Roman"/>
                <w:color w:val="auto"/>
                <w:sz w:val="24"/>
                <w:szCs w:val="24"/>
                <w:lang w:eastAsia="zh-CN"/>
              </w:rPr>
              <w:t>重点控制区要求，具体见下表；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Times New Roman" w:hAnsi="Times New Roman" w:eastAsia="黑体" w:cs="Times New Roman"/>
                <w:b/>
                <w:bCs/>
                <w:color w:val="auto"/>
                <w:sz w:val="24"/>
                <w:szCs w:val="24"/>
                <w:lang w:val="en-US" w:eastAsia="zh-CN"/>
              </w:rPr>
            </w:pPr>
            <w:r>
              <w:rPr>
                <w:rFonts w:hint="default" w:ascii="Times New Roman" w:hAnsi="Times New Roman" w:eastAsia="黑体" w:cs="Times New Roman"/>
                <w:b/>
                <w:bCs/>
                <w:color w:val="auto"/>
                <w:sz w:val="24"/>
                <w:szCs w:val="24"/>
                <w:lang w:val="en-US" w:eastAsia="zh-CN"/>
              </w:rPr>
              <w:t>表</w:t>
            </w:r>
            <w:r>
              <w:rPr>
                <w:rFonts w:hint="eastAsia" w:eastAsia="黑体" w:cs="Times New Roman"/>
                <w:b/>
                <w:bCs/>
                <w:color w:val="auto"/>
                <w:sz w:val="24"/>
                <w:szCs w:val="24"/>
                <w:lang w:val="en-US" w:eastAsia="zh-CN"/>
              </w:rPr>
              <w:t>33</w:t>
            </w:r>
            <w:r>
              <w:rPr>
                <w:rFonts w:hint="default" w:ascii="Times New Roman" w:hAnsi="Times New Roman" w:eastAsia="黑体" w:cs="Times New Roman"/>
                <w:b/>
                <w:bCs/>
                <w:color w:val="auto"/>
                <w:sz w:val="24"/>
                <w:szCs w:val="24"/>
                <w:lang w:val="en-US" w:eastAsia="zh-CN"/>
              </w:rPr>
              <w:t xml:space="preserve"> 新建锅炉大气污染物排放浓度限值     单位：mg/m</w:t>
            </w:r>
            <w:r>
              <w:rPr>
                <w:rFonts w:hint="default" w:ascii="Times New Roman" w:hAnsi="Times New Roman" w:eastAsia="黑体" w:cs="Times New Roman"/>
                <w:b/>
                <w:bCs/>
                <w:color w:val="auto"/>
                <w:sz w:val="24"/>
                <w:szCs w:val="24"/>
                <w:vertAlign w:val="superscript"/>
                <w:lang w:val="en-US" w:eastAsia="zh-CN"/>
              </w:rPr>
              <w:t>3</w:t>
            </w:r>
          </w:p>
          <w:tbl>
            <w:tblPr>
              <w:tblStyle w:val="21"/>
              <w:tblW w:w="8019"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09"/>
              <w:gridCol w:w="40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w:t>
                  </w:r>
                </w:p>
              </w:tc>
              <w:tc>
                <w:tcPr>
                  <w:tcW w:w="40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重点控制区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颗粒物</w:t>
                  </w:r>
                </w:p>
              </w:tc>
              <w:tc>
                <w:tcPr>
                  <w:tcW w:w="40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SO</w:t>
                  </w:r>
                  <w:r>
                    <w:rPr>
                      <w:rFonts w:hint="default" w:ascii="Times New Roman" w:hAnsi="Times New Roman" w:eastAsia="宋体" w:cs="Times New Roman"/>
                      <w:color w:val="auto"/>
                      <w:sz w:val="21"/>
                      <w:szCs w:val="21"/>
                      <w:vertAlign w:val="subscript"/>
                      <w:lang w:val="en-US" w:eastAsia="zh-CN"/>
                    </w:rPr>
                    <w:t>2</w:t>
                  </w:r>
                </w:p>
              </w:tc>
              <w:tc>
                <w:tcPr>
                  <w:tcW w:w="40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NO</w:t>
                  </w:r>
                  <w:r>
                    <w:rPr>
                      <w:rFonts w:hint="default" w:ascii="Times New Roman" w:hAnsi="Times New Roman" w:eastAsia="宋体" w:cs="Times New Roman"/>
                      <w:color w:val="auto"/>
                      <w:sz w:val="21"/>
                      <w:szCs w:val="21"/>
                      <w:vertAlign w:val="subscript"/>
                      <w:lang w:val="en-US" w:eastAsia="zh-CN"/>
                    </w:rPr>
                    <w:t>X</w:t>
                  </w:r>
                  <w:r>
                    <w:rPr>
                      <w:rFonts w:hint="default" w:ascii="Times New Roman" w:hAnsi="Times New Roman" w:eastAsia="宋体" w:cs="Times New Roman"/>
                      <w:color w:val="auto"/>
                      <w:sz w:val="21"/>
                      <w:szCs w:val="21"/>
                      <w:vertAlign w:val="baseline"/>
                      <w:lang w:val="en-US" w:eastAsia="zh-CN"/>
                    </w:rPr>
                    <w:t>（以NO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vertAlign w:val="baseline"/>
                      <w:lang w:val="en-US" w:eastAsia="zh-CN"/>
                    </w:rPr>
                    <w:t>计）</w:t>
                  </w:r>
                </w:p>
              </w:tc>
              <w:tc>
                <w:tcPr>
                  <w:tcW w:w="401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100</w:t>
                  </w:r>
                </w:p>
              </w:tc>
            </w:tr>
          </w:tbl>
          <w:p>
            <w:pPr>
              <w:pStyle w:val="36"/>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2" w:firstLineChars="200"/>
              <w:jc w:val="left"/>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废水</w:t>
            </w:r>
          </w:p>
          <w:p>
            <w:pPr>
              <w:pStyle w:val="36"/>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sz w:val="24"/>
                <w:szCs w:val="24"/>
                <w:lang w:eastAsia="zh-CN"/>
              </w:rPr>
              <w:t>厂区废水经收集后排入</w:t>
            </w:r>
            <w:r>
              <w:rPr>
                <w:rFonts w:hint="eastAsia" w:cs="Times New Roman"/>
                <w:color w:val="auto"/>
                <w:sz w:val="24"/>
                <w:szCs w:val="24"/>
                <w:lang w:eastAsia="zh-CN"/>
              </w:rPr>
              <w:t>山东海奥斯生物科技股份有限公司</w:t>
            </w:r>
            <w:r>
              <w:rPr>
                <w:rFonts w:hint="default" w:ascii="Times New Roman" w:hAnsi="Times New Roman" w:eastAsia="宋体" w:cs="Times New Roman"/>
                <w:color w:val="auto"/>
                <w:sz w:val="24"/>
                <w:szCs w:val="24"/>
                <w:lang w:eastAsia="zh-CN"/>
              </w:rPr>
              <w:t>污水处理站，处理后达到《污水排入城镇下水道水质标准》（GB/T31962-2015）表1中的污水排入城镇下水道水质B等级标准，</w:t>
            </w:r>
            <w:r>
              <w:rPr>
                <w:rFonts w:hint="default" w:ascii="Times New Roman" w:hAnsi="Times New Roman" w:eastAsia="宋体" w:cs="Times New Roman"/>
                <w:color w:val="auto"/>
                <w:sz w:val="24"/>
                <w:szCs w:val="24"/>
                <w:lang w:val="en-US" w:eastAsia="zh-CN"/>
              </w:rPr>
              <w:t>全盐量执行《流域水污染物综合排放标准第3部分：小清河流域》（DB37/3416.3-2018），后经官网排入光大水务（淄博）有限公司水质净化三分厂进行集中处理，达标后在排入东猪龙河</w:t>
            </w:r>
            <w:r>
              <w:rPr>
                <w:rFonts w:hint="default" w:ascii="Times New Roman" w:hAnsi="Times New Roman" w:eastAsia="宋体" w:cs="Times New Roman"/>
                <w:color w:val="auto"/>
                <w:sz w:val="24"/>
                <w:szCs w:val="24"/>
                <w:lang w:eastAsia="zh-CN"/>
              </w:rPr>
              <w:t>。执行标准见下表。</w:t>
            </w:r>
          </w:p>
          <w:p>
            <w:pPr>
              <w:pStyle w:val="13"/>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outlineLvl w:val="9"/>
              <w:rPr>
                <w:rFonts w:hint="default" w:ascii="Times New Roman" w:hAnsi="Times New Roman" w:eastAsia="黑体" w:cs="Times New Roman"/>
                <w:b/>
                <w:color w:val="auto"/>
                <w:sz w:val="24"/>
                <w:szCs w:val="24"/>
                <w:lang w:val="en-US" w:eastAsia="zh-CN"/>
              </w:rPr>
            </w:pPr>
            <w:r>
              <w:rPr>
                <w:rFonts w:hint="default" w:ascii="Times New Roman" w:hAnsi="Times New Roman" w:eastAsia="黑体" w:cs="Times New Roman"/>
                <w:b/>
                <w:color w:val="auto"/>
                <w:sz w:val="24"/>
                <w:szCs w:val="24"/>
              </w:rPr>
              <w:t>表</w:t>
            </w:r>
            <w:r>
              <w:rPr>
                <w:rFonts w:hint="eastAsia" w:ascii="Times New Roman" w:hAnsi="Times New Roman" w:eastAsia="黑体" w:cs="Times New Roman"/>
                <w:b/>
                <w:color w:val="auto"/>
                <w:sz w:val="24"/>
                <w:szCs w:val="24"/>
                <w:lang w:val="en-US" w:eastAsia="zh-CN"/>
              </w:rPr>
              <w:t>34</w:t>
            </w:r>
            <w:r>
              <w:rPr>
                <w:rFonts w:hint="default" w:ascii="Times New Roman" w:hAnsi="Times New Roman" w:eastAsia="黑体" w:cs="Times New Roman"/>
                <w:b/>
                <w:color w:val="auto"/>
                <w:sz w:val="24"/>
                <w:szCs w:val="24"/>
                <w:lang w:val="en-US" w:eastAsia="zh-CN"/>
              </w:rPr>
              <w:t xml:space="preserve"> 污水执行标准</w:t>
            </w:r>
          </w:p>
          <w:tbl>
            <w:tblPr>
              <w:tblStyle w:val="20"/>
              <w:tblW w:w="801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99"/>
              <w:gridCol w:w="2404"/>
              <w:gridCol w:w="40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15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污染物名称</w:t>
                  </w:r>
                </w:p>
              </w:tc>
              <w:tc>
                <w:tcPr>
                  <w:tcW w:w="24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标准值</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mg/L</w:t>
                  </w:r>
                  <w:r>
                    <w:rPr>
                      <w:rFonts w:hint="default" w:ascii="Times New Roman" w:hAnsi="Times New Roman" w:eastAsia="宋体" w:cs="Times New Roman"/>
                      <w:color w:val="auto"/>
                      <w:sz w:val="21"/>
                      <w:szCs w:val="21"/>
                      <w:lang w:eastAsia="zh-CN"/>
                    </w:rPr>
                    <w:t>）</w:t>
                  </w:r>
                </w:p>
              </w:tc>
              <w:tc>
                <w:tcPr>
                  <w:tcW w:w="40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atLeast"/>
                <w:jc w:val="center"/>
              </w:trPr>
              <w:tc>
                <w:tcPr>
                  <w:tcW w:w="15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p</w:t>
                  </w:r>
                  <w:r>
                    <w:rPr>
                      <w:rFonts w:hint="default" w:ascii="Times New Roman" w:hAnsi="Times New Roman" w:eastAsia="宋体" w:cs="Times New Roman"/>
                      <w:color w:val="auto"/>
                      <w:sz w:val="21"/>
                      <w:szCs w:val="21"/>
                    </w:rPr>
                    <w:t>H</w:t>
                  </w:r>
                </w:p>
              </w:tc>
              <w:tc>
                <w:tcPr>
                  <w:tcW w:w="24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6.5～9.5</w:t>
                  </w:r>
                  <w:r>
                    <w:rPr>
                      <w:rFonts w:hint="default" w:ascii="Times New Roman" w:hAnsi="Times New Roman" w:eastAsia="宋体" w:cs="Times New Roman"/>
                      <w:color w:val="auto"/>
                      <w:sz w:val="21"/>
                      <w:szCs w:val="21"/>
                      <w:lang w:eastAsia="zh-CN"/>
                    </w:rPr>
                    <w:t>（无量纲）</w:t>
                  </w:r>
                </w:p>
              </w:tc>
              <w:tc>
                <w:tcPr>
                  <w:tcW w:w="401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《污水排入</w:t>
                  </w:r>
                  <w:r>
                    <w:rPr>
                      <w:rFonts w:hint="default" w:ascii="Times New Roman" w:hAnsi="Times New Roman" w:eastAsia="宋体" w:cs="Times New Roman"/>
                      <w:b w:val="0"/>
                      <w:bCs/>
                      <w:color w:val="auto"/>
                      <w:sz w:val="21"/>
                      <w:szCs w:val="21"/>
                      <w:lang w:val="en-US" w:eastAsia="zh-CN"/>
                    </w:rPr>
                    <w:t>城镇</w:t>
                  </w:r>
                  <w:r>
                    <w:rPr>
                      <w:rFonts w:hint="default" w:ascii="Times New Roman" w:hAnsi="Times New Roman" w:eastAsia="宋体" w:cs="Times New Roman"/>
                      <w:b w:val="0"/>
                      <w:bCs/>
                      <w:color w:val="auto"/>
                      <w:sz w:val="21"/>
                      <w:szCs w:val="21"/>
                    </w:rPr>
                    <w:t>下水道水质标准》（GB/T31962-2015）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79" w:hRule="atLeast"/>
                <w:jc w:val="center"/>
              </w:trPr>
              <w:tc>
                <w:tcPr>
                  <w:tcW w:w="15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24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40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atLeast"/>
                <w:jc w:val="center"/>
              </w:trPr>
              <w:tc>
                <w:tcPr>
                  <w:tcW w:w="15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24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350</w:t>
                  </w:r>
                </w:p>
              </w:tc>
              <w:tc>
                <w:tcPr>
                  <w:tcW w:w="40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79" w:hRule="atLeast"/>
                <w:jc w:val="center"/>
              </w:trPr>
              <w:tc>
                <w:tcPr>
                  <w:tcW w:w="15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24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400</w:t>
                  </w:r>
                </w:p>
              </w:tc>
              <w:tc>
                <w:tcPr>
                  <w:tcW w:w="40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atLeast"/>
                <w:jc w:val="center"/>
              </w:trPr>
              <w:tc>
                <w:tcPr>
                  <w:tcW w:w="15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24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45</w:t>
                  </w:r>
                </w:p>
              </w:tc>
              <w:tc>
                <w:tcPr>
                  <w:tcW w:w="401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79" w:hRule="atLeast"/>
                <w:jc w:val="center"/>
              </w:trPr>
              <w:tc>
                <w:tcPr>
                  <w:tcW w:w="15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全盐量</w:t>
                  </w:r>
                </w:p>
              </w:tc>
              <w:tc>
                <w:tcPr>
                  <w:tcW w:w="240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1600</w:t>
                  </w:r>
                </w:p>
              </w:tc>
              <w:tc>
                <w:tcPr>
                  <w:tcW w:w="401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《流域水污染物综合排放标准第3部分：小清河流域》（DB37/3416.3-2018）</w:t>
                  </w:r>
                </w:p>
              </w:tc>
            </w:tr>
          </w:tbl>
          <w:p>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2" w:firstLineChars="200"/>
              <w:jc w:val="left"/>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噪声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施工期噪声执行《建筑施工场界环境噪声排放标准》（GB12523-2011）排放标准，营运期执行《工业企业厂界环境噪声排放标准》（GB12348-2008）2类标准。</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0" w:firstLineChars="0"/>
              <w:jc w:val="center"/>
              <w:textAlignment w:val="auto"/>
              <w:outlineLvl w:val="9"/>
              <w:rPr>
                <w:rFonts w:hint="default" w:ascii="Times New Roman" w:hAnsi="Times New Roman" w:eastAsia="黑体" w:cs="Times New Roman"/>
                <w:b/>
                <w:bCs/>
                <w:color w:val="auto"/>
                <w:sz w:val="24"/>
                <w:szCs w:val="24"/>
                <w:lang w:val="en-US" w:eastAsia="zh-CN"/>
              </w:rPr>
            </w:pP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right="0" w:rightChars="0" w:firstLine="0" w:firstLineChars="0"/>
              <w:jc w:val="center"/>
              <w:textAlignment w:val="auto"/>
              <w:outlineLvl w:val="9"/>
              <w:rPr>
                <w:rFonts w:hint="default" w:ascii="Times New Roman" w:hAnsi="Times New Roman" w:eastAsia="黑体" w:cs="Times New Roman"/>
                <w:b/>
                <w:bCs/>
                <w:color w:val="auto"/>
                <w:sz w:val="24"/>
                <w:szCs w:val="24"/>
                <w:lang w:eastAsia="zh-CN"/>
              </w:rPr>
            </w:pPr>
            <w:r>
              <w:rPr>
                <w:rFonts w:hint="default" w:ascii="Times New Roman" w:hAnsi="Times New Roman" w:eastAsia="黑体" w:cs="Times New Roman"/>
                <w:b/>
                <w:bCs/>
                <w:color w:val="auto"/>
                <w:sz w:val="24"/>
                <w:szCs w:val="24"/>
                <w:lang w:val="en-US" w:eastAsia="zh-CN"/>
              </w:rPr>
              <w:t>表</w:t>
            </w:r>
            <w:r>
              <w:rPr>
                <w:rFonts w:hint="eastAsia" w:eastAsia="黑体" w:cs="Times New Roman"/>
                <w:b/>
                <w:bCs/>
                <w:color w:val="auto"/>
                <w:sz w:val="24"/>
                <w:szCs w:val="24"/>
                <w:lang w:val="en-US" w:eastAsia="zh-CN"/>
              </w:rPr>
              <w:t>35</w:t>
            </w:r>
            <w:r>
              <w:rPr>
                <w:rFonts w:hint="default" w:ascii="Times New Roman" w:hAnsi="Times New Roman" w:eastAsia="黑体" w:cs="Times New Roman"/>
                <w:b/>
                <w:bCs/>
                <w:color w:val="auto"/>
                <w:sz w:val="24"/>
                <w:szCs w:val="24"/>
                <w:lang w:val="en-US" w:eastAsia="zh-CN"/>
              </w:rPr>
              <w:t>《建筑施工场界环境噪声排放标准》（GB12523-2011）单位：dB（A）</w:t>
            </w:r>
          </w:p>
          <w:tbl>
            <w:tblPr>
              <w:tblStyle w:val="20"/>
              <w:tblW w:w="801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922"/>
              <w:gridCol w:w="40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392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409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392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70</w:t>
                  </w:r>
                </w:p>
              </w:tc>
              <w:tc>
                <w:tcPr>
                  <w:tcW w:w="409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55</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本项目噪</w:t>
            </w:r>
            <w:r>
              <w:rPr>
                <w:rFonts w:hint="default" w:ascii="Times New Roman" w:hAnsi="Times New Roman" w:eastAsia="宋体" w:cs="Times New Roman"/>
                <w:color w:val="auto"/>
                <w:sz w:val="24"/>
                <w:szCs w:val="24"/>
              </w:rPr>
              <w:t>声执行《工业企业厂界环境噪声排放标准》（GB12348-2008）的</w:t>
            </w:r>
            <w:r>
              <w:rPr>
                <w:rFonts w:hint="default" w:ascii="Times New Roman" w:hAnsi="Times New Roman" w:eastAsia="宋体" w:cs="Times New Roman"/>
                <w:color w:val="auto"/>
                <w:sz w:val="24"/>
                <w:szCs w:val="24"/>
                <w:lang w:val="en-US" w:eastAsia="zh-CN"/>
              </w:rPr>
              <w:t>2类</w:t>
            </w:r>
            <w:r>
              <w:rPr>
                <w:rFonts w:hint="default" w:ascii="Times New Roman" w:hAnsi="Times New Roman" w:eastAsia="宋体" w:cs="Times New Roman"/>
                <w:color w:val="auto"/>
                <w:sz w:val="24"/>
                <w:szCs w:val="24"/>
              </w:rPr>
              <w:t>声环境功能区。</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黑体" w:cs="Times New Roman"/>
                <w:b/>
                <w:bCs/>
                <w:color w:val="auto"/>
                <w:sz w:val="24"/>
                <w:szCs w:val="24"/>
              </w:rPr>
            </w:pPr>
            <w:r>
              <w:rPr>
                <w:rFonts w:hint="default" w:ascii="Times New Roman" w:hAnsi="Times New Roman" w:eastAsia="黑体" w:cs="Times New Roman"/>
                <w:b/>
                <w:bCs/>
                <w:color w:val="auto"/>
                <w:sz w:val="24"/>
                <w:szCs w:val="24"/>
              </w:rPr>
              <w:t>表</w:t>
            </w:r>
            <w:r>
              <w:rPr>
                <w:rFonts w:hint="eastAsia" w:eastAsia="黑体" w:cs="Times New Roman"/>
                <w:b/>
                <w:bCs/>
                <w:color w:val="auto"/>
                <w:sz w:val="24"/>
                <w:szCs w:val="24"/>
                <w:lang w:val="en-US" w:eastAsia="zh-CN"/>
              </w:rPr>
              <w:t>36</w:t>
            </w:r>
            <w:r>
              <w:rPr>
                <w:rFonts w:hint="default" w:ascii="Times New Roman" w:hAnsi="Times New Roman" w:eastAsia="黑体" w:cs="Times New Roman"/>
                <w:b/>
                <w:bCs/>
                <w:color w:val="auto"/>
                <w:sz w:val="24"/>
                <w:szCs w:val="24"/>
                <w:lang w:val="en-US" w:eastAsia="zh-CN"/>
              </w:rPr>
              <w:t xml:space="preserve"> </w:t>
            </w:r>
            <w:r>
              <w:rPr>
                <w:rFonts w:hint="default" w:ascii="Times New Roman" w:hAnsi="Times New Roman" w:eastAsia="黑体" w:cs="Times New Roman"/>
                <w:b/>
                <w:bCs/>
                <w:color w:val="auto"/>
                <w:sz w:val="24"/>
                <w:szCs w:val="24"/>
              </w:rPr>
              <w:t>工业企业厂界环境噪声排放标准</w:t>
            </w:r>
          </w:p>
          <w:tbl>
            <w:tblPr>
              <w:tblStyle w:val="20"/>
              <w:tblW w:w="80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88"/>
              <w:gridCol w:w="2667"/>
              <w:gridCol w:w="24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888" w:type="dxa"/>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类别</w:t>
                  </w:r>
                </w:p>
              </w:tc>
              <w:tc>
                <w:tcPr>
                  <w:tcW w:w="2667" w:type="dxa"/>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昼间dB(A）</w:t>
                  </w:r>
                </w:p>
              </w:tc>
              <w:tc>
                <w:tcPr>
                  <w:tcW w:w="2464" w:type="dxa"/>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888" w:type="dxa"/>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adjustRightInd w:val="0"/>
                    <w:snapToGrid w:val="0"/>
                    <w:spacing w:line="360" w:lineRule="atLeas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2类</w:t>
                  </w:r>
                </w:p>
              </w:tc>
              <w:tc>
                <w:tcPr>
                  <w:tcW w:w="2667" w:type="dxa"/>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adjustRightInd w:val="0"/>
                    <w:snapToGrid w:val="0"/>
                    <w:spacing w:line="360" w:lineRule="atLeas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60</w:t>
                  </w:r>
                </w:p>
              </w:tc>
              <w:tc>
                <w:tcPr>
                  <w:tcW w:w="2464" w:type="dxa"/>
                  <w:tcBorders>
                    <w:tl2br w:val="nil"/>
                    <w:tr2bl w:val="nil"/>
                  </w:tcBorders>
                  <w:noWrap w:val="0"/>
                  <w:vAlign w:val="center"/>
                </w:tcPr>
                <w:p>
                  <w:pPr>
                    <w:pStyle w:val="37"/>
                    <w:keepNext w:val="0"/>
                    <w:keepLines w:val="0"/>
                    <w:pageBreakBefore w:val="0"/>
                    <w:widowControl w:val="0"/>
                    <w:kinsoku/>
                    <w:wordWrap/>
                    <w:overflowPunct/>
                    <w:topLinePunct w:val="0"/>
                    <w:autoSpaceDE/>
                    <w:autoSpaceDN/>
                    <w:bidi w:val="0"/>
                    <w:adjustRightInd w:val="0"/>
                    <w:snapToGrid w:val="0"/>
                    <w:spacing w:line="360" w:lineRule="atLeas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50</w:t>
                  </w:r>
                </w:p>
              </w:tc>
            </w:tr>
          </w:tbl>
          <w:p>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cs="Times New Roman"/>
                <w:color w:val="auto"/>
                <w:sz w:val="24"/>
                <w:szCs w:val="24"/>
                <w:lang w:val="en-US" w:eastAsia="zh-CN"/>
              </w:rPr>
            </w:pPr>
            <w:r>
              <w:rPr>
                <w:rFonts w:hint="eastAsia" w:cs="Times New Roman"/>
                <w:color w:val="auto"/>
                <w:sz w:val="24"/>
                <w:szCs w:val="24"/>
                <w:lang w:val="en-US" w:eastAsia="zh-CN"/>
              </w:rPr>
              <w:t>固废</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执行</w:t>
            </w:r>
            <w:r>
              <w:rPr>
                <w:rFonts w:hint="default" w:ascii="Times New Roman" w:hAnsi="Times New Roman" w:eastAsia="宋体" w:cs="Times New Roman"/>
                <w:color w:val="auto"/>
                <w:sz w:val="24"/>
                <w:szCs w:val="24"/>
              </w:rPr>
              <w:t>《一般工业固体废物贮存和填埋污染控制标准》（GB18599-2020）</w:t>
            </w:r>
            <w:r>
              <w:rPr>
                <w:rFonts w:hint="default" w:ascii="Times New Roman" w:hAnsi="Times New Roman" w:eastAsia="宋体" w:cs="Times New Roman"/>
                <w:color w:val="auto"/>
                <w:sz w:val="24"/>
                <w:szCs w:val="24"/>
                <w:lang w:val="en-US" w:eastAsia="zh-CN"/>
              </w:rPr>
              <w:t>要求</w:t>
            </w:r>
            <w:r>
              <w:rPr>
                <w:rFonts w:hint="default" w:ascii="Times New Roman" w:hAnsi="Times New Roman" w:eastAsia="宋体" w:cs="Times New Roman"/>
                <w:color w:val="auto"/>
                <w:sz w:val="24"/>
                <w:szCs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77" w:hRule="atLeast"/>
          <w:jc w:val="center"/>
        </w:trPr>
        <w:tc>
          <w:tcPr>
            <w:tcW w:w="79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总量</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控制</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highlight w:val="none"/>
              </w:rPr>
              <w:t>指标</w:t>
            </w:r>
          </w:p>
        </w:tc>
        <w:tc>
          <w:tcPr>
            <w:tcW w:w="8274" w:type="dxa"/>
            <w:tcBorders>
              <w:tl2br w:val="nil"/>
              <w:tr2bl w:val="nil"/>
            </w:tcBorders>
            <w:noWrap w:val="0"/>
            <w:vAlign w:val="center"/>
          </w:tcPr>
          <w:p>
            <w:pPr>
              <w:pageBreakBefore w:val="0"/>
              <w:widowControl w:val="0"/>
              <w:numPr>
                <w:ilvl w:val="0"/>
                <w:numId w:val="7"/>
              </w:numPr>
              <w:kinsoku/>
              <w:wordWrap/>
              <w:overflowPunct/>
              <w:topLinePunct w:val="0"/>
              <w:autoSpaceDE/>
              <w:autoSpaceDN/>
              <w:bidi w:val="0"/>
              <w:adjustRightInd w:val="0"/>
              <w:snapToGrid w:val="0"/>
              <w:spacing w:line="360" w:lineRule="auto"/>
              <w:ind w:firstLine="482" w:firstLineChars="200"/>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总量控制</w:t>
            </w:r>
          </w:p>
          <w:p>
            <w:pPr>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color w:val="auto"/>
                <w:sz w:val="24"/>
                <w:szCs w:val="24"/>
              </w:rPr>
              <w:t>国家对</w:t>
            </w:r>
            <w:r>
              <w:rPr>
                <w:rFonts w:ascii="Times New Roman" w:hAnsi="Times New Roman"/>
                <w:color w:val="auto"/>
                <w:sz w:val="24"/>
                <w:szCs w:val="24"/>
              </w:rPr>
              <w:t>SO</w:t>
            </w:r>
            <w:r>
              <w:rPr>
                <w:rFonts w:ascii="Times New Roman" w:hAnsi="Times New Roman"/>
                <w:color w:val="auto"/>
                <w:sz w:val="24"/>
                <w:szCs w:val="24"/>
                <w:vertAlign w:val="subscript"/>
              </w:rPr>
              <w:t>2</w:t>
            </w:r>
            <w:r>
              <w:rPr>
                <w:color w:val="auto"/>
                <w:sz w:val="24"/>
                <w:szCs w:val="24"/>
              </w:rPr>
              <w:t>、</w:t>
            </w:r>
            <w:r>
              <w:rPr>
                <w:rFonts w:ascii="Times New Roman" w:hAnsi="Times New Roman"/>
                <w:color w:val="auto"/>
                <w:sz w:val="24"/>
                <w:szCs w:val="24"/>
              </w:rPr>
              <w:t>NOx</w:t>
            </w:r>
            <w:r>
              <w:rPr>
                <w:color w:val="auto"/>
                <w:sz w:val="24"/>
                <w:szCs w:val="24"/>
              </w:rPr>
              <w:t>、</w:t>
            </w:r>
            <w:r>
              <w:rPr>
                <w:rFonts w:ascii="Times New Roman" w:hAnsi="Times New Roman"/>
                <w:color w:val="auto"/>
                <w:sz w:val="24"/>
                <w:szCs w:val="24"/>
              </w:rPr>
              <w:t>COD</w:t>
            </w:r>
            <w:r>
              <w:rPr>
                <w:color w:val="auto"/>
                <w:sz w:val="24"/>
                <w:szCs w:val="24"/>
              </w:rPr>
              <w:t>、氨氮实行排放总量控制，对重点地区重点行业的挥发性有机物排放实行总量减排任务；根据《国务院关于印发大气污染防治行动计划的通知》（国发﹝</w:t>
            </w:r>
            <w:r>
              <w:rPr>
                <w:rFonts w:ascii="Times New Roman" w:hAnsi="Times New Roman"/>
                <w:color w:val="auto"/>
                <w:sz w:val="24"/>
                <w:szCs w:val="24"/>
              </w:rPr>
              <w:t>2013</w:t>
            </w:r>
            <w:r>
              <w:rPr>
                <w:color w:val="auto"/>
                <w:sz w:val="24"/>
                <w:szCs w:val="24"/>
              </w:rPr>
              <w:t>﹞</w:t>
            </w:r>
            <w:r>
              <w:rPr>
                <w:rFonts w:ascii="Times New Roman" w:hAnsi="Times New Roman"/>
                <w:color w:val="auto"/>
                <w:sz w:val="24"/>
                <w:szCs w:val="24"/>
              </w:rPr>
              <w:t>37</w:t>
            </w:r>
            <w:r>
              <w:rPr>
                <w:color w:val="auto"/>
                <w:sz w:val="24"/>
                <w:szCs w:val="24"/>
              </w:rPr>
              <w:t>号）和《淄博市人民政府关于控制烟尘污染的通告》的要求，淄博市对烟（粉）尘排放亦实行总量控制。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根据工程分析，</w:t>
            </w:r>
            <w:r>
              <w:rPr>
                <w:rFonts w:hint="eastAsia" w:cs="Times New Roman"/>
                <w:color w:val="0000FF"/>
                <w:sz w:val="24"/>
                <w:szCs w:val="24"/>
                <w:lang w:val="en-US" w:eastAsia="zh-CN"/>
              </w:rPr>
              <w:t>本项目最大运行工况下</w:t>
            </w:r>
            <w:r>
              <w:rPr>
                <w:rFonts w:hint="default" w:ascii="Times New Roman" w:hAnsi="Times New Roman" w:eastAsia="宋体" w:cs="Times New Roman"/>
                <w:color w:val="auto"/>
                <w:sz w:val="24"/>
                <w:szCs w:val="24"/>
                <w:lang w:val="en-US" w:eastAsia="zh-CN"/>
              </w:rPr>
              <w:t>排放大气污染物</w:t>
            </w:r>
            <w:r>
              <w:rPr>
                <w:rFonts w:hint="default" w:ascii="Times New Roman" w:hAnsi="Times New Roman" w:eastAsia="宋体" w:cs="Times New Roman"/>
                <w:color w:val="auto"/>
                <w:sz w:val="24"/>
                <w:szCs w:val="24"/>
                <w:lang w:eastAsia="zh-CN"/>
              </w:rPr>
              <w:t>烟SO</w:t>
            </w:r>
            <w:r>
              <w:rPr>
                <w:rFonts w:hint="default" w:ascii="Times New Roman" w:hAnsi="Times New Roman" w:eastAsia="宋体" w:cs="Times New Roman"/>
                <w:color w:val="auto"/>
                <w:sz w:val="24"/>
                <w:szCs w:val="24"/>
                <w:vertAlign w:val="subscript"/>
                <w:lang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2.60t/a；</w:t>
            </w:r>
            <w:r>
              <w:rPr>
                <w:rFonts w:hint="default" w:ascii="Times New Roman" w:hAnsi="Times New Roman" w:eastAsia="宋体" w:cs="Times New Roman"/>
                <w:color w:val="auto"/>
                <w:sz w:val="24"/>
                <w:szCs w:val="24"/>
                <w:lang w:eastAsia="zh-CN"/>
              </w:rPr>
              <w:t>NOx：</w:t>
            </w:r>
            <w:r>
              <w:rPr>
                <w:rFonts w:hint="default" w:ascii="Times New Roman" w:hAnsi="Times New Roman" w:eastAsia="宋体" w:cs="Times New Roman"/>
                <w:color w:val="auto"/>
                <w:sz w:val="24"/>
                <w:szCs w:val="24"/>
                <w:lang w:val="en-US" w:eastAsia="zh-CN"/>
              </w:rPr>
              <w:t>3.9</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t/a；</w:t>
            </w:r>
            <w:r>
              <w:rPr>
                <w:rFonts w:hint="default" w:ascii="Times New Roman" w:hAnsi="Times New Roman" w:eastAsia="宋体" w:cs="Times New Roman"/>
                <w:color w:val="auto"/>
                <w:sz w:val="24"/>
                <w:szCs w:val="24"/>
                <w:lang w:eastAsia="zh-CN"/>
              </w:rPr>
              <w:t>粉尘（颗粒物）：</w:t>
            </w:r>
            <w:r>
              <w:rPr>
                <w:rFonts w:hint="default" w:ascii="Times New Roman" w:hAnsi="Times New Roman" w:eastAsia="宋体" w:cs="Times New Roman"/>
                <w:color w:val="auto"/>
                <w:sz w:val="24"/>
                <w:szCs w:val="24"/>
                <w:lang w:val="en-US" w:eastAsia="zh-CN"/>
              </w:rPr>
              <w:t>1.35t/a</w:t>
            </w:r>
            <w:r>
              <w:rPr>
                <w:rFonts w:hint="default" w:ascii="Times New Roman" w:hAnsi="Times New Roman" w:eastAsia="宋体" w:cs="Times New Roman"/>
                <w:color w:val="auto"/>
                <w:sz w:val="24"/>
                <w:szCs w:val="24"/>
                <w:lang w:eastAsia="zh-CN"/>
              </w:rPr>
              <w:t>。</w:t>
            </w:r>
          </w:p>
          <w:p>
            <w:pPr>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0" w:leftChars="0" w:firstLine="482" w:firstLineChars="200"/>
              <w:jc w:val="left"/>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倍量替代</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根据《关于统筹使用“十四五”建设项目主要大气污染物总量指标的通知》（淄环函[2021]55号）、《山东省建设项目主要大气污染物排放总量替代指标核算及管理办法》（鲁环发[2019]132号）</w:t>
            </w:r>
            <w:r>
              <w:rPr>
                <w:rFonts w:hint="eastAsia" w:cs="Times New Roman"/>
                <w:color w:val="auto"/>
                <w:sz w:val="24"/>
                <w:szCs w:val="24"/>
                <w:lang w:val="en-US" w:eastAsia="zh-CN"/>
              </w:rPr>
              <w:t>、淄博市生态环境局《关于统筹使用“十四五”建设项目主要大气污染物总量指标的通知》（淄环函[2021]55号）：实行区域污染物排放倍量替代由我市上一年度环境空气质量年平均浓度及细颗粒物年平均浓度的数据情况而定。若上一年度环境空气质量年平均浓度达标，则实施相关污染物进行等量替代；若上一年度环境空气质量年平均浓度不达标，相关污染物应按照建设项目所需替代的污染物排放总量指标的2倍进行削减替代。若上一年度细颗粒物年平均浓度超标，实行二氧化硫、氮氧化物、烟粉尘、挥发有机物四项污染物排放总量指标2倍削减替代；达标时实行等量替代。桓台县2020年细颗粒物年平均浓度不达标，实行二氧化硫、氮氧化物、烟粉尘、挥发有机物四项污染物排放总量指标2倍削减替代。本项目</w:t>
            </w:r>
            <w:r>
              <w:rPr>
                <w:rFonts w:hint="default" w:ascii="Times New Roman" w:hAnsi="Times New Roman" w:eastAsia="宋体" w:cs="Times New Roman"/>
                <w:color w:val="auto"/>
                <w:sz w:val="24"/>
                <w:szCs w:val="24"/>
                <w:lang w:val="en-US" w:eastAsia="zh-CN"/>
              </w:rPr>
              <w:t>颗粒物、SO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、NO</w:t>
            </w:r>
            <w:r>
              <w:rPr>
                <w:rFonts w:hint="default" w:ascii="Times New Roman" w:hAnsi="Times New Roman" w:eastAsia="宋体" w:cs="Times New Roman"/>
                <w:color w:val="auto"/>
                <w:sz w:val="24"/>
                <w:szCs w:val="24"/>
                <w:vertAlign w:val="subscript"/>
                <w:lang w:val="en-US" w:eastAsia="zh-CN"/>
              </w:rPr>
              <w:t>X</w:t>
            </w:r>
            <w:r>
              <w:rPr>
                <w:rFonts w:hint="default" w:ascii="Times New Roman" w:hAnsi="Times New Roman" w:eastAsia="宋体" w:cs="Times New Roman"/>
                <w:color w:val="auto"/>
                <w:sz w:val="24"/>
                <w:szCs w:val="24"/>
                <w:lang w:val="en-US" w:eastAsia="zh-CN"/>
              </w:rPr>
              <w:t>、VOCs需2倍削减替代。</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综上，本项目建议申请大气污染物倍量替代量：</w:t>
            </w:r>
            <w:r>
              <w:rPr>
                <w:rFonts w:hint="default" w:ascii="Times New Roman" w:hAnsi="Times New Roman" w:eastAsia="宋体" w:cs="Times New Roman"/>
                <w:color w:val="auto"/>
                <w:sz w:val="24"/>
                <w:szCs w:val="24"/>
                <w:lang w:eastAsia="zh-CN"/>
              </w:rPr>
              <w:t>SO</w:t>
            </w:r>
            <w:r>
              <w:rPr>
                <w:rFonts w:hint="default" w:ascii="Times New Roman" w:hAnsi="Times New Roman" w:eastAsia="宋体" w:cs="Times New Roman"/>
                <w:color w:val="auto"/>
                <w:sz w:val="24"/>
                <w:szCs w:val="24"/>
                <w:vertAlign w:val="subscript"/>
                <w:lang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5.20t/a；</w:t>
            </w:r>
            <w:r>
              <w:rPr>
                <w:rFonts w:hint="default" w:ascii="Times New Roman" w:hAnsi="Times New Roman" w:eastAsia="宋体" w:cs="Times New Roman"/>
                <w:color w:val="auto"/>
                <w:sz w:val="24"/>
                <w:szCs w:val="24"/>
                <w:lang w:eastAsia="zh-CN"/>
              </w:rPr>
              <w:t>NOx：</w:t>
            </w:r>
            <w:r>
              <w:rPr>
                <w:rFonts w:hint="default" w:ascii="Times New Roman" w:hAnsi="Times New Roman" w:eastAsia="宋体" w:cs="Times New Roman"/>
                <w:color w:val="auto"/>
                <w:sz w:val="24"/>
                <w:szCs w:val="24"/>
                <w:lang w:val="en-US" w:eastAsia="zh-CN"/>
              </w:rPr>
              <w:t>7.8</w:t>
            </w:r>
            <w:r>
              <w:rPr>
                <w:rFonts w:hint="eastAsia"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t/a；</w:t>
            </w:r>
            <w:r>
              <w:rPr>
                <w:rFonts w:hint="default" w:ascii="Times New Roman" w:hAnsi="Times New Roman" w:eastAsia="宋体" w:cs="Times New Roman"/>
                <w:color w:val="auto"/>
                <w:sz w:val="24"/>
                <w:szCs w:val="24"/>
                <w:lang w:eastAsia="zh-CN"/>
              </w:rPr>
              <w:t>粉尘（颗粒物）：</w:t>
            </w:r>
            <w:r>
              <w:rPr>
                <w:rFonts w:hint="default" w:ascii="Times New Roman" w:hAnsi="Times New Roman" w:eastAsia="宋体" w:cs="Times New Roman"/>
                <w:color w:val="auto"/>
                <w:sz w:val="24"/>
                <w:szCs w:val="24"/>
                <w:lang w:val="en-US" w:eastAsia="zh-CN"/>
              </w:rPr>
              <w:t>2.70t/a</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rPr>
            </w:pPr>
          </w:p>
        </w:tc>
      </w:tr>
    </w:tbl>
    <w:p>
      <w:pPr>
        <w:pStyle w:val="19"/>
        <w:jc w:val="center"/>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sz w:val="36"/>
          <w:szCs w:val="36"/>
        </w:rPr>
        <w:br w:type="page"/>
      </w:r>
      <w:r>
        <w:rPr>
          <w:rStyle w:val="41"/>
          <w:rFonts w:hint="default" w:ascii="Times New Roman" w:hAnsi="Times New Roman" w:cs="Times New Roman"/>
          <w:color w:val="auto"/>
        </w:rPr>
        <w:t>四、主要环境影响和保护措施</w:t>
      </w:r>
    </w:p>
    <w:tbl>
      <w:tblPr>
        <w:tblStyle w:val="20"/>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24"/>
        <w:gridCol w:w="84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44" w:hRule="atLeast"/>
          <w:jc w:val="center"/>
        </w:trPr>
        <w:tc>
          <w:tcPr>
            <w:tcW w:w="624" w:type="dxa"/>
            <w:noWrap w:val="0"/>
            <w:tcMar>
              <w:left w:w="28" w:type="dxa"/>
              <w:right w:w="28" w:type="dxa"/>
            </w:tcMar>
            <w:vAlign w:val="center"/>
          </w:tcPr>
          <w:p>
            <w:pPr>
              <w:pStyle w:val="19"/>
              <w:keepNext w:val="0"/>
              <w:keepLines w:val="0"/>
              <w:pageBreakBefore w:val="0"/>
              <w:kinsoku/>
              <w:wordWrap/>
              <w:overflowPunct/>
              <w:topLinePunct w:val="0"/>
              <w:autoSpaceDE/>
              <w:autoSpaceDN/>
              <w:bidi w:val="0"/>
              <w:adjustRightInd w:val="0"/>
              <w:snapToGrid w:val="0"/>
              <w:spacing w:before="0" w:beforeAutospacing="0" w:after="0" w:afterAutospacing="0" w:line="360" w:lineRule="auto"/>
              <w:jc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施工</w:t>
            </w:r>
          </w:p>
          <w:p>
            <w:pPr>
              <w:pStyle w:val="19"/>
              <w:keepNext w:val="0"/>
              <w:keepLines w:val="0"/>
              <w:pageBreakBefore w:val="0"/>
              <w:kinsoku/>
              <w:wordWrap/>
              <w:overflowPunct/>
              <w:topLinePunct w:val="0"/>
              <w:autoSpaceDE/>
              <w:autoSpaceDN/>
              <w:bidi w:val="0"/>
              <w:adjustRightInd w:val="0"/>
              <w:snapToGrid w:val="0"/>
              <w:spacing w:before="0" w:beforeAutospacing="0" w:after="0" w:afterAutospacing="0" w:line="360" w:lineRule="auto"/>
              <w:jc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期环</w:t>
            </w:r>
          </w:p>
          <w:p>
            <w:pPr>
              <w:pStyle w:val="19"/>
              <w:keepNext w:val="0"/>
              <w:keepLines w:val="0"/>
              <w:pageBreakBefore w:val="0"/>
              <w:kinsoku/>
              <w:wordWrap/>
              <w:overflowPunct/>
              <w:topLinePunct w:val="0"/>
              <w:autoSpaceDE/>
              <w:autoSpaceDN/>
              <w:bidi w:val="0"/>
              <w:adjustRightInd w:val="0"/>
              <w:snapToGrid w:val="0"/>
              <w:spacing w:before="0" w:beforeAutospacing="0" w:after="0" w:afterAutospacing="0" w:line="360" w:lineRule="auto"/>
              <w:jc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境保</w:t>
            </w:r>
          </w:p>
          <w:p>
            <w:pPr>
              <w:pStyle w:val="19"/>
              <w:keepNext w:val="0"/>
              <w:keepLines w:val="0"/>
              <w:pageBreakBefore w:val="0"/>
              <w:kinsoku/>
              <w:wordWrap/>
              <w:overflowPunct/>
              <w:topLinePunct w:val="0"/>
              <w:autoSpaceDE/>
              <w:autoSpaceDN/>
              <w:bidi w:val="0"/>
              <w:adjustRightInd w:val="0"/>
              <w:snapToGrid w:val="0"/>
              <w:spacing w:before="0" w:beforeAutospacing="0" w:after="0" w:afterAutospacing="0" w:line="360" w:lineRule="auto"/>
              <w:jc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护措</w:t>
            </w:r>
          </w:p>
          <w:p>
            <w:pPr>
              <w:pStyle w:val="19"/>
              <w:keepNext w:val="0"/>
              <w:keepLines w:val="0"/>
              <w:pageBreakBefore w:val="0"/>
              <w:kinsoku/>
              <w:wordWrap/>
              <w:overflowPunct/>
              <w:topLinePunct w:val="0"/>
              <w:autoSpaceDE/>
              <w:autoSpaceDN/>
              <w:bidi w:val="0"/>
              <w:adjustRightInd w:val="0"/>
              <w:snapToGrid w:val="0"/>
              <w:spacing w:before="0" w:beforeAutospacing="0" w:after="0" w:afterAutospacing="0" w:line="360" w:lineRule="auto"/>
              <w:jc w:val="center"/>
              <w:rPr>
                <w:rFonts w:hint="default" w:ascii="Times New Roman" w:hAnsi="Times New Roman" w:eastAsia="宋体" w:cs="Times New Roman"/>
                <w:bCs/>
                <w:color w:val="auto"/>
                <w:kern w:val="2"/>
                <w:sz w:val="24"/>
                <w:szCs w:val="24"/>
              </w:rPr>
            </w:pPr>
            <w:r>
              <w:rPr>
                <w:rFonts w:hint="default" w:ascii="Times New Roman" w:hAnsi="Times New Roman" w:eastAsia="宋体" w:cs="Times New Roman"/>
                <w:color w:val="auto"/>
                <w:kern w:val="2"/>
                <w:sz w:val="24"/>
                <w:szCs w:val="24"/>
              </w:rPr>
              <w:t>施</w:t>
            </w:r>
          </w:p>
        </w:tc>
        <w:tc>
          <w:tcPr>
            <w:tcW w:w="8447" w:type="dxa"/>
            <w:noWrap w:val="0"/>
            <w:vAlign w:val="center"/>
          </w:tcPr>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firstLine="0" w:firstLineChars="0"/>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施工期扬尘污染防治措施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（1）建设工程必须设置安全文明施工措施费，并保证专款专用。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（2）当出现4级及以上风力天气情况时，禁止土方施工，并作好遮掩工作。</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（3）施工现场必须采取围档、喷淋、封闭、地面硬化等有效防止扬尘污染的措施， 施工车辆经冲洗后方能进入市政道路。</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（4）运输施工垃圾等易产生扬尘的物料，必须采取密闭措施，逐步实行密闭车辆运输，并实行运输准运证和许可证制度，防止运输过程发生遗散或泄漏情况。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（5）禁止现场搅拌混凝土，应使用预拌混凝土。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（6）施工人员炊事必须使用天然气，液化石油气等清洁能源，严禁使用散煤、 木材、锯木等非清洁燃料。</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（7）对沙石料、水泥等易产生扬尘的建筑材料应进行覆盖。</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二、施工期噪声污染防治措施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为确保厂界施工噪声达标，减轻对附近声环境的影响，采取以下措施：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（1）尽量采用低噪声设备，如以液压机械代替燃油机械，振捣器采用高频振捣器等；</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（2）可固定的机械设备如空压机、发电机等安置在施工场地临时房间内，房屋内设吸声材料，降低噪声；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（3）动力机械设备应进行定期的维修、养护，以保证其在正常工况下工作。</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三、施工期废水污染防治措施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b w:val="0"/>
                <w:bCs w:val="0"/>
                <w:color w:val="auto"/>
                <w:kern w:val="2"/>
                <w:sz w:val="24"/>
                <w:szCs w:val="24"/>
                <w:lang w:val="en-US" w:eastAsia="zh-CN" w:bidi="ar-SA"/>
              </w:rPr>
              <w:t>施工期间排放污水主要是民工生活污水和工地上冲洗车辆、地面产生的冲洗废水。 生活污水产生量很少，经收集后排入</w:t>
            </w:r>
            <w:r>
              <w:rPr>
                <w:rFonts w:hint="eastAsia" w:cs="Times New Roman"/>
                <w:b w:val="0"/>
                <w:bCs w:val="0"/>
                <w:color w:val="auto"/>
                <w:kern w:val="2"/>
                <w:sz w:val="24"/>
                <w:szCs w:val="24"/>
                <w:lang w:val="en-US" w:eastAsia="zh-CN" w:bidi="ar-SA"/>
              </w:rPr>
              <w:t>海奥斯</w:t>
            </w:r>
            <w:r>
              <w:rPr>
                <w:rFonts w:hint="default" w:ascii="Times New Roman" w:hAnsi="Times New Roman" w:eastAsia="宋体" w:cs="Times New Roman"/>
                <w:b w:val="0"/>
                <w:bCs w:val="0"/>
                <w:color w:val="auto"/>
                <w:kern w:val="2"/>
                <w:sz w:val="24"/>
                <w:szCs w:val="24"/>
                <w:lang w:val="en-US" w:eastAsia="zh-CN" w:bidi="ar-SA"/>
              </w:rPr>
              <w:t>污水处理站，不会对周围环境及收水系统产生较大影响；冲洗废水由于含有大量沙砾，对冲洗废水必须进行沉淀处理，经沉淀处理后循环使用，不外排。</w:t>
            </w:r>
          </w:p>
          <w:p>
            <w:pPr>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firstLine="0" w:firstLineChars="0"/>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施工期固体废物污染防治措施</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bCs/>
                <w:color w:val="auto"/>
                <w:spacing w:val="-10"/>
                <w:sz w:val="24"/>
                <w:szCs w:val="24"/>
              </w:rPr>
            </w:pPr>
            <w:r>
              <w:rPr>
                <w:rFonts w:hint="default" w:ascii="Times New Roman" w:hAnsi="Times New Roman" w:eastAsia="宋体" w:cs="Times New Roman"/>
                <w:b w:val="0"/>
                <w:bCs w:val="0"/>
                <w:color w:val="auto"/>
                <w:kern w:val="2"/>
                <w:sz w:val="24"/>
                <w:szCs w:val="24"/>
                <w:lang w:val="en-US" w:eastAsia="zh-CN" w:bidi="ar-SA"/>
              </w:rPr>
              <w:t>施工期间产生的固体废物包括施工垃圾和生活垃圾。建筑垃圾主要是施工过程产生的各种废建筑材料，如碎砖块、水泥块、废木料、工程土等，生活垃圾主要是民工废弃物品。施工中固体废物必须集中堆放、及时清运，外运到环卫部门指定地点，防止露天长期堆放可能产生的二次污染。一般来说，施工期间噪声和扬尘对环境的影响是暂时的， 施工结束后受影响的环境要素大多可以恢复到现状水平。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86" w:hRule="atLeast"/>
          <w:jc w:val="center"/>
        </w:trPr>
        <w:tc>
          <w:tcPr>
            <w:tcW w:w="624" w:type="dxa"/>
            <w:noWrap w:val="0"/>
            <w:tcMar>
              <w:left w:w="28" w:type="dxa"/>
              <w:right w:w="28" w:type="dxa"/>
            </w:tcMar>
            <w:vAlign w:val="center"/>
          </w:tcPr>
          <w:p>
            <w:pPr>
              <w:keepNext w:val="0"/>
              <w:keepLines w:val="0"/>
              <w:pageBreakBefore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运营</w:t>
            </w:r>
          </w:p>
          <w:p>
            <w:pPr>
              <w:keepNext w:val="0"/>
              <w:keepLines w:val="0"/>
              <w:pageBreakBefore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期环</w:t>
            </w:r>
          </w:p>
          <w:p>
            <w:pPr>
              <w:keepNext w:val="0"/>
              <w:keepLines w:val="0"/>
              <w:pageBreakBefore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境影</w:t>
            </w:r>
          </w:p>
          <w:p>
            <w:pPr>
              <w:keepNext w:val="0"/>
              <w:keepLines w:val="0"/>
              <w:pageBreakBefore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响和</w:t>
            </w:r>
          </w:p>
          <w:p>
            <w:pPr>
              <w:keepNext w:val="0"/>
              <w:keepLines w:val="0"/>
              <w:pageBreakBefore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保护</w:t>
            </w:r>
          </w:p>
          <w:p>
            <w:pPr>
              <w:keepNext w:val="0"/>
              <w:keepLines w:val="0"/>
              <w:pageBreakBefore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highlight w:val="none"/>
              </w:rPr>
              <w:t>措</w:t>
            </w:r>
            <w:r>
              <w:rPr>
                <w:rFonts w:hint="default" w:ascii="Times New Roman" w:hAnsi="Times New Roman" w:eastAsia="宋体" w:cs="Times New Roman"/>
                <w:bCs/>
                <w:color w:val="auto"/>
                <w:sz w:val="24"/>
                <w:szCs w:val="24"/>
              </w:rPr>
              <w:t>施</w:t>
            </w:r>
          </w:p>
        </w:tc>
        <w:tc>
          <w:tcPr>
            <w:tcW w:w="8447" w:type="dxa"/>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left"/>
              <w:textAlignment w:val="auto"/>
              <w:rPr>
                <w:rFonts w:hint="default" w:ascii="Times New Roman" w:hAnsi="Times New Roman" w:eastAsia="黑体" w:cs="Times New Roman"/>
                <w:b/>
                <w:bCs/>
                <w:color w:val="auto"/>
                <w:sz w:val="24"/>
                <w:szCs w:val="24"/>
                <w:lang w:val="en-US" w:eastAsia="zh-CN"/>
              </w:rPr>
            </w:pPr>
            <w:r>
              <w:rPr>
                <w:rFonts w:hint="default" w:ascii="Times New Roman" w:hAnsi="Times New Roman" w:eastAsia="黑体" w:cs="Times New Roman"/>
                <w:b/>
                <w:bCs/>
                <w:color w:val="auto"/>
                <w:sz w:val="24"/>
                <w:szCs w:val="24"/>
                <w:lang w:val="en-US" w:eastAsia="zh-CN"/>
              </w:rPr>
              <w:t>4.1废气</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jc w:val="left"/>
              <w:textAlignment w:val="auto"/>
              <w:rPr>
                <w:rFonts w:hint="default" w:ascii="Times New Roman" w:hAnsi="Times New Roman" w:eastAsia="宋体" w:cs="Times New Roman"/>
                <w:b/>
                <w:bCs w:val="0"/>
                <w:color w:val="auto"/>
                <w:sz w:val="24"/>
                <w:szCs w:val="24"/>
                <w:highlight w:val="none"/>
                <w:lang w:val="en-US" w:eastAsia="zh-CN"/>
              </w:rPr>
            </w:pPr>
            <w:r>
              <w:rPr>
                <w:rFonts w:hint="eastAsia" w:cs="Times New Roman"/>
                <w:b/>
                <w:bCs w:val="0"/>
                <w:color w:val="auto"/>
                <w:sz w:val="24"/>
                <w:szCs w:val="24"/>
                <w:highlight w:val="none"/>
                <w:lang w:val="en-US" w:eastAsia="zh-CN"/>
              </w:rPr>
              <w:t>（1）</w:t>
            </w:r>
            <w:r>
              <w:rPr>
                <w:rFonts w:hint="default" w:ascii="Times New Roman" w:hAnsi="Times New Roman" w:eastAsia="宋体" w:cs="Times New Roman"/>
                <w:b/>
                <w:bCs w:val="0"/>
                <w:color w:val="auto"/>
                <w:sz w:val="24"/>
                <w:szCs w:val="24"/>
                <w:highlight w:val="none"/>
                <w:lang w:val="en-US" w:eastAsia="zh-CN"/>
              </w:rPr>
              <w:t>废气源强分析：</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jc w:val="left"/>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项目营运期产生的废气主要是天然气锅炉产生的天然气燃烧废气。项目新上天然气燃气锅炉1台，年用天然气1300万m</w:t>
            </w:r>
            <w:r>
              <w:rPr>
                <w:rFonts w:hint="default" w:ascii="Times New Roman" w:hAnsi="Times New Roman" w:eastAsia="宋体" w:cs="Times New Roman"/>
                <w:b w:val="0"/>
                <w:bCs/>
                <w:color w:val="auto"/>
                <w:sz w:val="24"/>
                <w:szCs w:val="24"/>
                <w:highlight w:val="none"/>
                <w:vertAlign w:val="superscript"/>
                <w:lang w:val="en-US" w:eastAsia="zh-CN"/>
              </w:rPr>
              <w:t>3</w:t>
            </w:r>
            <w:r>
              <w:rPr>
                <w:rFonts w:hint="default" w:ascii="Times New Roman" w:hAnsi="Times New Roman" w:eastAsia="宋体" w:cs="Times New Roman"/>
                <w:b w:val="0"/>
                <w:bCs/>
                <w:color w:val="auto"/>
                <w:sz w:val="24"/>
                <w:szCs w:val="24"/>
                <w:highlight w:val="none"/>
                <w:lang w:val="en-US" w:eastAsia="zh-CN"/>
              </w:rPr>
              <w:t>，天然气来自中石油“沧—淄”线天然气。</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jc w:val="left"/>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根据 2021 年《排放源统计调查产排污核算方法》中“4430工业锅炉（热力生产和供应行业）产污系数表-燃气工业锅炉”，二氧化硫量、氮氧化物量即为各自的产污系数乘以年天然气消耗量；根据《火力发电热电联产行业系数手册》，天然气锅炉颗粒物量为颗粒物的产污系数乘以年天然气消耗量。物产污系数见下表。</w:t>
            </w:r>
          </w:p>
          <w:p>
            <w:pPr>
              <w:keepNext w:val="0"/>
              <w:keepLines w:val="0"/>
              <w:pageBreakBefore w:val="0"/>
              <w:kinsoku/>
              <w:wordWrap/>
              <w:overflowPunct/>
              <w:topLinePunct w:val="0"/>
              <w:autoSpaceDE/>
              <w:autoSpaceDN/>
              <w:bidi w:val="0"/>
              <w:spacing w:line="360" w:lineRule="auto"/>
              <w:jc w:val="center"/>
              <w:rPr>
                <w:rFonts w:hint="default" w:ascii="Times New Roman" w:hAnsi="Times New Roman" w:eastAsia="黑体" w:cs="Times New Roman"/>
                <w:b/>
                <w:color w:val="auto"/>
                <w:sz w:val="24"/>
                <w:szCs w:val="24"/>
                <w:highlight w:val="none"/>
                <w:lang w:val="en-US" w:eastAsia="zh-CN"/>
              </w:rPr>
            </w:pPr>
            <w:r>
              <w:rPr>
                <w:rFonts w:hint="default" w:ascii="Times New Roman" w:hAnsi="Times New Roman" w:eastAsia="黑体" w:cs="Times New Roman"/>
                <w:b/>
                <w:color w:val="auto"/>
                <w:sz w:val="24"/>
                <w:szCs w:val="24"/>
                <w:highlight w:val="none"/>
                <w:lang w:val="en-US" w:eastAsia="zh-CN"/>
              </w:rPr>
              <w:t>表</w:t>
            </w:r>
            <w:r>
              <w:rPr>
                <w:rFonts w:hint="eastAsia" w:eastAsia="黑体" w:cs="Times New Roman"/>
                <w:b/>
                <w:color w:val="auto"/>
                <w:sz w:val="24"/>
                <w:szCs w:val="24"/>
                <w:highlight w:val="none"/>
                <w:lang w:val="en-US" w:eastAsia="zh-CN"/>
              </w:rPr>
              <w:t>37</w:t>
            </w:r>
            <w:r>
              <w:rPr>
                <w:rFonts w:hint="default" w:ascii="Times New Roman" w:hAnsi="Times New Roman" w:eastAsia="黑体" w:cs="Times New Roman"/>
                <w:b/>
                <w:color w:val="auto"/>
                <w:sz w:val="24"/>
                <w:szCs w:val="24"/>
                <w:highlight w:val="none"/>
                <w:lang w:val="en-US" w:eastAsia="zh-CN"/>
              </w:rPr>
              <w:t xml:space="preserve"> 燃气工业锅炉排污系数表</w:t>
            </w:r>
          </w:p>
          <w:tbl>
            <w:tblPr>
              <w:tblStyle w:val="21"/>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1"/>
              <w:gridCol w:w="950"/>
              <w:gridCol w:w="900"/>
              <w:gridCol w:w="1167"/>
              <w:gridCol w:w="1016"/>
              <w:gridCol w:w="1150"/>
              <w:gridCol w:w="926"/>
              <w:gridCol w:w="9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产品名称</w:t>
                  </w:r>
                </w:p>
              </w:tc>
              <w:tc>
                <w:tcPr>
                  <w:tcW w:w="9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原料名称</w:t>
                  </w:r>
                </w:p>
              </w:tc>
              <w:tc>
                <w:tcPr>
                  <w:tcW w:w="90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工艺名称</w:t>
                  </w:r>
                </w:p>
              </w:tc>
              <w:tc>
                <w:tcPr>
                  <w:tcW w:w="116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规模等级</w:t>
                  </w:r>
                </w:p>
              </w:tc>
              <w:tc>
                <w:tcPr>
                  <w:tcW w:w="101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污染物指标</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单位</w:t>
                  </w:r>
                </w:p>
              </w:tc>
              <w:tc>
                <w:tcPr>
                  <w:tcW w:w="92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产污系数</w:t>
                  </w:r>
                </w:p>
              </w:tc>
              <w:tc>
                <w:tcPr>
                  <w:tcW w:w="99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bCs w:val="0"/>
                      <w:color w:val="auto"/>
                      <w:sz w:val="21"/>
                      <w:szCs w:val="21"/>
                      <w:highlight w:val="none"/>
                      <w:vertAlign w:val="baseline"/>
                      <w:lang w:val="en-US" w:eastAsia="zh-CN"/>
                    </w:rPr>
                  </w:pPr>
                  <w:r>
                    <w:rPr>
                      <w:rFonts w:hint="default" w:ascii="Times New Roman" w:hAnsi="Times New Roman" w:eastAsia="宋体" w:cs="Times New Roman"/>
                      <w:b/>
                      <w:bCs w:val="0"/>
                      <w:color w:val="auto"/>
                      <w:sz w:val="21"/>
                      <w:szCs w:val="21"/>
                      <w:highlight w:val="none"/>
                      <w:vertAlign w:val="baseline"/>
                      <w:lang w:val="en-US" w:eastAsia="zh-CN"/>
                    </w:rPr>
                    <w:t>末端治理技术名称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1"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蒸汽/热水/其它</w:t>
                  </w:r>
                </w:p>
              </w:tc>
              <w:tc>
                <w:tcPr>
                  <w:tcW w:w="95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天然气</w:t>
                  </w:r>
                </w:p>
              </w:tc>
              <w:tc>
                <w:tcPr>
                  <w:tcW w:w="900"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室燃炉</w:t>
                  </w:r>
                </w:p>
              </w:tc>
              <w:tc>
                <w:tcPr>
                  <w:tcW w:w="1167"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所有规模</w:t>
                  </w:r>
                </w:p>
              </w:tc>
              <w:tc>
                <w:tcPr>
                  <w:tcW w:w="101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工业废气量</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标立方米/万立方米-原料</w:t>
                  </w:r>
                </w:p>
              </w:tc>
              <w:tc>
                <w:tcPr>
                  <w:tcW w:w="92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107753</w:t>
                  </w:r>
                </w:p>
              </w:tc>
              <w:tc>
                <w:tcPr>
                  <w:tcW w:w="99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95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90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1167"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101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二氧化硫</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千克/万立方米-原料</w:t>
                  </w:r>
                </w:p>
              </w:tc>
              <w:tc>
                <w:tcPr>
                  <w:tcW w:w="92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0.02S①</w:t>
                  </w:r>
                </w:p>
              </w:tc>
              <w:tc>
                <w:tcPr>
                  <w:tcW w:w="9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95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900"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1167"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p>
              </w:tc>
              <w:tc>
                <w:tcPr>
                  <w:tcW w:w="101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氮氧化物</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千克/万立方米-原料</w:t>
                  </w:r>
                </w:p>
              </w:tc>
              <w:tc>
                <w:tcPr>
                  <w:tcW w:w="92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3.03（低氮燃烧-国际领先</w:t>
                  </w:r>
                </w:p>
              </w:tc>
              <w:tc>
                <w:tcPr>
                  <w:tcW w:w="9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电能/电能+热能</w:t>
                  </w:r>
                </w:p>
              </w:tc>
              <w:tc>
                <w:tcPr>
                  <w:tcW w:w="9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天然气</w:t>
                  </w:r>
                </w:p>
              </w:tc>
              <w:tc>
                <w:tcPr>
                  <w:tcW w:w="90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锅炉/燃机</w:t>
                  </w:r>
                </w:p>
              </w:tc>
              <w:tc>
                <w:tcPr>
                  <w:tcW w:w="116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color w:val="auto"/>
                      <w:kern w:val="0"/>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所有规模</w:t>
                  </w:r>
                </w:p>
              </w:tc>
              <w:tc>
                <w:tcPr>
                  <w:tcW w:w="101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颗粒物</w:t>
                  </w:r>
                </w:p>
              </w:tc>
              <w:tc>
                <w:tcPr>
                  <w:tcW w:w="115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毫克/立方米-原料</w:t>
                  </w:r>
                </w:p>
              </w:tc>
              <w:tc>
                <w:tcPr>
                  <w:tcW w:w="92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103.9</w:t>
                  </w:r>
                </w:p>
              </w:tc>
              <w:tc>
                <w:tcPr>
                  <w:tcW w:w="99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其他（直排）</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根据《天然气》（GB17820-2018）表 1 中二类天然气质量要求，总硫（以硫计）≤100 mg/m</w:t>
            </w:r>
            <w:r>
              <w:rPr>
                <w:rFonts w:hint="default" w:ascii="Times New Roman" w:hAnsi="Times New Roman" w:eastAsia="宋体" w:cs="Times New Roman"/>
                <w:b w:val="0"/>
                <w:bCs/>
                <w:color w:val="auto"/>
                <w:sz w:val="24"/>
                <w:szCs w:val="24"/>
                <w:highlight w:val="none"/>
                <w:vertAlign w:val="superscript"/>
                <w:lang w:val="en-US" w:eastAsia="zh-CN"/>
              </w:rPr>
              <w:t>3</w:t>
            </w:r>
            <w:r>
              <w:rPr>
                <w:rFonts w:hint="default" w:ascii="Times New Roman" w:hAnsi="Times New Roman" w:eastAsia="宋体" w:cs="Times New Roman"/>
                <w:b w:val="0"/>
                <w:bCs/>
                <w:color w:val="auto"/>
                <w:sz w:val="24"/>
                <w:szCs w:val="24"/>
                <w:highlight w:val="none"/>
                <w:lang w:val="en-US" w:eastAsia="zh-CN"/>
              </w:rPr>
              <w:t>，取最大值，故S=100。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根据上表可求得：本项目锅炉安装低氮燃烧器</w:t>
            </w:r>
            <w:r>
              <w:rPr>
                <w:rFonts w:hint="eastAsia" w:cs="Times New Roman"/>
                <w:b w:val="0"/>
                <w:bCs/>
                <w:color w:val="auto"/>
                <w:sz w:val="24"/>
                <w:szCs w:val="24"/>
                <w:highlight w:val="none"/>
                <w:lang w:val="en-US" w:eastAsia="zh-CN"/>
              </w:rPr>
              <w:t>，可达到国际领先水平</w:t>
            </w:r>
            <w:r>
              <w:rPr>
                <w:rFonts w:hint="default" w:ascii="Times New Roman" w:hAnsi="Times New Roman" w:eastAsia="宋体" w:cs="Times New Roman"/>
                <w:b w:val="0"/>
                <w:bCs/>
                <w:color w:val="auto"/>
                <w:sz w:val="24"/>
                <w:szCs w:val="24"/>
                <w:highlight w:val="none"/>
                <w:lang w:val="en-US" w:eastAsia="zh-CN"/>
              </w:rPr>
              <w:t>，该项目的燃气废气产生的烟气量为1400</w:t>
            </w:r>
            <w:r>
              <w:rPr>
                <w:rFonts w:hint="eastAsia" w:cs="Times New Roman"/>
                <w:b w:val="0"/>
                <w:bCs/>
                <w:color w:val="auto"/>
                <w:sz w:val="24"/>
                <w:szCs w:val="24"/>
                <w:highlight w:val="none"/>
                <w:lang w:val="en-US" w:eastAsia="zh-CN"/>
              </w:rPr>
              <w:t>8</w:t>
            </w:r>
            <w:r>
              <w:rPr>
                <w:rFonts w:hint="default" w:ascii="Times New Roman" w:hAnsi="Times New Roman" w:eastAsia="宋体" w:cs="Times New Roman"/>
                <w:b w:val="0"/>
                <w:bCs/>
                <w:color w:val="auto"/>
                <w:sz w:val="24"/>
                <w:szCs w:val="24"/>
                <w:highlight w:val="none"/>
                <w:lang w:val="en-US" w:eastAsia="zh-CN"/>
              </w:rPr>
              <w:t>万m</w:t>
            </w:r>
            <w:r>
              <w:rPr>
                <w:rFonts w:hint="default" w:ascii="Times New Roman" w:hAnsi="Times New Roman" w:eastAsia="宋体" w:cs="Times New Roman"/>
                <w:b w:val="0"/>
                <w:bCs/>
                <w:color w:val="auto"/>
                <w:sz w:val="24"/>
                <w:szCs w:val="24"/>
                <w:highlight w:val="none"/>
                <w:vertAlign w:val="superscript"/>
                <w:lang w:val="en-US" w:eastAsia="zh-CN"/>
              </w:rPr>
              <w:t>3</w:t>
            </w:r>
            <w:r>
              <w:rPr>
                <w:rFonts w:hint="default" w:ascii="Times New Roman" w:hAnsi="Times New Roman" w:eastAsia="宋体" w:cs="Times New Roman"/>
                <w:b w:val="0"/>
                <w:bCs/>
                <w:color w:val="auto"/>
                <w:sz w:val="24"/>
                <w:szCs w:val="24"/>
                <w:highlight w:val="none"/>
                <w:lang w:val="en-US" w:eastAsia="zh-CN"/>
              </w:rPr>
              <w:t>/a，SO</w:t>
            </w:r>
            <w:r>
              <w:rPr>
                <w:rFonts w:hint="default" w:ascii="Times New Roman" w:hAnsi="Times New Roman" w:eastAsia="宋体" w:cs="Times New Roman"/>
                <w:b w:val="0"/>
                <w:bCs/>
                <w:color w:val="auto"/>
                <w:sz w:val="24"/>
                <w:szCs w:val="24"/>
                <w:highlight w:val="none"/>
                <w:vertAlign w:val="subscript"/>
                <w:lang w:val="en-US" w:eastAsia="zh-CN"/>
              </w:rPr>
              <w:t>2</w:t>
            </w:r>
            <w:r>
              <w:rPr>
                <w:rFonts w:hint="default" w:ascii="Times New Roman" w:hAnsi="Times New Roman" w:eastAsia="宋体" w:cs="Times New Roman"/>
                <w:b w:val="0"/>
                <w:bCs/>
                <w:color w:val="auto"/>
                <w:sz w:val="24"/>
                <w:szCs w:val="24"/>
                <w:highlight w:val="none"/>
                <w:lang w:val="en-US" w:eastAsia="zh-CN"/>
              </w:rPr>
              <w:t>产生量为2.6t/a，产生浓度为18.56mg/m</w:t>
            </w:r>
            <w:r>
              <w:rPr>
                <w:rFonts w:hint="default" w:ascii="Times New Roman" w:hAnsi="Times New Roman" w:eastAsia="宋体" w:cs="Times New Roman"/>
                <w:b w:val="0"/>
                <w:bCs/>
                <w:color w:val="auto"/>
                <w:sz w:val="24"/>
                <w:szCs w:val="24"/>
                <w:highlight w:val="none"/>
                <w:vertAlign w:val="superscript"/>
                <w:lang w:val="en-US" w:eastAsia="zh-CN"/>
              </w:rPr>
              <w:t>3</w:t>
            </w:r>
            <w:r>
              <w:rPr>
                <w:rFonts w:hint="default" w:ascii="Times New Roman" w:hAnsi="Times New Roman" w:eastAsia="宋体" w:cs="Times New Roman"/>
                <w:b w:val="0"/>
                <w:bCs/>
                <w:color w:val="auto"/>
                <w:sz w:val="24"/>
                <w:szCs w:val="24"/>
                <w:highlight w:val="none"/>
                <w:lang w:val="en-US" w:eastAsia="zh-CN"/>
              </w:rPr>
              <w:t>，NO</w:t>
            </w:r>
            <w:r>
              <w:rPr>
                <w:rFonts w:hint="default" w:ascii="Times New Roman" w:hAnsi="Times New Roman" w:eastAsia="宋体" w:cs="Times New Roman"/>
                <w:b w:val="0"/>
                <w:bCs/>
                <w:color w:val="auto"/>
                <w:sz w:val="24"/>
                <w:szCs w:val="24"/>
                <w:highlight w:val="none"/>
                <w:vertAlign w:val="subscript"/>
                <w:lang w:val="en-US" w:eastAsia="zh-CN"/>
              </w:rPr>
              <w:t>X</w:t>
            </w:r>
            <w:r>
              <w:rPr>
                <w:rFonts w:hint="default" w:ascii="Times New Roman" w:hAnsi="Times New Roman" w:eastAsia="宋体" w:cs="Times New Roman"/>
                <w:b w:val="0"/>
                <w:bCs/>
                <w:color w:val="auto"/>
                <w:sz w:val="24"/>
                <w:szCs w:val="24"/>
                <w:highlight w:val="none"/>
                <w:lang w:val="en-US" w:eastAsia="zh-CN"/>
              </w:rPr>
              <w:t>产生量为3.9</w:t>
            </w:r>
            <w:r>
              <w:rPr>
                <w:rFonts w:hint="eastAsia" w:cs="Times New Roman"/>
                <w:b w:val="0"/>
                <w:bCs/>
                <w:color w:val="auto"/>
                <w:sz w:val="24"/>
                <w:szCs w:val="24"/>
                <w:highlight w:val="none"/>
                <w:lang w:val="en-US" w:eastAsia="zh-CN"/>
              </w:rPr>
              <w:t>4</w:t>
            </w:r>
            <w:r>
              <w:rPr>
                <w:rFonts w:hint="default" w:ascii="Times New Roman" w:hAnsi="Times New Roman" w:eastAsia="宋体" w:cs="Times New Roman"/>
                <w:b w:val="0"/>
                <w:bCs/>
                <w:color w:val="auto"/>
                <w:sz w:val="24"/>
                <w:szCs w:val="24"/>
                <w:highlight w:val="none"/>
                <w:lang w:val="en-US" w:eastAsia="zh-CN"/>
              </w:rPr>
              <w:t>t/a，NO</w:t>
            </w:r>
            <w:r>
              <w:rPr>
                <w:rFonts w:hint="default" w:ascii="Times New Roman" w:hAnsi="Times New Roman" w:eastAsia="宋体" w:cs="Times New Roman"/>
                <w:b w:val="0"/>
                <w:bCs/>
                <w:color w:val="auto"/>
                <w:sz w:val="24"/>
                <w:szCs w:val="24"/>
                <w:highlight w:val="none"/>
                <w:vertAlign w:val="subscript"/>
                <w:lang w:val="en-US" w:eastAsia="zh-CN"/>
              </w:rPr>
              <w:t>X</w:t>
            </w:r>
            <w:r>
              <w:rPr>
                <w:rFonts w:hint="default" w:ascii="Times New Roman" w:hAnsi="Times New Roman" w:eastAsia="宋体" w:cs="Times New Roman"/>
                <w:b w:val="0"/>
                <w:bCs/>
                <w:color w:val="auto"/>
                <w:sz w:val="24"/>
                <w:szCs w:val="24"/>
                <w:highlight w:val="none"/>
                <w:lang w:val="en-US" w:eastAsia="zh-CN"/>
              </w:rPr>
              <w:t>产生浓度为</w:t>
            </w:r>
            <w:r>
              <w:rPr>
                <w:rFonts w:hint="eastAsia" w:cs="Times New Roman"/>
                <w:b w:val="0"/>
                <w:bCs/>
                <w:color w:val="auto"/>
                <w:sz w:val="24"/>
                <w:szCs w:val="24"/>
                <w:highlight w:val="none"/>
                <w:lang w:val="en-US" w:eastAsia="zh-CN"/>
              </w:rPr>
              <w:t>28.13</w:t>
            </w:r>
            <w:r>
              <w:rPr>
                <w:rFonts w:hint="default" w:ascii="Times New Roman" w:hAnsi="Times New Roman" w:eastAsia="宋体" w:cs="Times New Roman"/>
                <w:b w:val="0"/>
                <w:bCs/>
                <w:color w:val="auto"/>
                <w:sz w:val="24"/>
                <w:szCs w:val="24"/>
                <w:highlight w:val="none"/>
                <w:lang w:val="en-US" w:eastAsia="zh-CN"/>
              </w:rPr>
              <w:t>mg/m</w:t>
            </w:r>
            <w:r>
              <w:rPr>
                <w:rFonts w:hint="default" w:ascii="Times New Roman" w:hAnsi="Times New Roman" w:eastAsia="宋体" w:cs="Times New Roman"/>
                <w:b w:val="0"/>
                <w:bCs/>
                <w:color w:val="auto"/>
                <w:sz w:val="24"/>
                <w:szCs w:val="24"/>
                <w:highlight w:val="none"/>
                <w:vertAlign w:val="superscript"/>
                <w:lang w:val="en-US" w:eastAsia="zh-CN"/>
              </w:rPr>
              <w:t>3</w:t>
            </w:r>
            <w:r>
              <w:rPr>
                <w:rFonts w:hint="default" w:ascii="Times New Roman" w:hAnsi="Times New Roman" w:eastAsia="宋体" w:cs="Times New Roman"/>
                <w:b w:val="0"/>
                <w:bCs/>
                <w:color w:val="auto"/>
                <w:sz w:val="24"/>
                <w:szCs w:val="24"/>
                <w:highlight w:val="none"/>
                <w:lang w:val="en-US" w:eastAsia="zh-CN"/>
              </w:rPr>
              <w:t>，颗粒物产生量为1.35t/a，产生浓度为9.64mg/m</w:t>
            </w:r>
            <w:r>
              <w:rPr>
                <w:rFonts w:hint="default" w:ascii="Times New Roman" w:hAnsi="Times New Roman" w:eastAsia="宋体" w:cs="Times New Roman"/>
                <w:b w:val="0"/>
                <w:bCs/>
                <w:color w:val="auto"/>
                <w:sz w:val="24"/>
                <w:szCs w:val="24"/>
                <w:highlight w:val="none"/>
                <w:vertAlign w:val="superscript"/>
                <w:lang w:val="en-US" w:eastAsia="zh-CN"/>
              </w:rPr>
              <w:t>3</w:t>
            </w:r>
            <w:r>
              <w:rPr>
                <w:rFonts w:hint="default" w:ascii="Times New Roman" w:hAnsi="Times New Roman" w:eastAsia="宋体" w:cs="Times New Roman"/>
                <w:b w:val="0"/>
                <w:bCs/>
                <w:color w:val="auto"/>
                <w:sz w:val="24"/>
                <w:szCs w:val="24"/>
                <w:highlight w:val="none"/>
                <w:lang w:val="en-US" w:eastAsia="zh-CN"/>
              </w:rPr>
              <w:t>，废气由</w:t>
            </w:r>
            <w:r>
              <w:rPr>
                <w:rFonts w:hint="eastAsia"/>
                <w:color w:val="auto"/>
                <w:sz w:val="24"/>
                <w:szCs w:val="24"/>
                <w:lang w:val="en-US" w:eastAsia="zh-CN"/>
              </w:rPr>
              <w:t>20米高</w:t>
            </w:r>
            <w:r>
              <w:rPr>
                <w:rFonts w:hint="default" w:ascii="Times New Roman" w:hAnsi="Times New Roman" w:eastAsia="宋体" w:cs="Times New Roman"/>
                <w:b w:val="0"/>
                <w:bCs/>
                <w:color w:val="auto"/>
                <w:sz w:val="24"/>
                <w:szCs w:val="24"/>
                <w:highlight w:val="none"/>
                <w:lang w:val="en-US" w:eastAsia="zh-CN"/>
              </w:rPr>
              <w:t>排气筒排放。</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color w:val="0000FF"/>
                <w:vertAlign w:val="baseline"/>
                <w:lang w:val="en-US" w:eastAsia="zh-CN"/>
              </w:rPr>
            </w:pPr>
            <w:r>
              <w:rPr>
                <w:rFonts w:hint="eastAsia"/>
                <w:color w:val="0000FF"/>
                <w:lang w:val="en-US" w:eastAsia="zh-CN"/>
              </w:rPr>
              <w:t>锅炉运行负荷为60%，所产废气烟气量为8405万</w:t>
            </w:r>
            <w:r>
              <w:rPr>
                <w:rFonts w:hint="default" w:ascii="Times New Roman" w:hAnsi="Times New Roman" w:eastAsia="宋体" w:cs="Times New Roman"/>
                <w:b w:val="0"/>
                <w:bCs/>
                <w:color w:val="0000FF"/>
                <w:sz w:val="24"/>
                <w:szCs w:val="24"/>
                <w:highlight w:val="none"/>
                <w:lang w:val="en-US" w:eastAsia="zh-CN"/>
              </w:rPr>
              <w:t>m</w:t>
            </w:r>
            <w:r>
              <w:rPr>
                <w:rFonts w:hint="default" w:ascii="Times New Roman" w:hAnsi="Times New Roman" w:eastAsia="宋体" w:cs="Times New Roman"/>
                <w:b w:val="0"/>
                <w:bCs/>
                <w:color w:val="0000FF"/>
                <w:sz w:val="24"/>
                <w:szCs w:val="24"/>
                <w:highlight w:val="none"/>
                <w:vertAlign w:val="superscript"/>
                <w:lang w:val="en-US" w:eastAsia="zh-CN"/>
              </w:rPr>
              <w:t>3</w:t>
            </w:r>
            <w:r>
              <w:rPr>
                <w:rFonts w:hint="default" w:ascii="Times New Roman" w:hAnsi="Times New Roman" w:eastAsia="宋体" w:cs="Times New Roman"/>
                <w:b w:val="0"/>
                <w:bCs/>
                <w:color w:val="0000FF"/>
                <w:sz w:val="24"/>
                <w:szCs w:val="24"/>
                <w:highlight w:val="none"/>
                <w:lang w:val="en-US" w:eastAsia="zh-CN"/>
              </w:rPr>
              <w:t>/a</w:t>
            </w:r>
            <w:r>
              <w:rPr>
                <w:rFonts w:hint="eastAsia" w:cs="Times New Roman"/>
                <w:b w:val="0"/>
                <w:bCs/>
                <w:color w:val="auto"/>
                <w:sz w:val="24"/>
                <w:szCs w:val="24"/>
                <w:highlight w:val="none"/>
                <w:lang w:val="en-US" w:eastAsia="zh-CN"/>
              </w:rPr>
              <w:t>，</w:t>
            </w:r>
            <w:r>
              <w:rPr>
                <w:rFonts w:hint="eastAsia"/>
                <w:color w:val="0000FF"/>
                <w:lang w:val="en-US" w:eastAsia="zh-CN"/>
              </w:rPr>
              <w:t>SO</w:t>
            </w:r>
            <w:r>
              <w:rPr>
                <w:rFonts w:hint="eastAsia"/>
                <w:color w:val="0000FF"/>
                <w:vertAlign w:val="subscript"/>
                <w:lang w:val="en-US" w:eastAsia="zh-CN"/>
              </w:rPr>
              <w:t>2</w:t>
            </w:r>
            <w:r>
              <w:rPr>
                <w:rFonts w:hint="eastAsia"/>
                <w:color w:val="0000FF"/>
                <w:vertAlign w:val="baseline"/>
                <w:lang w:val="en-US" w:eastAsia="zh-CN"/>
              </w:rPr>
              <w:t>产生量为1.56t/a，NO</w:t>
            </w:r>
            <w:r>
              <w:rPr>
                <w:rFonts w:hint="eastAsia"/>
                <w:color w:val="0000FF"/>
                <w:vertAlign w:val="subscript"/>
                <w:lang w:val="en-US" w:eastAsia="zh-CN"/>
              </w:rPr>
              <w:t>X</w:t>
            </w:r>
            <w:r>
              <w:rPr>
                <w:rFonts w:hint="eastAsia"/>
                <w:color w:val="0000FF"/>
                <w:vertAlign w:val="baseline"/>
                <w:lang w:val="en-US" w:eastAsia="zh-CN"/>
              </w:rPr>
              <w:t>产生量为2.36t/a，颗粒物产生量为0.81t/a。</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val="0"/>
                <w:color w:val="auto"/>
                <w:sz w:val="24"/>
                <w:szCs w:val="24"/>
                <w:highlight w:val="none"/>
                <w:lang w:val="en-US" w:eastAsia="zh-CN"/>
              </w:rPr>
            </w:pPr>
            <w:r>
              <w:rPr>
                <w:rFonts w:hint="eastAsia" w:cs="Times New Roman"/>
                <w:b/>
                <w:bCs w:val="0"/>
                <w:color w:val="auto"/>
                <w:sz w:val="24"/>
                <w:szCs w:val="24"/>
                <w:highlight w:val="none"/>
                <w:lang w:val="en-US" w:eastAsia="zh-CN"/>
              </w:rPr>
              <w:t>（2）</w:t>
            </w:r>
            <w:r>
              <w:rPr>
                <w:rFonts w:hint="default" w:ascii="Times New Roman" w:hAnsi="Times New Roman" w:eastAsia="宋体" w:cs="Times New Roman"/>
                <w:b/>
                <w:bCs w:val="0"/>
                <w:color w:val="auto"/>
                <w:sz w:val="24"/>
                <w:szCs w:val="24"/>
                <w:highlight w:val="none"/>
                <w:lang w:val="en-US" w:eastAsia="zh-CN"/>
              </w:rPr>
              <w:t>废气治理措施分析：</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根据《排污许可证申请与核发技术规范 锅炉》（HJ953-2018）、《工业锅炉污染防治可行技术指南》（HJ1179-2021），本项目治理工艺均属于可行技术。本项目锅炉安装低氮燃烧器，满足《锅炉大气污染物排放标准》(DB37/2374-2018)表 2 中的重点控制区要求（SO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≤50</w:t>
            </w:r>
            <w:r>
              <w:rPr>
                <w:rFonts w:hint="default" w:ascii="Times New Roman" w:hAnsi="Times New Roman" w:eastAsia="宋体" w:cs="Times New Roman"/>
                <w:b w:val="0"/>
                <w:bCs/>
                <w:color w:val="auto"/>
                <w:sz w:val="24"/>
                <w:szCs w:val="24"/>
                <w:highlight w:val="none"/>
                <w:lang w:val="en-US" w:eastAsia="zh-CN"/>
              </w:rPr>
              <w:t>mg/m</w:t>
            </w:r>
            <w:r>
              <w:rPr>
                <w:rFonts w:hint="default" w:ascii="Times New Roman" w:hAnsi="Times New Roman" w:eastAsia="宋体" w:cs="Times New Roman"/>
                <w:b w:val="0"/>
                <w:bCs/>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lang w:val="en-US" w:eastAsia="zh-CN"/>
              </w:rPr>
              <w:t>，烟尘≤10mg/m³</w:t>
            </w:r>
            <w:r>
              <w:rPr>
                <w:rFonts w:hint="eastAsia"/>
                <w:color w:val="auto"/>
                <w:lang w:eastAsia="zh-CN"/>
              </w:rPr>
              <w:t>，</w:t>
            </w:r>
            <w:r>
              <w:rPr>
                <w:rFonts w:hint="eastAsia"/>
                <w:color w:val="auto"/>
                <w:lang w:val="en-US" w:eastAsia="zh-CN"/>
              </w:rPr>
              <w:t>NO</w:t>
            </w:r>
            <w:r>
              <w:rPr>
                <w:rFonts w:hint="eastAsia"/>
                <w:color w:val="auto"/>
                <w:vertAlign w:val="subscript"/>
                <w:lang w:val="en-US" w:eastAsia="zh-CN"/>
              </w:rPr>
              <w:t>X</w:t>
            </w:r>
            <w:r>
              <w:rPr>
                <w:rFonts w:hint="eastAsia"/>
                <w:color w:val="auto"/>
                <w:vertAlign w:val="baseline"/>
                <w:lang w:val="en-US" w:eastAsia="zh-CN"/>
              </w:rPr>
              <w:t>&lt;100mg/m</w:t>
            </w:r>
            <w:r>
              <w:rPr>
                <w:rFonts w:hint="eastAsia"/>
                <w:color w:val="auto"/>
                <w:vertAlign w:val="superscript"/>
                <w:lang w:val="en-US" w:eastAsia="zh-CN"/>
              </w:rPr>
              <w:t>3</w:t>
            </w:r>
            <w:r>
              <w:rPr>
                <w:rFonts w:hint="default" w:ascii="Times New Roman" w:hAnsi="Times New Roman" w:eastAsia="宋体" w:cs="Times New Roman"/>
                <w:color w:val="auto"/>
                <w:sz w:val="24"/>
                <w:szCs w:val="24"/>
                <w:lang w:val="en-US" w:eastAsia="zh-CN"/>
              </w:rPr>
              <w:t>）。</w:t>
            </w:r>
          </w:p>
          <w:p>
            <w:pPr>
              <w:keepNext w:val="0"/>
              <w:keepLines w:val="0"/>
              <w:pageBreakBefore w:val="0"/>
              <w:kinsoku/>
              <w:wordWrap/>
              <w:overflowPunct/>
              <w:topLinePunct w:val="0"/>
              <w:autoSpaceDE/>
              <w:autoSpaceDN/>
              <w:bidi w:val="0"/>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污染物排放量核算：</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2" w:firstLineChars="200"/>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1、项目有组织排放量核算</w:t>
            </w:r>
          </w:p>
          <w:p>
            <w:pPr>
              <w:keepNext w:val="0"/>
              <w:keepLines w:val="0"/>
              <w:pageBreakBefore w:val="0"/>
              <w:numPr>
                <w:ilvl w:val="0"/>
                <w:numId w:val="0"/>
              </w:numPr>
              <w:kinsoku/>
              <w:wordWrap/>
              <w:overflowPunct/>
              <w:topLinePunct w:val="0"/>
              <w:autoSpaceDE/>
              <w:autoSpaceDN/>
              <w:bidi w:val="0"/>
              <w:spacing w:line="360" w:lineRule="auto"/>
              <w:jc w:val="center"/>
              <w:rPr>
                <w:rFonts w:hint="default" w:ascii="Times New Roman" w:hAnsi="Times New Roman" w:eastAsia="黑体" w:cs="Times New Roman"/>
                <w:b/>
                <w:bCs/>
                <w:color w:val="auto"/>
                <w:sz w:val="24"/>
                <w:szCs w:val="24"/>
                <w:lang w:val="en-US" w:eastAsia="zh-CN"/>
              </w:rPr>
            </w:pPr>
            <w:r>
              <w:rPr>
                <w:rFonts w:hint="default" w:ascii="Times New Roman" w:hAnsi="Times New Roman" w:eastAsia="黑体" w:cs="Times New Roman"/>
                <w:b/>
                <w:bCs/>
                <w:color w:val="0000FF"/>
                <w:sz w:val="24"/>
                <w:szCs w:val="24"/>
                <w:lang w:val="en-US" w:eastAsia="zh-CN"/>
              </w:rPr>
              <w:t>表</w:t>
            </w:r>
            <w:r>
              <w:rPr>
                <w:rFonts w:hint="eastAsia" w:eastAsia="黑体" w:cs="Times New Roman"/>
                <w:b/>
                <w:bCs/>
                <w:color w:val="0000FF"/>
                <w:sz w:val="24"/>
                <w:szCs w:val="24"/>
                <w:lang w:val="en-US" w:eastAsia="zh-CN"/>
              </w:rPr>
              <w:t>38满负荷运行工况下</w:t>
            </w:r>
            <w:r>
              <w:rPr>
                <w:rFonts w:hint="default" w:ascii="Times New Roman" w:hAnsi="Times New Roman" w:eastAsia="黑体" w:cs="Times New Roman"/>
                <w:b/>
                <w:bCs/>
                <w:color w:val="0000FF"/>
                <w:sz w:val="24"/>
                <w:szCs w:val="24"/>
                <w:lang w:val="en-US" w:eastAsia="zh-CN"/>
              </w:rPr>
              <w:t>项目大气污染物有组织排放量核算表</w:t>
            </w:r>
          </w:p>
          <w:tbl>
            <w:tblPr>
              <w:tblStyle w:val="20"/>
              <w:tblW w:w="793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06"/>
              <w:gridCol w:w="1919"/>
              <w:gridCol w:w="1770"/>
              <w:gridCol w:w="1770"/>
              <w:gridCol w:w="177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2625" w:type="dxa"/>
                  <w:gridSpan w:val="2"/>
                  <w:tcBorders>
                    <w:tl2br w:val="nil"/>
                    <w:tr2bl w:val="nil"/>
                  </w:tcBorders>
                  <w:noWrap w:val="0"/>
                  <w:vAlign w:val="center"/>
                </w:tcPr>
                <w:p>
                  <w:pPr>
                    <w:pStyle w:val="33"/>
                    <w:adjustRightInd w:val="0"/>
                    <w:snapToGrid w:val="0"/>
                    <w:spacing w:before="0" w:line="240" w:lineRule="auto"/>
                    <w:ind w:left="0" w:right="0"/>
                    <w:jc w:val="center"/>
                    <w:rPr>
                      <w:rFonts w:hint="default" w:ascii="Times New Roman" w:hAnsi="Times New Roman" w:eastAsia="宋体" w:cs="Times New Roman"/>
                      <w:color w:val="0000FF"/>
                      <w:spacing w:val="0"/>
                      <w:w w:val="100"/>
                      <w:position w:val="0"/>
                      <w:sz w:val="21"/>
                      <w:szCs w:val="21"/>
                      <w:highlight w:val="none"/>
                    </w:rPr>
                  </w:pPr>
                  <w:r>
                    <w:rPr>
                      <w:rFonts w:hint="default" w:ascii="Times New Roman" w:hAnsi="Times New Roman" w:eastAsia="宋体" w:cs="Times New Roman"/>
                      <w:color w:val="0000FF"/>
                      <w:spacing w:val="0"/>
                      <w:w w:val="100"/>
                      <w:position w:val="0"/>
                      <w:sz w:val="21"/>
                      <w:szCs w:val="21"/>
                      <w:highlight w:val="none"/>
                    </w:rPr>
                    <w:t>产污环节</w:t>
                  </w:r>
                </w:p>
              </w:tc>
              <w:tc>
                <w:tcPr>
                  <w:tcW w:w="5312" w:type="dxa"/>
                  <w:gridSpan w:val="3"/>
                  <w:tcBorders>
                    <w:tl2br w:val="nil"/>
                    <w:tr2bl w:val="nil"/>
                  </w:tcBorders>
                  <w:noWrap w:val="0"/>
                  <w:vAlign w:val="center"/>
                </w:tcPr>
                <w:p>
                  <w:pPr>
                    <w:pStyle w:val="33"/>
                    <w:adjustRightInd w:val="0"/>
                    <w:snapToGrid w:val="0"/>
                    <w:spacing w:before="0" w:line="240" w:lineRule="auto"/>
                    <w:ind w:left="0" w:leftChars="0" w:right="0" w:rightChars="0"/>
                    <w:jc w:val="center"/>
                    <w:rPr>
                      <w:rFonts w:hint="eastAsia" w:ascii="Times New Roman" w:hAnsi="Times New Roman" w:eastAsia="宋体" w:cs="Times New Roman"/>
                      <w:b w:val="0"/>
                      <w:bCs/>
                      <w:color w:val="0000FF"/>
                      <w:spacing w:val="0"/>
                      <w:sz w:val="21"/>
                      <w:szCs w:val="21"/>
                      <w:highlight w:val="none"/>
                      <w:lang w:val="en-US" w:eastAsia="zh-CN"/>
                    </w:rPr>
                  </w:pPr>
                  <w:r>
                    <w:rPr>
                      <w:rFonts w:hint="eastAsia" w:ascii="Times New Roman" w:hAnsi="Times New Roman" w:eastAsia="宋体" w:cs="Times New Roman"/>
                      <w:b w:val="0"/>
                      <w:bCs/>
                      <w:color w:val="0000FF"/>
                      <w:spacing w:val="0"/>
                      <w:sz w:val="21"/>
                      <w:szCs w:val="21"/>
                      <w:highlight w:val="none"/>
                      <w:lang w:val="en-US" w:eastAsia="zh-CN"/>
                    </w:rPr>
                    <w:t>锅炉</w:t>
                  </w:r>
                  <w:r>
                    <w:rPr>
                      <w:rFonts w:hint="eastAsia"/>
                      <w:color w:val="0000FF"/>
                      <w:lang w:eastAsia="zh-CN"/>
                    </w:rPr>
                    <w:t>生产中天然气燃烧</w:t>
                  </w:r>
                  <w:r>
                    <w:rPr>
                      <w:rFonts w:hint="eastAsia" w:ascii="Times New Roman" w:hAnsi="Times New Roman" w:eastAsia="宋体" w:cs="Times New Roman"/>
                      <w:b w:val="0"/>
                      <w:bCs/>
                      <w:color w:val="0000FF"/>
                      <w:spacing w:val="0"/>
                      <w:sz w:val="21"/>
                      <w:szCs w:val="21"/>
                      <w:highlight w:val="none"/>
                      <w:lang w:val="en-US" w:eastAsia="zh-CN"/>
                    </w:rPr>
                    <w:t>过程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2625" w:type="dxa"/>
                  <w:gridSpan w:val="2"/>
                  <w:tcBorders>
                    <w:tl2br w:val="nil"/>
                    <w:tr2bl w:val="nil"/>
                  </w:tcBorders>
                  <w:noWrap w:val="0"/>
                  <w:vAlign w:val="center"/>
                </w:tcPr>
                <w:p>
                  <w:pPr>
                    <w:pStyle w:val="33"/>
                    <w:adjustRightInd w:val="0"/>
                    <w:snapToGrid w:val="0"/>
                    <w:spacing w:before="0" w:line="240" w:lineRule="auto"/>
                    <w:ind w:left="0"/>
                    <w:jc w:val="center"/>
                    <w:rPr>
                      <w:rFonts w:hint="default" w:ascii="Times New Roman" w:hAnsi="Times New Roman" w:eastAsia="宋体" w:cs="Times New Roman"/>
                      <w:color w:val="0000FF"/>
                      <w:spacing w:val="0"/>
                      <w:w w:val="100"/>
                      <w:position w:val="0"/>
                      <w:sz w:val="21"/>
                      <w:szCs w:val="21"/>
                      <w:highlight w:val="none"/>
                    </w:rPr>
                  </w:pPr>
                  <w:r>
                    <w:rPr>
                      <w:rFonts w:hint="default" w:ascii="Times New Roman" w:hAnsi="Times New Roman" w:eastAsia="宋体" w:cs="Times New Roman"/>
                      <w:color w:val="0000FF"/>
                      <w:spacing w:val="0"/>
                      <w:w w:val="100"/>
                      <w:position w:val="0"/>
                      <w:sz w:val="21"/>
                      <w:szCs w:val="21"/>
                      <w:highlight w:val="none"/>
                    </w:rPr>
                    <w:t>污染物种类</w:t>
                  </w:r>
                </w:p>
              </w:tc>
              <w:tc>
                <w:tcPr>
                  <w:tcW w:w="1770" w:type="dxa"/>
                  <w:tcBorders>
                    <w:tl2br w:val="nil"/>
                    <w:tr2bl w:val="nil"/>
                  </w:tcBorders>
                  <w:noWrap w:val="0"/>
                  <w:vAlign w:val="center"/>
                </w:tcPr>
                <w:p>
                  <w:pPr>
                    <w:pStyle w:val="33"/>
                    <w:adjustRightInd w:val="0"/>
                    <w:snapToGrid w:val="0"/>
                    <w:spacing w:before="0" w:line="240" w:lineRule="auto"/>
                    <w:ind w:left="0" w:leftChars="0" w:right="0" w:rightChars="0"/>
                    <w:jc w:val="center"/>
                    <w:rPr>
                      <w:rFonts w:hint="default" w:ascii="Times New Roman" w:hAnsi="Times New Roman" w:eastAsia="宋体" w:cs="Times New Roman"/>
                      <w:color w:val="0000FF"/>
                      <w:spacing w:val="0"/>
                      <w:w w:val="100"/>
                      <w:kern w:val="2"/>
                      <w:position w:val="0"/>
                      <w:sz w:val="21"/>
                      <w:szCs w:val="21"/>
                      <w:highlight w:val="none"/>
                      <w:lang w:val="en-US" w:eastAsia="zh-CN" w:bidi="zh-CN"/>
                    </w:rPr>
                  </w:pPr>
                  <w:r>
                    <w:rPr>
                      <w:rFonts w:hint="eastAsia" w:ascii="Times New Roman" w:hAnsi="Times New Roman" w:cs="Times New Roman"/>
                      <w:color w:val="0000FF"/>
                      <w:spacing w:val="0"/>
                      <w:w w:val="100"/>
                      <w:position w:val="0"/>
                      <w:sz w:val="21"/>
                      <w:szCs w:val="21"/>
                      <w:highlight w:val="none"/>
                      <w:lang w:val="en-US" w:eastAsia="zh-CN"/>
                    </w:rPr>
                    <w:t>颗粒物</w:t>
                  </w:r>
                </w:p>
              </w:tc>
              <w:tc>
                <w:tcPr>
                  <w:tcW w:w="1770" w:type="dxa"/>
                  <w:tcBorders>
                    <w:tl2br w:val="nil"/>
                    <w:tr2bl w:val="nil"/>
                  </w:tcBorders>
                  <w:noWrap w:val="0"/>
                  <w:vAlign w:val="center"/>
                </w:tcPr>
                <w:p>
                  <w:pPr>
                    <w:pStyle w:val="33"/>
                    <w:adjustRightInd w:val="0"/>
                    <w:snapToGrid w:val="0"/>
                    <w:spacing w:before="0" w:line="240" w:lineRule="auto"/>
                    <w:ind w:left="0" w:leftChars="0" w:right="0" w:rightChars="0"/>
                    <w:jc w:val="center"/>
                    <w:rPr>
                      <w:rFonts w:hint="default" w:ascii="Times New Roman" w:hAnsi="Times New Roman" w:cs="Times New Roman"/>
                      <w:color w:val="0000FF"/>
                      <w:spacing w:val="0"/>
                      <w:w w:val="100"/>
                      <w:position w:val="0"/>
                      <w:sz w:val="21"/>
                      <w:szCs w:val="21"/>
                      <w:highlight w:val="none"/>
                      <w:lang w:val="en-US" w:eastAsia="zh-CN"/>
                    </w:rPr>
                  </w:pPr>
                  <w:r>
                    <w:rPr>
                      <w:rFonts w:hint="eastAsia" w:ascii="Times New Roman" w:hAnsi="Times New Roman" w:cs="Times New Roman"/>
                      <w:color w:val="0000FF"/>
                      <w:spacing w:val="0"/>
                      <w:w w:val="100"/>
                      <w:position w:val="0"/>
                      <w:sz w:val="21"/>
                      <w:szCs w:val="21"/>
                      <w:highlight w:val="none"/>
                      <w:lang w:val="en-US" w:eastAsia="zh-CN"/>
                    </w:rPr>
                    <w:t>SO</w:t>
                  </w:r>
                  <w:r>
                    <w:rPr>
                      <w:rFonts w:hint="eastAsia" w:ascii="Times New Roman" w:hAnsi="Times New Roman" w:cs="Times New Roman"/>
                      <w:color w:val="0000FF"/>
                      <w:spacing w:val="0"/>
                      <w:w w:val="100"/>
                      <w:position w:val="0"/>
                      <w:sz w:val="21"/>
                      <w:szCs w:val="21"/>
                      <w:highlight w:val="none"/>
                      <w:vertAlign w:val="subscript"/>
                      <w:lang w:val="en-US" w:eastAsia="zh-CN"/>
                    </w:rPr>
                    <w:t>2</w:t>
                  </w:r>
                </w:p>
              </w:tc>
              <w:tc>
                <w:tcPr>
                  <w:tcW w:w="1772" w:type="dxa"/>
                  <w:tcBorders>
                    <w:tl2br w:val="nil"/>
                    <w:tr2bl w:val="nil"/>
                  </w:tcBorders>
                  <w:noWrap w:val="0"/>
                  <w:vAlign w:val="center"/>
                </w:tcPr>
                <w:p>
                  <w:pPr>
                    <w:pStyle w:val="33"/>
                    <w:adjustRightInd w:val="0"/>
                    <w:snapToGrid w:val="0"/>
                    <w:spacing w:before="0" w:line="240" w:lineRule="auto"/>
                    <w:ind w:left="0" w:leftChars="0" w:right="0" w:rightChars="0"/>
                    <w:jc w:val="center"/>
                    <w:rPr>
                      <w:rFonts w:hint="eastAsia" w:ascii="Times New Roman" w:hAnsi="Times New Roman" w:cs="Times New Roman"/>
                      <w:color w:val="0000FF"/>
                      <w:spacing w:val="0"/>
                      <w:w w:val="100"/>
                      <w:position w:val="0"/>
                      <w:sz w:val="21"/>
                      <w:szCs w:val="21"/>
                      <w:highlight w:val="none"/>
                      <w:lang w:val="en-US" w:eastAsia="zh-CN"/>
                    </w:rPr>
                  </w:pPr>
                  <w:r>
                    <w:rPr>
                      <w:rFonts w:hint="eastAsia" w:ascii="Times New Roman" w:hAnsi="Times New Roman" w:cs="Times New Roman"/>
                      <w:color w:val="0000FF"/>
                      <w:spacing w:val="0"/>
                      <w:w w:val="100"/>
                      <w:position w:val="0"/>
                      <w:sz w:val="21"/>
                      <w:szCs w:val="21"/>
                      <w:highlight w:val="none"/>
                      <w:lang w:val="en-US" w:eastAsia="zh-CN"/>
                    </w:rPr>
                    <w:t>NOx</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2625" w:type="dxa"/>
                  <w:gridSpan w:val="2"/>
                  <w:tcBorders>
                    <w:tl2br w:val="nil"/>
                    <w:tr2bl w:val="nil"/>
                  </w:tcBorders>
                  <w:noWrap w:val="0"/>
                  <w:vAlign w:val="center"/>
                </w:tcPr>
                <w:p>
                  <w:pPr>
                    <w:pStyle w:val="33"/>
                    <w:adjustRightInd w:val="0"/>
                    <w:snapToGrid w:val="0"/>
                    <w:spacing w:before="0" w:line="240" w:lineRule="auto"/>
                    <w:ind w:left="0"/>
                    <w:jc w:val="center"/>
                    <w:rPr>
                      <w:rFonts w:hint="default" w:ascii="Times New Roman" w:hAnsi="Times New Roman" w:eastAsia="宋体" w:cs="Times New Roman"/>
                      <w:color w:val="0000FF"/>
                      <w:spacing w:val="0"/>
                      <w:w w:val="100"/>
                      <w:position w:val="0"/>
                      <w:sz w:val="21"/>
                      <w:szCs w:val="21"/>
                      <w:highlight w:val="none"/>
                      <w:lang w:eastAsia="zh-CN"/>
                    </w:rPr>
                  </w:pPr>
                  <w:r>
                    <w:rPr>
                      <w:rFonts w:hint="default" w:ascii="Times New Roman" w:hAnsi="Times New Roman" w:eastAsia="宋体" w:cs="Times New Roman"/>
                      <w:color w:val="0000FF"/>
                      <w:spacing w:val="0"/>
                      <w:w w:val="100"/>
                      <w:position w:val="0"/>
                      <w:sz w:val="21"/>
                      <w:szCs w:val="21"/>
                      <w:highlight w:val="none"/>
                    </w:rPr>
                    <w:t>污染物产生</w:t>
                  </w:r>
                  <w:r>
                    <w:rPr>
                      <w:rFonts w:hint="default" w:ascii="Times New Roman" w:hAnsi="Times New Roman" w:eastAsia="宋体" w:cs="Times New Roman"/>
                      <w:color w:val="0000FF"/>
                      <w:spacing w:val="0"/>
                      <w:w w:val="100"/>
                      <w:position w:val="0"/>
                      <w:sz w:val="21"/>
                      <w:szCs w:val="21"/>
                      <w:highlight w:val="none"/>
                      <w:lang w:eastAsia="zh-CN"/>
                    </w:rPr>
                    <w:t>速率</w:t>
                  </w:r>
                  <w:r>
                    <w:rPr>
                      <w:rFonts w:hint="eastAsia" w:ascii="Times New Roman" w:hAnsi="Times New Roman" w:cs="Times New Roman"/>
                      <w:color w:val="0000FF"/>
                      <w:spacing w:val="0"/>
                      <w:w w:val="100"/>
                      <w:position w:val="0"/>
                      <w:sz w:val="21"/>
                      <w:szCs w:val="21"/>
                      <w:highlight w:val="none"/>
                      <w:lang w:eastAsia="zh-CN"/>
                    </w:rPr>
                    <w:t>（</w:t>
                  </w:r>
                  <w:r>
                    <w:rPr>
                      <w:rFonts w:hint="default" w:ascii="Times New Roman" w:hAnsi="Times New Roman" w:eastAsia="宋体" w:cs="Times New Roman"/>
                      <w:color w:val="0000FF"/>
                      <w:spacing w:val="0"/>
                      <w:w w:val="100"/>
                      <w:position w:val="0"/>
                      <w:sz w:val="21"/>
                      <w:szCs w:val="21"/>
                      <w:highlight w:val="none"/>
                      <w:lang w:val="en-US" w:eastAsia="zh-CN"/>
                    </w:rPr>
                    <w:t>kg/h</w:t>
                  </w:r>
                  <w:r>
                    <w:rPr>
                      <w:rFonts w:hint="eastAsia" w:ascii="Times New Roman" w:hAnsi="Times New Roman" w:cs="Times New Roman"/>
                      <w:color w:val="0000FF"/>
                      <w:spacing w:val="0"/>
                      <w:w w:val="100"/>
                      <w:position w:val="0"/>
                      <w:sz w:val="21"/>
                      <w:szCs w:val="21"/>
                      <w:highlight w:val="none"/>
                      <w:lang w:eastAsia="zh-CN"/>
                    </w:rPr>
                    <w:t>）</w:t>
                  </w:r>
                </w:p>
              </w:tc>
              <w:tc>
                <w:tcPr>
                  <w:tcW w:w="177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pacing w:val="0"/>
                      <w:w w:val="100"/>
                      <w:kern w:val="2"/>
                      <w:position w:val="0"/>
                      <w:sz w:val="21"/>
                      <w:szCs w:val="21"/>
                      <w:highlight w:val="none"/>
                      <w:lang w:val="en-US" w:eastAsia="zh-CN" w:bidi="ar-SA"/>
                    </w:rPr>
                  </w:pPr>
                  <w:r>
                    <w:rPr>
                      <w:rFonts w:hint="eastAsia" w:ascii="Times New Roman" w:hAnsi="Times New Roman" w:eastAsia="宋体" w:cs="Times New Roman"/>
                      <w:color w:val="0000FF"/>
                      <w:spacing w:val="0"/>
                      <w:w w:val="100"/>
                      <w:kern w:val="2"/>
                      <w:position w:val="0"/>
                      <w:sz w:val="21"/>
                      <w:szCs w:val="21"/>
                      <w:highlight w:val="none"/>
                      <w:lang w:val="en-US" w:eastAsia="zh-CN" w:bidi="ar-SA"/>
                    </w:rPr>
                    <w:t>0.1</w:t>
                  </w:r>
                  <w:r>
                    <w:rPr>
                      <w:rFonts w:hint="eastAsia" w:cs="Times New Roman"/>
                      <w:color w:val="0000FF"/>
                      <w:spacing w:val="0"/>
                      <w:w w:val="100"/>
                      <w:kern w:val="2"/>
                      <w:position w:val="0"/>
                      <w:sz w:val="21"/>
                      <w:szCs w:val="21"/>
                      <w:highlight w:val="none"/>
                      <w:lang w:val="en-US" w:eastAsia="zh-CN" w:bidi="ar-SA"/>
                    </w:rPr>
                    <w:t>9</w:t>
                  </w:r>
                </w:p>
              </w:tc>
              <w:tc>
                <w:tcPr>
                  <w:tcW w:w="177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pacing w:val="0"/>
                      <w:w w:val="100"/>
                      <w:kern w:val="2"/>
                      <w:position w:val="0"/>
                      <w:sz w:val="21"/>
                      <w:szCs w:val="21"/>
                      <w:highlight w:val="none"/>
                      <w:lang w:val="en-US" w:eastAsia="zh-CN" w:bidi="ar-SA"/>
                    </w:rPr>
                  </w:pPr>
                  <w:r>
                    <w:rPr>
                      <w:rFonts w:hint="eastAsia" w:ascii="Times New Roman" w:hAnsi="Times New Roman" w:eastAsia="宋体" w:cs="Times New Roman"/>
                      <w:color w:val="0000FF"/>
                      <w:spacing w:val="0"/>
                      <w:w w:val="100"/>
                      <w:kern w:val="2"/>
                      <w:position w:val="0"/>
                      <w:sz w:val="21"/>
                      <w:szCs w:val="21"/>
                      <w:highlight w:val="none"/>
                      <w:lang w:val="en-US" w:eastAsia="zh-CN" w:bidi="ar-SA"/>
                    </w:rPr>
                    <w:t>0.3</w:t>
                  </w:r>
                  <w:r>
                    <w:rPr>
                      <w:rFonts w:hint="eastAsia" w:cs="Times New Roman"/>
                      <w:color w:val="0000FF"/>
                      <w:spacing w:val="0"/>
                      <w:w w:val="100"/>
                      <w:kern w:val="2"/>
                      <w:position w:val="0"/>
                      <w:sz w:val="21"/>
                      <w:szCs w:val="21"/>
                      <w:highlight w:val="none"/>
                      <w:lang w:val="en-US" w:eastAsia="zh-CN" w:bidi="ar-SA"/>
                    </w:rPr>
                    <w:t>6</w:t>
                  </w:r>
                </w:p>
              </w:tc>
              <w:tc>
                <w:tcPr>
                  <w:tcW w:w="177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pacing w:val="0"/>
                      <w:w w:val="100"/>
                      <w:kern w:val="2"/>
                      <w:position w:val="0"/>
                      <w:sz w:val="21"/>
                      <w:szCs w:val="21"/>
                      <w:highlight w:val="none"/>
                      <w:lang w:val="en-US" w:eastAsia="zh-CN" w:bidi="ar-SA"/>
                    </w:rPr>
                  </w:pPr>
                  <w:r>
                    <w:rPr>
                      <w:rFonts w:hint="eastAsia" w:ascii="Times New Roman" w:hAnsi="Times New Roman" w:eastAsia="宋体" w:cs="Times New Roman"/>
                      <w:color w:val="0000FF"/>
                      <w:spacing w:val="0"/>
                      <w:w w:val="100"/>
                      <w:kern w:val="2"/>
                      <w:position w:val="0"/>
                      <w:sz w:val="21"/>
                      <w:szCs w:val="21"/>
                      <w:highlight w:val="none"/>
                      <w:lang w:val="en-US" w:eastAsia="zh-CN" w:bidi="ar-SA"/>
                    </w:rPr>
                    <w:t>0.5</w:t>
                  </w:r>
                  <w:r>
                    <w:rPr>
                      <w:rFonts w:hint="eastAsia" w:cs="Times New Roman"/>
                      <w:color w:val="0000FF"/>
                      <w:spacing w:val="0"/>
                      <w:w w:val="100"/>
                      <w:kern w:val="2"/>
                      <w:position w:val="0"/>
                      <w:sz w:val="21"/>
                      <w:szCs w:val="21"/>
                      <w:highlight w:val="none"/>
                      <w:lang w:val="en-US" w:eastAsia="zh-CN" w:bidi="ar-SA"/>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2625" w:type="dxa"/>
                  <w:gridSpan w:val="2"/>
                  <w:tcBorders>
                    <w:tl2br w:val="nil"/>
                    <w:tr2bl w:val="nil"/>
                  </w:tcBorders>
                  <w:noWrap w:val="0"/>
                  <w:vAlign w:val="center"/>
                </w:tcPr>
                <w:p>
                  <w:pPr>
                    <w:pStyle w:val="33"/>
                    <w:adjustRightInd w:val="0"/>
                    <w:snapToGrid w:val="0"/>
                    <w:spacing w:before="0" w:line="240" w:lineRule="auto"/>
                    <w:ind w:left="0"/>
                    <w:jc w:val="center"/>
                    <w:rPr>
                      <w:rFonts w:hint="eastAsia" w:ascii="Times New Roman" w:hAnsi="Times New Roman" w:eastAsia="宋体" w:cs="Times New Roman"/>
                      <w:color w:val="0000FF"/>
                      <w:spacing w:val="0"/>
                      <w:w w:val="100"/>
                      <w:position w:val="0"/>
                      <w:sz w:val="21"/>
                      <w:szCs w:val="21"/>
                      <w:highlight w:val="none"/>
                      <w:lang w:eastAsia="zh-CN"/>
                    </w:rPr>
                  </w:pPr>
                  <w:r>
                    <w:rPr>
                      <w:rFonts w:hint="default" w:ascii="Times New Roman" w:hAnsi="Times New Roman" w:eastAsia="宋体" w:cs="Times New Roman"/>
                      <w:color w:val="0000FF"/>
                      <w:spacing w:val="0"/>
                      <w:w w:val="100"/>
                      <w:position w:val="0"/>
                      <w:sz w:val="21"/>
                      <w:szCs w:val="21"/>
                      <w:highlight w:val="none"/>
                    </w:rPr>
                    <w:t>污染物产生浓度</w:t>
                  </w:r>
                  <w:r>
                    <w:rPr>
                      <w:rFonts w:hint="eastAsia" w:ascii="Times New Roman" w:hAnsi="Times New Roman" w:cs="Times New Roman"/>
                      <w:color w:val="0000FF"/>
                      <w:spacing w:val="0"/>
                      <w:w w:val="100"/>
                      <w:position w:val="0"/>
                      <w:sz w:val="21"/>
                      <w:szCs w:val="21"/>
                      <w:highlight w:val="none"/>
                      <w:lang w:eastAsia="zh-CN"/>
                    </w:rPr>
                    <w:t>（</w:t>
                  </w:r>
                  <w:r>
                    <w:rPr>
                      <w:rFonts w:hint="default" w:ascii="Times New Roman" w:hAnsi="Times New Roman" w:eastAsia="宋体" w:cs="Times New Roman"/>
                      <w:color w:val="0000FF"/>
                      <w:spacing w:val="0"/>
                      <w:w w:val="100"/>
                      <w:kern w:val="2"/>
                      <w:position w:val="0"/>
                      <w:sz w:val="21"/>
                      <w:szCs w:val="21"/>
                      <w:highlight w:val="none"/>
                      <w:lang w:val="zh-CN" w:eastAsia="zh-CN" w:bidi="zh-CN"/>
                    </w:rPr>
                    <w:t>mg/m</w:t>
                  </w:r>
                  <w:r>
                    <w:rPr>
                      <w:rFonts w:hint="default" w:ascii="Times New Roman" w:hAnsi="Times New Roman" w:eastAsia="宋体" w:cs="Times New Roman"/>
                      <w:color w:val="0000FF"/>
                      <w:spacing w:val="0"/>
                      <w:w w:val="100"/>
                      <w:kern w:val="2"/>
                      <w:position w:val="0"/>
                      <w:sz w:val="21"/>
                      <w:szCs w:val="21"/>
                      <w:highlight w:val="none"/>
                      <w:vertAlign w:val="superscript"/>
                      <w:lang w:val="zh-CN" w:eastAsia="zh-CN" w:bidi="zh-CN"/>
                    </w:rPr>
                    <w:t>3</w:t>
                  </w:r>
                  <w:r>
                    <w:rPr>
                      <w:rFonts w:hint="eastAsia" w:ascii="Times New Roman" w:hAnsi="Times New Roman" w:cs="Times New Roman"/>
                      <w:color w:val="0000FF"/>
                      <w:spacing w:val="0"/>
                      <w:w w:val="100"/>
                      <w:position w:val="0"/>
                      <w:sz w:val="21"/>
                      <w:szCs w:val="21"/>
                      <w:highlight w:val="none"/>
                      <w:lang w:eastAsia="zh-CN"/>
                    </w:rPr>
                    <w:t>）</w:t>
                  </w:r>
                </w:p>
              </w:tc>
              <w:tc>
                <w:tcPr>
                  <w:tcW w:w="177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pacing w:val="0"/>
                      <w:w w:val="100"/>
                      <w:kern w:val="2"/>
                      <w:position w:val="0"/>
                      <w:sz w:val="21"/>
                      <w:szCs w:val="21"/>
                      <w:highlight w:val="none"/>
                      <w:lang w:val="en-US" w:eastAsia="zh-CN" w:bidi="zh-CN"/>
                    </w:rPr>
                  </w:pPr>
                  <w:r>
                    <w:rPr>
                      <w:rFonts w:hint="eastAsia" w:ascii="Times New Roman" w:hAnsi="Times New Roman" w:eastAsia="宋体" w:cs="Times New Roman"/>
                      <w:color w:val="0000FF"/>
                      <w:spacing w:val="0"/>
                      <w:w w:val="100"/>
                      <w:kern w:val="2"/>
                      <w:position w:val="0"/>
                      <w:sz w:val="21"/>
                      <w:szCs w:val="21"/>
                      <w:highlight w:val="none"/>
                      <w:lang w:val="en-US" w:eastAsia="zh-CN" w:bidi="zh-CN"/>
                    </w:rPr>
                    <w:t>9.64</w:t>
                  </w:r>
                </w:p>
              </w:tc>
              <w:tc>
                <w:tcPr>
                  <w:tcW w:w="177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pacing w:val="0"/>
                      <w:w w:val="100"/>
                      <w:kern w:val="2"/>
                      <w:position w:val="0"/>
                      <w:sz w:val="21"/>
                      <w:szCs w:val="21"/>
                      <w:highlight w:val="none"/>
                      <w:lang w:val="en-US" w:eastAsia="zh-CN" w:bidi="zh-CN"/>
                    </w:rPr>
                  </w:pPr>
                  <w:r>
                    <w:rPr>
                      <w:rFonts w:hint="eastAsia" w:ascii="Times New Roman" w:hAnsi="Times New Roman" w:eastAsia="宋体" w:cs="Times New Roman"/>
                      <w:color w:val="0000FF"/>
                      <w:spacing w:val="0"/>
                      <w:w w:val="100"/>
                      <w:kern w:val="2"/>
                      <w:position w:val="0"/>
                      <w:sz w:val="21"/>
                      <w:szCs w:val="21"/>
                      <w:highlight w:val="none"/>
                      <w:lang w:val="en-US" w:eastAsia="zh-CN" w:bidi="zh-CN"/>
                    </w:rPr>
                    <w:t>18.56</w:t>
                  </w:r>
                </w:p>
              </w:tc>
              <w:tc>
                <w:tcPr>
                  <w:tcW w:w="177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pacing w:val="0"/>
                      <w:w w:val="100"/>
                      <w:kern w:val="2"/>
                      <w:position w:val="0"/>
                      <w:sz w:val="21"/>
                      <w:szCs w:val="21"/>
                      <w:highlight w:val="none"/>
                      <w:lang w:val="en-US" w:eastAsia="zh-CN" w:bidi="zh-CN"/>
                    </w:rPr>
                  </w:pPr>
                  <w:r>
                    <w:rPr>
                      <w:rFonts w:hint="eastAsia" w:ascii="Times New Roman" w:hAnsi="Times New Roman" w:eastAsia="宋体" w:cs="Times New Roman"/>
                      <w:color w:val="0000FF"/>
                      <w:spacing w:val="0"/>
                      <w:w w:val="100"/>
                      <w:kern w:val="2"/>
                      <w:position w:val="0"/>
                      <w:sz w:val="21"/>
                      <w:szCs w:val="21"/>
                      <w:highlight w:val="none"/>
                      <w:lang w:val="en-US" w:eastAsia="zh-CN" w:bidi="zh-CN"/>
                    </w:rPr>
                    <w:t>28.13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2625" w:type="dxa"/>
                  <w:gridSpan w:val="2"/>
                  <w:tcBorders>
                    <w:tl2br w:val="nil"/>
                    <w:tr2bl w:val="nil"/>
                  </w:tcBorders>
                  <w:noWrap w:val="0"/>
                  <w:vAlign w:val="center"/>
                </w:tcPr>
                <w:p>
                  <w:pPr>
                    <w:pStyle w:val="33"/>
                    <w:adjustRightInd w:val="0"/>
                    <w:snapToGrid w:val="0"/>
                    <w:spacing w:before="0" w:line="240" w:lineRule="auto"/>
                    <w:ind w:left="0"/>
                    <w:jc w:val="center"/>
                    <w:rPr>
                      <w:rFonts w:hint="eastAsia" w:ascii="Times New Roman" w:hAnsi="Times New Roman" w:eastAsia="宋体" w:cs="Times New Roman"/>
                      <w:color w:val="0000FF"/>
                      <w:spacing w:val="0"/>
                      <w:w w:val="100"/>
                      <w:position w:val="0"/>
                      <w:sz w:val="21"/>
                      <w:szCs w:val="21"/>
                      <w:highlight w:val="none"/>
                      <w:lang w:eastAsia="zh-CN"/>
                    </w:rPr>
                  </w:pPr>
                  <w:r>
                    <w:rPr>
                      <w:rFonts w:hint="default" w:ascii="Times New Roman" w:hAnsi="Times New Roman" w:eastAsia="宋体" w:cs="Times New Roman"/>
                      <w:color w:val="0000FF"/>
                      <w:spacing w:val="0"/>
                      <w:w w:val="100"/>
                      <w:position w:val="0"/>
                      <w:sz w:val="21"/>
                      <w:szCs w:val="21"/>
                      <w:highlight w:val="none"/>
                    </w:rPr>
                    <w:t>污染物产生量</w:t>
                  </w:r>
                  <w:r>
                    <w:rPr>
                      <w:rFonts w:hint="eastAsia" w:ascii="Times New Roman" w:hAnsi="Times New Roman" w:cs="Times New Roman"/>
                      <w:color w:val="0000FF"/>
                      <w:spacing w:val="0"/>
                      <w:w w:val="100"/>
                      <w:position w:val="0"/>
                      <w:sz w:val="21"/>
                      <w:szCs w:val="21"/>
                      <w:highlight w:val="none"/>
                      <w:lang w:eastAsia="zh-CN"/>
                    </w:rPr>
                    <w:t>（</w:t>
                  </w:r>
                  <w:r>
                    <w:rPr>
                      <w:rFonts w:hint="default" w:ascii="Times New Roman" w:hAnsi="Times New Roman" w:eastAsia="宋体" w:cs="Times New Roman"/>
                      <w:color w:val="0000FF"/>
                      <w:spacing w:val="0"/>
                      <w:w w:val="100"/>
                      <w:kern w:val="2"/>
                      <w:position w:val="0"/>
                      <w:sz w:val="21"/>
                      <w:szCs w:val="21"/>
                      <w:highlight w:val="none"/>
                      <w:lang w:val="zh-CN" w:eastAsia="zh-CN" w:bidi="zh-CN"/>
                    </w:rPr>
                    <w:t>t/a</w:t>
                  </w:r>
                  <w:r>
                    <w:rPr>
                      <w:rFonts w:hint="eastAsia" w:ascii="Times New Roman" w:hAnsi="Times New Roman" w:cs="Times New Roman"/>
                      <w:color w:val="0000FF"/>
                      <w:spacing w:val="0"/>
                      <w:w w:val="100"/>
                      <w:position w:val="0"/>
                      <w:sz w:val="21"/>
                      <w:szCs w:val="21"/>
                      <w:highlight w:val="none"/>
                      <w:lang w:eastAsia="zh-CN"/>
                    </w:rPr>
                    <w:t>）</w:t>
                  </w:r>
                </w:p>
              </w:tc>
              <w:tc>
                <w:tcPr>
                  <w:tcW w:w="177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pacing w:val="0"/>
                      <w:w w:val="100"/>
                      <w:kern w:val="2"/>
                      <w:position w:val="0"/>
                      <w:sz w:val="21"/>
                      <w:szCs w:val="21"/>
                      <w:highlight w:val="none"/>
                      <w:lang w:val="en-US" w:eastAsia="zh-CN" w:bidi="zh-CN"/>
                    </w:rPr>
                  </w:pPr>
                  <w:r>
                    <w:rPr>
                      <w:rFonts w:hint="eastAsia" w:ascii="Times New Roman" w:hAnsi="Times New Roman" w:eastAsia="宋体" w:cs="Times New Roman"/>
                      <w:color w:val="0000FF"/>
                      <w:spacing w:val="0"/>
                      <w:w w:val="100"/>
                      <w:kern w:val="2"/>
                      <w:position w:val="0"/>
                      <w:sz w:val="21"/>
                      <w:szCs w:val="21"/>
                      <w:highlight w:val="none"/>
                      <w:lang w:val="en-US" w:eastAsia="zh-CN" w:bidi="zh-CN"/>
                    </w:rPr>
                    <w:t>1.35</w:t>
                  </w:r>
                </w:p>
              </w:tc>
              <w:tc>
                <w:tcPr>
                  <w:tcW w:w="177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pacing w:val="0"/>
                      <w:w w:val="100"/>
                      <w:kern w:val="2"/>
                      <w:position w:val="0"/>
                      <w:sz w:val="21"/>
                      <w:szCs w:val="21"/>
                      <w:highlight w:val="none"/>
                      <w:lang w:val="en-US" w:eastAsia="zh-CN" w:bidi="zh-CN"/>
                    </w:rPr>
                  </w:pPr>
                  <w:r>
                    <w:rPr>
                      <w:rFonts w:hint="eastAsia" w:ascii="Times New Roman" w:hAnsi="Times New Roman" w:eastAsia="宋体" w:cs="Times New Roman"/>
                      <w:color w:val="0000FF"/>
                      <w:spacing w:val="0"/>
                      <w:w w:val="100"/>
                      <w:kern w:val="2"/>
                      <w:position w:val="0"/>
                      <w:sz w:val="21"/>
                      <w:szCs w:val="21"/>
                      <w:highlight w:val="none"/>
                      <w:lang w:val="en-US" w:eastAsia="zh-CN" w:bidi="zh-CN"/>
                    </w:rPr>
                    <w:t>2.60</w:t>
                  </w:r>
                </w:p>
              </w:tc>
              <w:tc>
                <w:tcPr>
                  <w:tcW w:w="177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pacing w:val="0"/>
                      <w:w w:val="100"/>
                      <w:kern w:val="2"/>
                      <w:position w:val="0"/>
                      <w:sz w:val="21"/>
                      <w:szCs w:val="21"/>
                      <w:highlight w:val="none"/>
                      <w:lang w:val="en-US" w:eastAsia="zh-CN" w:bidi="zh-CN"/>
                    </w:rPr>
                  </w:pPr>
                  <w:r>
                    <w:rPr>
                      <w:rFonts w:hint="eastAsia" w:ascii="Times New Roman" w:hAnsi="Times New Roman" w:eastAsia="宋体" w:cs="Times New Roman"/>
                      <w:color w:val="0000FF"/>
                      <w:spacing w:val="0"/>
                      <w:w w:val="100"/>
                      <w:kern w:val="2"/>
                      <w:position w:val="0"/>
                      <w:sz w:val="21"/>
                      <w:szCs w:val="21"/>
                      <w:highlight w:val="none"/>
                      <w:lang w:val="en-US" w:eastAsia="zh-CN" w:bidi="zh-CN"/>
                    </w:rPr>
                    <w:t>3.94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2625" w:type="dxa"/>
                  <w:gridSpan w:val="2"/>
                  <w:tcBorders>
                    <w:tl2br w:val="nil"/>
                    <w:tr2bl w:val="nil"/>
                  </w:tcBorders>
                  <w:noWrap w:val="0"/>
                  <w:vAlign w:val="center"/>
                </w:tcPr>
                <w:p>
                  <w:pPr>
                    <w:pStyle w:val="33"/>
                    <w:adjustRightInd w:val="0"/>
                    <w:snapToGrid w:val="0"/>
                    <w:spacing w:before="0" w:line="240" w:lineRule="auto"/>
                    <w:ind w:left="0" w:right="0"/>
                    <w:jc w:val="center"/>
                    <w:rPr>
                      <w:rFonts w:hint="default" w:ascii="Times New Roman" w:hAnsi="Times New Roman" w:eastAsia="宋体" w:cs="Times New Roman"/>
                      <w:color w:val="0000FF"/>
                      <w:spacing w:val="0"/>
                      <w:w w:val="100"/>
                      <w:position w:val="0"/>
                      <w:sz w:val="21"/>
                      <w:szCs w:val="21"/>
                      <w:highlight w:val="none"/>
                    </w:rPr>
                  </w:pPr>
                  <w:r>
                    <w:rPr>
                      <w:rFonts w:hint="default" w:ascii="Times New Roman" w:hAnsi="Times New Roman" w:eastAsia="宋体" w:cs="Times New Roman"/>
                      <w:color w:val="0000FF"/>
                      <w:spacing w:val="0"/>
                      <w:w w:val="100"/>
                      <w:position w:val="0"/>
                      <w:sz w:val="21"/>
                      <w:szCs w:val="21"/>
                      <w:highlight w:val="none"/>
                    </w:rPr>
                    <w:t>排放形式</w:t>
                  </w:r>
                </w:p>
              </w:tc>
              <w:tc>
                <w:tcPr>
                  <w:tcW w:w="5312" w:type="dxa"/>
                  <w:gridSpan w:val="3"/>
                  <w:tcBorders>
                    <w:tl2br w:val="nil"/>
                    <w:tr2bl w:val="nil"/>
                  </w:tcBorders>
                  <w:noWrap w:val="0"/>
                  <w:vAlign w:val="center"/>
                </w:tcPr>
                <w:p>
                  <w:pPr>
                    <w:adjustRightInd w:val="0"/>
                    <w:snapToGrid w:val="0"/>
                    <w:spacing w:before="0" w:line="240" w:lineRule="auto"/>
                    <w:ind w:left="0" w:leftChars="0" w:right="0" w:rightChars="0"/>
                    <w:jc w:val="center"/>
                    <w:rPr>
                      <w:rFonts w:hint="default" w:ascii="Times New Roman" w:hAnsi="Times New Roman" w:eastAsia="宋体" w:cs="Times New Roman"/>
                      <w:color w:val="0000FF"/>
                      <w:spacing w:val="0"/>
                      <w:w w:val="100"/>
                      <w:kern w:val="2"/>
                      <w:position w:val="0"/>
                      <w:sz w:val="21"/>
                      <w:szCs w:val="21"/>
                      <w:highlight w:val="none"/>
                      <w:lang w:val="en-US" w:eastAsia="zh-CN" w:bidi="zh-CN"/>
                    </w:rPr>
                  </w:pPr>
                  <w:r>
                    <w:rPr>
                      <w:rFonts w:hint="default" w:ascii="Times New Roman" w:hAnsi="Times New Roman" w:eastAsia="宋体" w:cs="Times New Roman"/>
                      <w:color w:val="0000FF"/>
                      <w:spacing w:val="0"/>
                      <w:w w:val="100"/>
                      <w:kern w:val="2"/>
                      <w:position w:val="0"/>
                      <w:sz w:val="21"/>
                      <w:szCs w:val="21"/>
                      <w:highlight w:val="none"/>
                      <w:lang w:val="zh-CN" w:eastAsia="zh-CN" w:bidi="zh-CN"/>
                    </w:rPr>
                    <w:t>有组织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2625" w:type="dxa"/>
                  <w:gridSpan w:val="2"/>
                  <w:tcBorders>
                    <w:tl2br w:val="nil"/>
                    <w:tr2bl w:val="nil"/>
                  </w:tcBorders>
                  <w:noWrap w:val="0"/>
                  <w:vAlign w:val="center"/>
                </w:tcPr>
                <w:p>
                  <w:pPr>
                    <w:pStyle w:val="33"/>
                    <w:adjustRightInd w:val="0"/>
                    <w:snapToGrid w:val="0"/>
                    <w:spacing w:before="0" w:line="240" w:lineRule="auto"/>
                    <w:ind w:left="0"/>
                    <w:jc w:val="center"/>
                    <w:rPr>
                      <w:rFonts w:hint="default" w:ascii="Times New Roman" w:hAnsi="Times New Roman" w:eastAsia="宋体" w:cs="Times New Roman"/>
                      <w:color w:val="0000FF"/>
                      <w:spacing w:val="0"/>
                      <w:w w:val="100"/>
                      <w:position w:val="0"/>
                      <w:sz w:val="21"/>
                      <w:szCs w:val="21"/>
                      <w:highlight w:val="none"/>
                    </w:rPr>
                  </w:pPr>
                  <w:r>
                    <w:rPr>
                      <w:rFonts w:hint="default" w:ascii="Times New Roman" w:hAnsi="Times New Roman" w:eastAsia="宋体" w:cs="Times New Roman"/>
                      <w:color w:val="0000FF"/>
                      <w:spacing w:val="0"/>
                      <w:w w:val="100"/>
                      <w:position w:val="0"/>
                      <w:sz w:val="21"/>
                      <w:szCs w:val="21"/>
                      <w:highlight w:val="none"/>
                    </w:rPr>
                    <w:t>排放时长h</w:t>
                  </w:r>
                </w:p>
              </w:tc>
              <w:tc>
                <w:tcPr>
                  <w:tcW w:w="5312" w:type="dxa"/>
                  <w:gridSpan w:val="3"/>
                  <w:tcBorders>
                    <w:tl2br w:val="nil"/>
                    <w:tr2bl w:val="nil"/>
                  </w:tcBorders>
                  <w:noWrap w:val="0"/>
                  <w:vAlign w:val="center"/>
                </w:tcPr>
                <w:p>
                  <w:pPr>
                    <w:adjustRightInd w:val="0"/>
                    <w:snapToGrid w:val="0"/>
                    <w:spacing w:before="0" w:line="240" w:lineRule="auto"/>
                    <w:ind w:left="0" w:leftChars="0" w:right="0" w:rightChars="0"/>
                    <w:jc w:val="center"/>
                    <w:rPr>
                      <w:rFonts w:hint="default" w:ascii="Times New Roman" w:hAnsi="Times New Roman" w:eastAsia="宋体" w:cs="Times New Roman"/>
                      <w:color w:val="0000FF"/>
                      <w:spacing w:val="0"/>
                      <w:w w:val="100"/>
                      <w:kern w:val="2"/>
                      <w:position w:val="0"/>
                      <w:sz w:val="21"/>
                      <w:szCs w:val="21"/>
                      <w:highlight w:val="none"/>
                      <w:lang w:val="en-US" w:eastAsia="zh-CN" w:bidi="zh-CN"/>
                    </w:rPr>
                  </w:pPr>
                  <w:r>
                    <w:rPr>
                      <w:rFonts w:hint="eastAsia" w:ascii="Times New Roman" w:hAnsi="Times New Roman" w:eastAsia="宋体" w:cs="Times New Roman"/>
                      <w:color w:val="0000FF"/>
                      <w:spacing w:val="0"/>
                      <w:w w:val="100"/>
                      <w:kern w:val="2"/>
                      <w:position w:val="0"/>
                      <w:sz w:val="21"/>
                      <w:szCs w:val="21"/>
                      <w:highlight w:val="none"/>
                      <w:lang w:val="en-US" w:eastAsia="zh-CN" w:bidi="zh-CN"/>
                    </w:rPr>
                    <w:t>7</w:t>
                  </w:r>
                  <w:r>
                    <w:rPr>
                      <w:rFonts w:hint="eastAsia" w:cs="Times New Roman"/>
                      <w:color w:val="0000FF"/>
                      <w:spacing w:val="0"/>
                      <w:w w:val="100"/>
                      <w:kern w:val="2"/>
                      <w:position w:val="0"/>
                      <w:sz w:val="21"/>
                      <w:szCs w:val="21"/>
                      <w:highlight w:val="none"/>
                      <w:lang w:val="en-US" w:eastAsia="zh-CN" w:bidi="zh-CN"/>
                    </w:rPr>
                    <w:t>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706" w:type="dxa"/>
                  <w:vMerge w:val="restart"/>
                  <w:tcBorders>
                    <w:tl2br w:val="nil"/>
                    <w:tr2bl w:val="nil"/>
                  </w:tcBorders>
                  <w:noWrap w:val="0"/>
                  <w:vAlign w:val="center"/>
                </w:tcPr>
                <w:p>
                  <w:pPr>
                    <w:pStyle w:val="33"/>
                    <w:adjustRightInd w:val="0"/>
                    <w:snapToGrid w:val="0"/>
                    <w:spacing w:before="0" w:line="240" w:lineRule="auto"/>
                    <w:ind w:left="0" w:right="0" w:firstLine="0"/>
                    <w:jc w:val="center"/>
                    <w:rPr>
                      <w:rFonts w:hint="default" w:ascii="Times New Roman" w:hAnsi="Times New Roman" w:eastAsia="宋体" w:cs="Times New Roman"/>
                      <w:color w:val="0000FF"/>
                      <w:spacing w:val="0"/>
                      <w:w w:val="100"/>
                      <w:position w:val="0"/>
                      <w:sz w:val="21"/>
                      <w:szCs w:val="21"/>
                      <w:highlight w:val="none"/>
                    </w:rPr>
                  </w:pPr>
                  <w:r>
                    <w:rPr>
                      <w:rFonts w:hint="default" w:ascii="Times New Roman" w:hAnsi="Times New Roman" w:eastAsia="宋体" w:cs="Times New Roman"/>
                      <w:color w:val="0000FF"/>
                      <w:spacing w:val="0"/>
                      <w:w w:val="100"/>
                      <w:position w:val="0"/>
                      <w:sz w:val="21"/>
                      <w:szCs w:val="21"/>
                      <w:highlight w:val="none"/>
                    </w:rPr>
                    <w:t>治理措施</w:t>
                  </w:r>
                </w:p>
              </w:tc>
              <w:tc>
                <w:tcPr>
                  <w:tcW w:w="1919" w:type="dxa"/>
                  <w:tcBorders>
                    <w:tl2br w:val="nil"/>
                    <w:tr2bl w:val="nil"/>
                  </w:tcBorders>
                  <w:noWrap w:val="0"/>
                  <w:vAlign w:val="center"/>
                </w:tcPr>
                <w:p>
                  <w:pPr>
                    <w:pStyle w:val="33"/>
                    <w:adjustRightInd w:val="0"/>
                    <w:snapToGrid w:val="0"/>
                    <w:spacing w:before="0" w:line="240" w:lineRule="auto"/>
                    <w:ind w:left="0" w:right="0"/>
                    <w:jc w:val="center"/>
                    <w:rPr>
                      <w:rFonts w:hint="default" w:ascii="Times New Roman" w:hAnsi="Times New Roman" w:eastAsia="宋体" w:cs="Times New Roman"/>
                      <w:color w:val="0000FF"/>
                      <w:spacing w:val="0"/>
                      <w:w w:val="100"/>
                      <w:position w:val="0"/>
                      <w:sz w:val="21"/>
                      <w:szCs w:val="21"/>
                      <w:highlight w:val="none"/>
                    </w:rPr>
                  </w:pPr>
                  <w:r>
                    <w:rPr>
                      <w:rFonts w:hint="default" w:ascii="Times New Roman" w:hAnsi="Times New Roman" w:eastAsia="宋体" w:cs="Times New Roman"/>
                      <w:color w:val="0000FF"/>
                      <w:spacing w:val="0"/>
                      <w:w w:val="100"/>
                      <w:position w:val="0"/>
                      <w:sz w:val="21"/>
                      <w:szCs w:val="21"/>
                      <w:highlight w:val="none"/>
                    </w:rPr>
                    <w:t>措施名称</w:t>
                  </w:r>
                </w:p>
              </w:tc>
              <w:tc>
                <w:tcPr>
                  <w:tcW w:w="5312" w:type="dxa"/>
                  <w:gridSpan w:val="3"/>
                  <w:tcBorders>
                    <w:tl2br w:val="nil"/>
                    <w:tr2bl w:val="nil"/>
                  </w:tcBorders>
                  <w:noWrap w:val="0"/>
                  <w:vAlign w:val="center"/>
                </w:tcPr>
                <w:p>
                  <w:pPr>
                    <w:adjustRightInd w:val="0"/>
                    <w:snapToGrid w:val="0"/>
                    <w:spacing w:before="0" w:line="240" w:lineRule="auto"/>
                    <w:ind w:left="0" w:leftChars="0" w:right="0" w:rightChars="0"/>
                    <w:jc w:val="center"/>
                    <w:rPr>
                      <w:rFonts w:hint="default" w:ascii="Times New Roman" w:hAnsi="Times New Roman" w:eastAsia="宋体" w:cs="Times New Roman"/>
                      <w:color w:val="0000FF"/>
                      <w:spacing w:val="0"/>
                      <w:w w:val="100"/>
                      <w:kern w:val="2"/>
                      <w:position w:val="0"/>
                      <w:sz w:val="21"/>
                      <w:szCs w:val="21"/>
                      <w:highlight w:val="none"/>
                      <w:lang w:val="en-US" w:eastAsia="zh-CN" w:bidi="zh-CN"/>
                    </w:rPr>
                  </w:pPr>
                  <w:r>
                    <w:rPr>
                      <w:rFonts w:hint="eastAsia" w:ascii="Times New Roman" w:hAnsi="Times New Roman" w:eastAsia="宋体" w:cs="Times New Roman"/>
                      <w:color w:val="0000FF"/>
                      <w:spacing w:val="0"/>
                      <w:w w:val="100"/>
                      <w:kern w:val="2"/>
                      <w:position w:val="0"/>
                      <w:sz w:val="21"/>
                      <w:szCs w:val="21"/>
                      <w:highlight w:val="none"/>
                      <w:lang w:val="en-US" w:eastAsia="zh-CN" w:bidi="zh-CN"/>
                    </w:rPr>
                    <w:t>低氮燃烧器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706" w:type="dxa"/>
                  <w:vMerge w:val="continue"/>
                  <w:tcBorders>
                    <w:tl2br w:val="nil"/>
                    <w:tr2bl w:val="nil"/>
                  </w:tcBorders>
                  <w:noWrap w:val="0"/>
                  <w:vAlign w:val="center"/>
                </w:tcPr>
                <w:p>
                  <w:pPr>
                    <w:pStyle w:val="33"/>
                    <w:adjustRightInd w:val="0"/>
                    <w:snapToGrid w:val="0"/>
                    <w:spacing w:before="0" w:line="240" w:lineRule="auto"/>
                    <w:ind w:left="0"/>
                    <w:jc w:val="center"/>
                    <w:rPr>
                      <w:rFonts w:hint="default" w:ascii="Times New Roman" w:hAnsi="Times New Roman" w:eastAsia="宋体" w:cs="Times New Roman"/>
                      <w:color w:val="0000FF"/>
                      <w:spacing w:val="0"/>
                      <w:w w:val="100"/>
                      <w:position w:val="0"/>
                      <w:sz w:val="21"/>
                      <w:szCs w:val="21"/>
                      <w:highlight w:val="none"/>
                    </w:rPr>
                  </w:pPr>
                </w:p>
              </w:tc>
              <w:tc>
                <w:tcPr>
                  <w:tcW w:w="1919" w:type="dxa"/>
                  <w:tcBorders>
                    <w:tl2br w:val="nil"/>
                    <w:tr2bl w:val="nil"/>
                  </w:tcBorders>
                  <w:noWrap w:val="0"/>
                  <w:vAlign w:val="center"/>
                </w:tcPr>
                <w:p>
                  <w:pPr>
                    <w:pStyle w:val="33"/>
                    <w:adjustRightInd w:val="0"/>
                    <w:snapToGrid w:val="0"/>
                    <w:spacing w:before="0" w:line="240" w:lineRule="auto"/>
                    <w:ind w:left="0" w:right="0"/>
                    <w:jc w:val="center"/>
                    <w:rPr>
                      <w:rFonts w:hint="eastAsia" w:ascii="Times New Roman" w:hAnsi="Times New Roman" w:eastAsia="宋体" w:cs="Times New Roman"/>
                      <w:color w:val="0000FF"/>
                      <w:spacing w:val="0"/>
                      <w:w w:val="100"/>
                      <w:position w:val="0"/>
                      <w:sz w:val="21"/>
                      <w:szCs w:val="21"/>
                      <w:highlight w:val="none"/>
                      <w:lang w:eastAsia="zh-CN"/>
                    </w:rPr>
                  </w:pPr>
                  <w:r>
                    <w:rPr>
                      <w:rFonts w:hint="eastAsia" w:ascii="Times New Roman" w:hAnsi="Times New Roman" w:cs="Times New Roman"/>
                      <w:color w:val="0000FF"/>
                      <w:spacing w:val="0"/>
                      <w:w w:val="100"/>
                      <w:position w:val="0"/>
                      <w:sz w:val="21"/>
                      <w:szCs w:val="21"/>
                      <w:highlight w:val="none"/>
                      <w:lang w:eastAsia="zh-CN"/>
                    </w:rPr>
                    <w:t>处理能力（</w:t>
                  </w:r>
                  <w:r>
                    <w:rPr>
                      <w:rFonts w:hint="default" w:ascii="Times New Roman" w:hAnsi="Times New Roman" w:eastAsia="宋体" w:cs="Times New Roman"/>
                      <w:color w:val="0000FF"/>
                      <w:spacing w:val="0"/>
                      <w:w w:val="100"/>
                      <w:kern w:val="2"/>
                      <w:position w:val="0"/>
                      <w:sz w:val="21"/>
                      <w:szCs w:val="21"/>
                      <w:highlight w:val="none"/>
                      <w:lang w:val="en-US" w:eastAsia="zh-CN" w:bidi="zh-CN"/>
                    </w:rPr>
                    <w:t>m</w:t>
                  </w:r>
                  <w:r>
                    <w:rPr>
                      <w:rFonts w:hint="default" w:ascii="Times New Roman" w:hAnsi="Times New Roman" w:eastAsia="宋体" w:cs="Times New Roman"/>
                      <w:color w:val="0000FF"/>
                      <w:spacing w:val="0"/>
                      <w:w w:val="100"/>
                      <w:kern w:val="2"/>
                      <w:position w:val="0"/>
                      <w:sz w:val="21"/>
                      <w:szCs w:val="21"/>
                      <w:highlight w:val="none"/>
                      <w:vertAlign w:val="superscript"/>
                      <w:lang w:val="en-US" w:eastAsia="zh-CN" w:bidi="zh-CN"/>
                    </w:rPr>
                    <w:t>3</w:t>
                  </w:r>
                  <w:r>
                    <w:rPr>
                      <w:rFonts w:hint="default" w:ascii="Times New Roman" w:hAnsi="Times New Roman" w:eastAsia="宋体" w:cs="Times New Roman"/>
                      <w:color w:val="0000FF"/>
                      <w:spacing w:val="0"/>
                      <w:w w:val="100"/>
                      <w:kern w:val="2"/>
                      <w:position w:val="0"/>
                      <w:sz w:val="21"/>
                      <w:szCs w:val="21"/>
                      <w:highlight w:val="none"/>
                      <w:lang w:val="en-US" w:eastAsia="zh-CN" w:bidi="zh-CN"/>
                    </w:rPr>
                    <w:t>/h</w:t>
                  </w:r>
                  <w:r>
                    <w:rPr>
                      <w:rFonts w:hint="eastAsia" w:ascii="Times New Roman" w:hAnsi="Times New Roman" w:cs="Times New Roman"/>
                      <w:color w:val="0000FF"/>
                      <w:spacing w:val="0"/>
                      <w:w w:val="100"/>
                      <w:position w:val="0"/>
                      <w:sz w:val="21"/>
                      <w:szCs w:val="21"/>
                      <w:highlight w:val="none"/>
                      <w:lang w:eastAsia="zh-CN"/>
                    </w:rPr>
                    <w:t>）</w:t>
                  </w:r>
                </w:p>
              </w:tc>
              <w:tc>
                <w:tcPr>
                  <w:tcW w:w="1770" w:type="dxa"/>
                  <w:tcBorders>
                    <w:tl2br w:val="nil"/>
                    <w:tr2bl w:val="nil"/>
                  </w:tcBorders>
                  <w:noWrap w:val="0"/>
                  <w:vAlign w:val="center"/>
                </w:tcPr>
                <w:p>
                  <w:pPr>
                    <w:adjustRightInd w:val="0"/>
                    <w:snapToGrid w:val="0"/>
                    <w:spacing w:before="0" w:line="240" w:lineRule="auto"/>
                    <w:ind w:left="0" w:leftChars="0" w:right="0" w:rightChars="0"/>
                    <w:jc w:val="center"/>
                    <w:rPr>
                      <w:rFonts w:hint="default" w:ascii="Times New Roman" w:hAnsi="Times New Roman" w:eastAsia="宋体" w:cs="Times New Roman"/>
                      <w:color w:val="0000FF"/>
                      <w:spacing w:val="0"/>
                      <w:w w:val="100"/>
                      <w:kern w:val="2"/>
                      <w:position w:val="0"/>
                      <w:sz w:val="21"/>
                      <w:szCs w:val="21"/>
                      <w:highlight w:val="none"/>
                      <w:lang w:val="en-US" w:eastAsia="zh-CN" w:bidi="zh-CN"/>
                    </w:rPr>
                  </w:pPr>
                  <w:r>
                    <w:rPr>
                      <w:rFonts w:hint="eastAsia" w:ascii="Times New Roman" w:hAnsi="Times New Roman" w:eastAsia="宋体" w:cs="Times New Roman"/>
                      <w:color w:val="0000FF"/>
                      <w:spacing w:val="0"/>
                      <w:w w:val="100"/>
                      <w:kern w:val="2"/>
                      <w:position w:val="0"/>
                      <w:sz w:val="21"/>
                      <w:szCs w:val="21"/>
                      <w:highlight w:val="none"/>
                      <w:lang w:val="en-US" w:eastAsia="zh-CN" w:bidi="zh-CN"/>
                    </w:rPr>
                    <w:t>/</w:t>
                  </w:r>
                </w:p>
              </w:tc>
              <w:tc>
                <w:tcPr>
                  <w:tcW w:w="1770" w:type="dxa"/>
                  <w:tcBorders>
                    <w:tl2br w:val="nil"/>
                    <w:tr2bl w:val="nil"/>
                  </w:tcBorders>
                  <w:noWrap w:val="0"/>
                  <w:vAlign w:val="center"/>
                </w:tcPr>
                <w:p>
                  <w:pPr>
                    <w:adjustRightInd w:val="0"/>
                    <w:snapToGrid w:val="0"/>
                    <w:spacing w:before="0" w:line="240" w:lineRule="auto"/>
                    <w:ind w:left="0" w:leftChars="0" w:right="0" w:rightChars="0"/>
                    <w:jc w:val="center"/>
                    <w:rPr>
                      <w:rFonts w:hint="default" w:ascii="Times New Roman" w:hAnsi="Times New Roman" w:eastAsia="宋体" w:cs="Times New Roman"/>
                      <w:color w:val="0000FF"/>
                      <w:spacing w:val="0"/>
                      <w:w w:val="100"/>
                      <w:position w:val="0"/>
                      <w:sz w:val="21"/>
                      <w:szCs w:val="21"/>
                      <w:highlight w:val="none"/>
                      <w:lang w:val="en-US" w:eastAsia="zh-CN"/>
                    </w:rPr>
                  </w:pPr>
                  <w:r>
                    <w:rPr>
                      <w:rFonts w:hint="eastAsia" w:ascii="Times New Roman" w:hAnsi="Times New Roman" w:eastAsia="宋体" w:cs="Times New Roman"/>
                      <w:color w:val="0000FF"/>
                      <w:spacing w:val="0"/>
                      <w:w w:val="100"/>
                      <w:position w:val="0"/>
                      <w:sz w:val="21"/>
                      <w:szCs w:val="21"/>
                      <w:highlight w:val="none"/>
                      <w:lang w:val="en-US" w:eastAsia="zh-CN"/>
                    </w:rPr>
                    <w:t>/</w:t>
                  </w:r>
                </w:p>
              </w:tc>
              <w:tc>
                <w:tcPr>
                  <w:tcW w:w="1772" w:type="dxa"/>
                  <w:tcBorders>
                    <w:tl2br w:val="nil"/>
                    <w:tr2bl w:val="nil"/>
                  </w:tcBorders>
                  <w:noWrap w:val="0"/>
                  <w:vAlign w:val="center"/>
                </w:tcPr>
                <w:p>
                  <w:pPr>
                    <w:adjustRightInd w:val="0"/>
                    <w:snapToGrid w:val="0"/>
                    <w:spacing w:before="0" w:line="240" w:lineRule="auto"/>
                    <w:ind w:left="0" w:leftChars="0" w:right="0" w:rightChars="0"/>
                    <w:jc w:val="center"/>
                    <w:rPr>
                      <w:rFonts w:hint="default" w:ascii="Times New Roman" w:hAnsi="Times New Roman" w:eastAsia="宋体" w:cs="Times New Roman"/>
                      <w:color w:val="0000FF"/>
                      <w:spacing w:val="0"/>
                      <w:w w:val="100"/>
                      <w:kern w:val="2"/>
                      <w:position w:val="0"/>
                      <w:sz w:val="21"/>
                      <w:szCs w:val="21"/>
                      <w:highlight w:val="none"/>
                      <w:lang w:val="en-US" w:eastAsia="zh-CN" w:bidi="zh-CN"/>
                    </w:rPr>
                  </w:pPr>
                  <w:r>
                    <w:rPr>
                      <w:rFonts w:hint="eastAsia" w:ascii="Times New Roman" w:hAnsi="Times New Roman" w:eastAsia="宋体" w:cs="Times New Roman"/>
                      <w:color w:val="0000FF"/>
                      <w:spacing w:val="0"/>
                      <w:w w:val="100"/>
                      <w:kern w:val="2"/>
                      <w:position w:val="0"/>
                      <w:sz w:val="21"/>
                      <w:szCs w:val="21"/>
                      <w:highlight w:val="none"/>
                      <w:lang w:val="en-US" w:eastAsia="zh-CN" w:bidi="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706" w:type="dxa"/>
                  <w:vMerge w:val="continue"/>
                  <w:tcBorders>
                    <w:tl2br w:val="nil"/>
                    <w:tr2bl w:val="nil"/>
                  </w:tcBorders>
                  <w:noWrap w:val="0"/>
                  <w:vAlign w:val="center"/>
                </w:tcPr>
                <w:p>
                  <w:pPr>
                    <w:pStyle w:val="33"/>
                    <w:adjustRightInd w:val="0"/>
                    <w:snapToGrid w:val="0"/>
                    <w:spacing w:before="0" w:line="240" w:lineRule="auto"/>
                    <w:ind w:left="0"/>
                    <w:jc w:val="center"/>
                    <w:rPr>
                      <w:rFonts w:hint="default" w:ascii="Times New Roman" w:hAnsi="Times New Roman" w:eastAsia="宋体" w:cs="Times New Roman"/>
                      <w:color w:val="0000FF"/>
                      <w:spacing w:val="0"/>
                      <w:w w:val="100"/>
                      <w:position w:val="0"/>
                      <w:sz w:val="21"/>
                      <w:szCs w:val="21"/>
                      <w:highlight w:val="none"/>
                    </w:rPr>
                  </w:pPr>
                </w:p>
              </w:tc>
              <w:tc>
                <w:tcPr>
                  <w:tcW w:w="1919" w:type="dxa"/>
                  <w:tcBorders>
                    <w:tl2br w:val="nil"/>
                    <w:tr2bl w:val="nil"/>
                  </w:tcBorders>
                  <w:noWrap w:val="0"/>
                  <w:vAlign w:val="center"/>
                </w:tcPr>
                <w:p>
                  <w:pPr>
                    <w:pStyle w:val="33"/>
                    <w:adjustRightInd w:val="0"/>
                    <w:snapToGrid w:val="0"/>
                    <w:spacing w:before="0" w:line="240" w:lineRule="auto"/>
                    <w:ind w:left="0" w:right="0"/>
                    <w:jc w:val="center"/>
                    <w:rPr>
                      <w:rFonts w:hint="default" w:ascii="Times New Roman" w:hAnsi="Times New Roman" w:eastAsia="宋体" w:cs="Times New Roman"/>
                      <w:color w:val="0000FF"/>
                      <w:spacing w:val="0"/>
                      <w:w w:val="100"/>
                      <w:position w:val="0"/>
                      <w:sz w:val="21"/>
                      <w:szCs w:val="21"/>
                      <w:highlight w:val="none"/>
                    </w:rPr>
                  </w:pPr>
                  <w:r>
                    <w:rPr>
                      <w:rFonts w:hint="default" w:ascii="Times New Roman" w:hAnsi="Times New Roman" w:eastAsia="宋体" w:cs="Times New Roman"/>
                      <w:color w:val="0000FF"/>
                      <w:spacing w:val="0"/>
                      <w:w w:val="100"/>
                      <w:position w:val="0"/>
                      <w:sz w:val="21"/>
                      <w:szCs w:val="21"/>
                      <w:highlight w:val="none"/>
                    </w:rPr>
                    <w:t>是否可行技术</w:t>
                  </w:r>
                </w:p>
              </w:tc>
              <w:tc>
                <w:tcPr>
                  <w:tcW w:w="1770" w:type="dxa"/>
                  <w:tcBorders>
                    <w:tl2br w:val="nil"/>
                    <w:tr2bl w:val="nil"/>
                  </w:tcBorders>
                  <w:noWrap w:val="0"/>
                  <w:vAlign w:val="center"/>
                </w:tcPr>
                <w:p>
                  <w:pPr>
                    <w:adjustRightInd w:val="0"/>
                    <w:snapToGrid w:val="0"/>
                    <w:spacing w:before="0" w:line="240" w:lineRule="auto"/>
                    <w:ind w:left="0" w:leftChars="0"/>
                    <w:jc w:val="center"/>
                    <w:rPr>
                      <w:rFonts w:hint="default" w:ascii="Times New Roman" w:hAnsi="Times New Roman" w:eastAsia="宋体" w:cs="Times New Roman"/>
                      <w:color w:val="0000FF"/>
                      <w:spacing w:val="0"/>
                      <w:w w:val="100"/>
                      <w:kern w:val="2"/>
                      <w:position w:val="0"/>
                      <w:sz w:val="21"/>
                      <w:szCs w:val="21"/>
                      <w:highlight w:val="none"/>
                      <w:lang w:val="zh-CN" w:eastAsia="zh-CN" w:bidi="zh-CN"/>
                    </w:rPr>
                  </w:pPr>
                  <w:r>
                    <w:rPr>
                      <w:rFonts w:hint="default" w:ascii="Times New Roman" w:hAnsi="Times New Roman" w:eastAsia="宋体" w:cs="Times New Roman"/>
                      <w:color w:val="0000FF"/>
                      <w:spacing w:val="0"/>
                      <w:w w:val="100"/>
                      <w:position w:val="0"/>
                      <w:sz w:val="21"/>
                      <w:szCs w:val="21"/>
                      <w:highlight w:val="none"/>
                      <w:lang w:eastAsia="zh-CN"/>
                    </w:rPr>
                    <w:t>是</w:t>
                  </w:r>
                </w:p>
              </w:tc>
              <w:tc>
                <w:tcPr>
                  <w:tcW w:w="1770" w:type="dxa"/>
                  <w:tcBorders>
                    <w:tl2br w:val="nil"/>
                    <w:tr2bl w:val="nil"/>
                  </w:tcBorders>
                  <w:noWrap w:val="0"/>
                  <w:vAlign w:val="center"/>
                </w:tcPr>
                <w:p>
                  <w:pPr>
                    <w:adjustRightInd w:val="0"/>
                    <w:snapToGrid w:val="0"/>
                    <w:spacing w:before="0" w:line="240" w:lineRule="auto"/>
                    <w:ind w:left="0" w:leftChars="0"/>
                    <w:jc w:val="center"/>
                    <w:rPr>
                      <w:rFonts w:hint="default" w:ascii="Times New Roman" w:hAnsi="Times New Roman" w:eastAsia="宋体" w:cs="Times New Roman"/>
                      <w:color w:val="0000FF"/>
                      <w:spacing w:val="0"/>
                      <w:w w:val="100"/>
                      <w:position w:val="0"/>
                      <w:sz w:val="21"/>
                      <w:szCs w:val="21"/>
                      <w:highlight w:val="none"/>
                      <w:lang w:eastAsia="zh-CN"/>
                    </w:rPr>
                  </w:pPr>
                  <w:r>
                    <w:rPr>
                      <w:rFonts w:hint="default" w:ascii="Times New Roman" w:hAnsi="Times New Roman" w:eastAsia="宋体" w:cs="Times New Roman"/>
                      <w:color w:val="0000FF"/>
                      <w:spacing w:val="0"/>
                      <w:w w:val="100"/>
                      <w:position w:val="0"/>
                      <w:sz w:val="21"/>
                      <w:szCs w:val="21"/>
                      <w:highlight w:val="none"/>
                      <w:lang w:eastAsia="zh-CN"/>
                    </w:rPr>
                    <w:t>是</w:t>
                  </w:r>
                </w:p>
              </w:tc>
              <w:tc>
                <w:tcPr>
                  <w:tcW w:w="1772" w:type="dxa"/>
                  <w:tcBorders>
                    <w:tl2br w:val="nil"/>
                    <w:tr2bl w:val="nil"/>
                  </w:tcBorders>
                  <w:noWrap w:val="0"/>
                  <w:vAlign w:val="center"/>
                </w:tcPr>
                <w:p>
                  <w:pPr>
                    <w:adjustRightInd w:val="0"/>
                    <w:snapToGrid w:val="0"/>
                    <w:spacing w:before="0" w:line="240" w:lineRule="auto"/>
                    <w:ind w:left="0" w:leftChars="0" w:right="0" w:rightChars="0"/>
                    <w:jc w:val="center"/>
                    <w:rPr>
                      <w:rFonts w:hint="default" w:ascii="Times New Roman" w:hAnsi="Times New Roman" w:eastAsia="宋体" w:cs="Times New Roman"/>
                      <w:color w:val="0000FF"/>
                      <w:spacing w:val="0"/>
                      <w:w w:val="100"/>
                      <w:kern w:val="2"/>
                      <w:position w:val="0"/>
                      <w:sz w:val="21"/>
                      <w:szCs w:val="21"/>
                      <w:highlight w:val="none"/>
                      <w:lang w:val="en-US" w:eastAsia="zh-CN" w:bidi="zh-CN"/>
                    </w:rPr>
                  </w:pPr>
                  <w:r>
                    <w:rPr>
                      <w:rFonts w:hint="default" w:ascii="Times New Roman" w:hAnsi="Times New Roman" w:eastAsia="宋体" w:cs="Times New Roman"/>
                      <w:color w:val="0000FF"/>
                      <w:spacing w:val="0"/>
                      <w:w w:val="100"/>
                      <w:position w:val="0"/>
                      <w:sz w:val="21"/>
                      <w:szCs w:val="21"/>
                      <w:highlight w:val="none"/>
                      <w:lang w:eastAsia="zh-CN"/>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706" w:type="dxa"/>
                  <w:vMerge w:val="continue"/>
                  <w:tcBorders>
                    <w:tl2br w:val="nil"/>
                    <w:tr2bl w:val="nil"/>
                  </w:tcBorders>
                  <w:noWrap w:val="0"/>
                  <w:vAlign w:val="center"/>
                </w:tcPr>
                <w:p>
                  <w:pPr>
                    <w:pStyle w:val="33"/>
                    <w:adjustRightInd w:val="0"/>
                    <w:snapToGrid w:val="0"/>
                    <w:spacing w:before="0" w:line="240" w:lineRule="auto"/>
                    <w:ind w:left="0"/>
                    <w:jc w:val="center"/>
                    <w:rPr>
                      <w:rFonts w:hint="default" w:ascii="Times New Roman" w:hAnsi="Times New Roman" w:eastAsia="宋体" w:cs="Times New Roman"/>
                      <w:color w:val="0000FF"/>
                      <w:spacing w:val="0"/>
                      <w:w w:val="100"/>
                      <w:position w:val="0"/>
                      <w:sz w:val="21"/>
                      <w:szCs w:val="21"/>
                      <w:highlight w:val="none"/>
                    </w:rPr>
                  </w:pPr>
                </w:p>
              </w:tc>
              <w:tc>
                <w:tcPr>
                  <w:tcW w:w="1919" w:type="dxa"/>
                  <w:tcBorders>
                    <w:tl2br w:val="nil"/>
                    <w:tr2bl w:val="nil"/>
                  </w:tcBorders>
                  <w:noWrap w:val="0"/>
                  <w:vAlign w:val="center"/>
                </w:tcPr>
                <w:p>
                  <w:pPr>
                    <w:pStyle w:val="33"/>
                    <w:adjustRightInd w:val="0"/>
                    <w:snapToGrid w:val="0"/>
                    <w:spacing w:before="0" w:line="240" w:lineRule="auto"/>
                    <w:ind w:left="0" w:right="0"/>
                    <w:jc w:val="center"/>
                    <w:rPr>
                      <w:rFonts w:hint="default" w:ascii="Times New Roman" w:hAnsi="Times New Roman" w:eastAsia="宋体" w:cs="Times New Roman"/>
                      <w:color w:val="0000FF"/>
                      <w:spacing w:val="0"/>
                      <w:w w:val="100"/>
                      <w:position w:val="0"/>
                      <w:sz w:val="21"/>
                      <w:szCs w:val="21"/>
                      <w:highlight w:val="none"/>
                    </w:rPr>
                  </w:pPr>
                  <w:r>
                    <w:rPr>
                      <w:rFonts w:hint="default" w:ascii="Times New Roman" w:hAnsi="Times New Roman" w:eastAsia="宋体" w:cs="Times New Roman"/>
                      <w:color w:val="0000FF"/>
                      <w:spacing w:val="0"/>
                      <w:w w:val="100"/>
                      <w:position w:val="0"/>
                      <w:sz w:val="21"/>
                      <w:szCs w:val="21"/>
                      <w:highlight w:val="none"/>
                    </w:rPr>
                    <w:t>收集效率%</w:t>
                  </w:r>
                </w:p>
              </w:tc>
              <w:tc>
                <w:tcPr>
                  <w:tcW w:w="1770" w:type="dxa"/>
                  <w:tcBorders>
                    <w:tl2br w:val="nil"/>
                    <w:tr2bl w:val="nil"/>
                  </w:tcBorders>
                  <w:noWrap w:val="0"/>
                  <w:vAlign w:val="center"/>
                </w:tcPr>
                <w:p>
                  <w:pPr>
                    <w:adjustRightInd w:val="0"/>
                    <w:snapToGrid w:val="0"/>
                    <w:spacing w:before="0" w:line="240" w:lineRule="auto"/>
                    <w:ind w:left="0" w:leftChars="0" w:right="0" w:rightChars="0"/>
                    <w:jc w:val="center"/>
                    <w:rPr>
                      <w:rFonts w:hint="default" w:ascii="Times New Roman" w:hAnsi="Times New Roman" w:eastAsia="宋体" w:cs="Times New Roman"/>
                      <w:color w:val="0000FF"/>
                      <w:spacing w:val="0"/>
                      <w:w w:val="100"/>
                      <w:kern w:val="2"/>
                      <w:position w:val="0"/>
                      <w:sz w:val="21"/>
                      <w:szCs w:val="21"/>
                      <w:highlight w:val="none"/>
                      <w:lang w:val="en-US" w:eastAsia="zh-CN" w:bidi="zh-CN"/>
                    </w:rPr>
                  </w:pPr>
                  <w:r>
                    <w:rPr>
                      <w:rFonts w:hint="eastAsia" w:ascii="Times New Roman" w:hAnsi="Times New Roman" w:eastAsia="宋体" w:cs="Times New Roman"/>
                      <w:color w:val="0000FF"/>
                      <w:spacing w:val="0"/>
                      <w:w w:val="100"/>
                      <w:kern w:val="2"/>
                      <w:position w:val="0"/>
                      <w:sz w:val="21"/>
                      <w:szCs w:val="21"/>
                      <w:highlight w:val="none"/>
                      <w:lang w:val="en-US" w:eastAsia="zh-CN" w:bidi="zh-CN"/>
                    </w:rPr>
                    <w:t>100</w:t>
                  </w:r>
                </w:p>
              </w:tc>
              <w:tc>
                <w:tcPr>
                  <w:tcW w:w="1770" w:type="dxa"/>
                  <w:tcBorders>
                    <w:tl2br w:val="nil"/>
                    <w:tr2bl w:val="nil"/>
                  </w:tcBorders>
                  <w:noWrap w:val="0"/>
                  <w:vAlign w:val="center"/>
                </w:tcPr>
                <w:p>
                  <w:pPr>
                    <w:adjustRightInd w:val="0"/>
                    <w:snapToGrid w:val="0"/>
                    <w:spacing w:before="0" w:line="240" w:lineRule="auto"/>
                    <w:ind w:left="0" w:leftChars="0" w:right="0" w:rightChars="0"/>
                    <w:jc w:val="center"/>
                    <w:rPr>
                      <w:rFonts w:hint="eastAsia" w:ascii="Times New Roman" w:hAnsi="Times New Roman" w:eastAsia="宋体" w:cs="Times New Roman"/>
                      <w:color w:val="0000FF"/>
                      <w:spacing w:val="0"/>
                      <w:w w:val="100"/>
                      <w:position w:val="0"/>
                      <w:sz w:val="21"/>
                      <w:szCs w:val="21"/>
                      <w:highlight w:val="none"/>
                      <w:lang w:val="en-US" w:eastAsia="zh-CN"/>
                    </w:rPr>
                  </w:pPr>
                  <w:r>
                    <w:rPr>
                      <w:rFonts w:hint="eastAsia" w:ascii="Times New Roman" w:hAnsi="Times New Roman" w:eastAsia="宋体" w:cs="Times New Roman"/>
                      <w:color w:val="0000FF"/>
                      <w:spacing w:val="0"/>
                      <w:w w:val="100"/>
                      <w:position w:val="0"/>
                      <w:sz w:val="21"/>
                      <w:szCs w:val="21"/>
                      <w:highlight w:val="none"/>
                      <w:lang w:val="en-US" w:eastAsia="zh-CN"/>
                    </w:rPr>
                    <w:t>100</w:t>
                  </w:r>
                </w:p>
              </w:tc>
              <w:tc>
                <w:tcPr>
                  <w:tcW w:w="1772" w:type="dxa"/>
                  <w:tcBorders>
                    <w:tl2br w:val="nil"/>
                    <w:tr2bl w:val="nil"/>
                  </w:tcBorders>
                  <w:noWrap w:val="0"/>
                  <w:vAlign w:val="center"/>
                </w:tcPr>
                <w:p>
                  <w:pPr>
                    <w:adjustRightInd w:val="0"/>
                    <w:snapToGrid w:val="0"/>
                    <w:spacing w:before="0" w:line="240" w:lineRule="auto"/>
                    <w:ind w:left="0" w:leftChars="0" w:right="0" w:rightChars="0"/>
                    <w:jc w:val="center"/>
                    <w:rPr>
                      <w:rFonts w:hint="default" w:ascii="Times New Roman" w:hAnsi="Times New Roman" w:eastAsia="宋体" w:cs="Times New Roman"/>
                      <w:color w:val="0000FF"/>
                      <w:spacing w:val="0"/>
                      <w:w w:val="100"/>
                      <w:kern w:val="2"/>
                      <w:position w:val="0"/>
                      <w:sz w:val="21"/>
                      <w:szCs w:val="21"/>
                      <w:highlight w:val="none"/>
                      <w:lang w:val="en-US" w:eastAsia="zh-CN" w:bidi="zh-CN"/>
                    </w:rPr>
                  </w:pPr>
                  <w:r>
                    <w:rPr>
                      <w:rFonts w:hint="eastAsia" w:ascii="Times New Roman" w:hAnsi="Times New Roman" w:eastAsia="宋体" w:cs="Times New Roman"/>
                      <w:color w:val="0000FF"/>
                      <w:spacing w:val="0"/>
                      <w:w w:val="100"/>
                      <w:position w:val="0"/>
                      <w:sz w:val="21"/>
                      <w:szCs w:val="21"/>
                      <w:highlight w:val="none"/>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706" w:type="dxa"/>
                  <w:vMerge w:val="continue"/>
                  <w:tcBorders>
                    <w:tl2br w:val="nil"/>
                    <w:tr2bl w:val="nil"/>
                  </w:tcBorders>
                  <w:noWrap w:val="0"/>
                  <w:vAlign w:val="center"/>
                </w:tcPr>
                <w:p>
                  <w:pPr>
                    <w:pStyle w:val="33"/>
                    <w:adjustRightInd w:val="0"/>
                    <w:snapToGrid w:val="0"/>
                    <w:spacing w:before="0" w:line="240" w:lineRule="auto"/>
                    <w:ind w:left="0"/>
                    <w:jc w:val="center"/>
                    <w:rPr>
                      <w:rFonts w:hint="default" w:ascii="Times New Roman" w:hAnsi="Times New Roman" w:eastAsia="宋体" w:cs="Times New Roman"/>
                      <w:color w:val="0000FF"/>
                      <w:spacing w:val="0"/>
                      <w:w w:val="100"/>
                      <w:position w:val="0"/>
                      <w:sz w:val="21"/>
                      <w:szCs w:val="21"/>
                      <w:highlight w:val="none"/>
                    </w:rPr>
                  </w:pPr>
                </w:p>
              </w:tc>
              <w:tc>
                <w:tcPr>
                  <w:tcW w:w="1919" w:type="dxa"/>
                  <w:tcBorders>
                    <w:tl2br w:val="nil"/>
                    <w:tr2bl w:val="nil"/>
                  </w:tcBorders>
                  <w:noWrap w:val="0"/>
                  <w:vAlign w:val="center"/>
                </w:tcPr>
                <w:p>
                  <w:pPr>
                    <w:pStyle w:val="33"/>
                    <w:adjustRightInd w:val="0"/>
                    <w:snapToGrid w:val="0"/>
                    <w:spacing w:before="0" w:line="240" w:lineRule="auto"/>
                    <w:ind w:left="0" w:right="0"/>
                    <w:jc w:val="center"/>
                    <w:rPr>
                      <w:rFonts w:hint="default" w:ascii="Times New Roman" w:hAnsi="Times New Roman" w:eastAsia="宋体" w:cs="Times New Roman"/>
                      <w:color w:val="0000FF"/>
                      <w:spacing w:val="0"/>
                      <w:w w:val="100"/>
                      <w:position w:val="0"/>
                      <w:sz w:val="21"/>
                      <w:szCs w:val="21"/>
                      <w:highlight w:val="none"/>
                    </w:rPr>
                  </w:pPr>
                  <w:r>
                    <w:rPr>
                      <w:rFonts w:hint="default" w:ascii="Times New Roman" w:hAnsi="Times New Roman" w:eastAsia="宋体" w:cs="Times New Roman"/>
                      <w:color w:val="0000FF"/>
                      <w:spacing w:val="0"/>
                      <w:w w:val="100"/>
                      <w:position w:val="0"/>
                      <w:sz w:val="21"/>
                      <w:szCs w:val="21"/>
                      <w:highlight w:val="none"/>
                    </w:rPr>
                    <w:t>去除效率%</w:t>
                  </w:r>
                </w:p>
              </w:tc>
              <w:tc>
                <w:tcPr>
                  <w:tcW w:w="1770" w:type="dxa"/>
                  <w:tcBorders>
                    <w:tl2br w:val="nil"/>
                    <w:tr2bl w:val="nil"/>
                  </w:tcBorders>
                  <w:noWrap w:val="0"/>
                  <w:vAlign w:val="center"/>
                </w:tcPr>
                <w:p>
                  <w:pPr>
                    <w:adjustRightInd w:val="0"/>
                    <w:snapToGrid w:val="0"/>
                    <w:spacing w:before="0" w:line="240" w:lineRule="auto"/>
                    <w:ind w:left="0" w:leftChars="0" w:right="0" w:rightChars="0"/>
                    <w:jc w:val="center"/>
                    <w:rPr>
                      <w:rFonts w:hint="default" w:ascii="Times New Roman" w:hAnsi="Times New Roman" w:eastAsia="宋体" w:cs="Times New Roman"/>
                      <w:color w:val="0000FF"/>
                      <w:spacing w:val="0"/>
                      <w:w w:val="100"/>
                      <w:kern w:val="2"/>
                      <w:position w:val="0"/>
                      <w:sz w:val="21"/>
                      <w:szCs w:val="21"/>
                      <w:highlight w:val="none"/>
                      <w:lang w:val="en-US" w:eastAsia="zh-CN" w:bidi="zh-CN"/>
                    </w:rPr>
                  </w:pPr>
                  <w:r>
                    <w:rPr>
                      <w:rFonts w:hint="eastAsia" w:ascii="Times New Roman" w:hAnsi="Times New Roman" w:eastAsia="宋体" w:cs="Times New Roman"/>
                      <w:color w:val="0000FF"/>
                      <w:spacing w:val="0"/>
                      <w:w w:val="100"/>
                      <w:kern w:val="2"/>
                      <w:position w:val="0"/>
                      <w:sz w:val="21"/>
                      <w:szCs w:val="21"/>
                      <w:highlight w:val="none"/>
                      <w:lang w:val="en-US" w:eastAsia="zh-CN" w:bidi="zh-CN"/>
                    </w:rPr>
                    <w:t>/</w:t>
                  </w:r>
                </w:p>
              </w:tc>
              <w:tc>
                <w:tcPr>
                  <w:tcW w:w="1770" w:type="dxa"/>
                  <w:tcBorders>
                    <w:tl2br w:val="nil"/>
                    <w:tr2bl w:val="nil"/>
                  </w:tcBorders>
                  <w:noWrap w:val="0"/>
                  <w:vAlign w:val="center"/>
                </w:tcPr>
                <w:p>
                  <w:pPr>
                    <w:adjustRightInd w:val="0"/>
                    <w:snapToGrid w:val="0"/>
                    <w:spacing w:before="0" w:line="240" w:lineRule="auto"/>
                    <w:ind w:left="0" w:leftChars="0" w:right="0" w:rightChars="0"/>
                    <w:jc w:val="center"/>
                    <w:rPr>
                      <w:rFonts w:hint="default" w:ascii="Times New Roman" w:hAnsi="Times New Roman" w:eastAsia="宋体" w:cs="Times New Roman"/>
                      <w:color w:val="0000FF"/>
                      <w:spacing w:val="0"/>
                      <w:w w:val="100"/>
                      <w:position w:val="0"/>
                      <w:sz w:val="21"/>
                      <w:szCs w:val="21"/>
                      <w:highlight w:val="none"/>
                      <w:lang w:val="en-US" w:eastAsia="zh-CN"/>
                    </w:rPr>
                  </w:pPr>
                  <w:r>
                    <w:rPr>
                      <w:rFonts w:hint="eastAsia" w:ascii="Times New Roman" w:hAnsi="Times New Roman" w:eastAsia="宋体" w:cs="Times New Roman"/>
                      <w:color w:val="0000FF"/>
                      <w:spacing w:val="0"/>
                      <w:w w:val="100"/>
                      <w:position w:val="0"/>
                      <w:sz w:val="21"/>
                      <w:szCs w:val="21"/>
                      <w:highlight w:val="none"/>
                      <w:lang w:val="en-US" w:eastAsia="zh-CN"/>
                    </w:rPr>
                    <w:t>/</w:t>
                  </w:r>
                </w:p>
              </w:tc>
              <w:tc>
                <w:tcPr>
                  <w:tcW w:w="1772" w:type="dxa"/>
                  <w:tcBorders>
                    <w:tl2br w:val="nil"/>
                    <w:tr2bl w:val="nil"/>
                  </w:tcBorders>
                  <w:noWrap w:val="0"/>
                  <w:vAlign w:val="center"/>
                </w:tcPr>
                <w:p>
                  <w:pPr>
                    <w:adjustRightInd w:val="0"/>
                    <w:snapToGrid w:val="0"/>
                    <w:spacing w:before="0" w:line="240" w:lineRule="auto"/>
                    <w:ind w:left="0" w:leftChars="0" w:right="0" w:rightChars="0"/>
                    <w:jc w:val="center"/>
                    <w:rPr>
                      <w:rFonts w:hint="default" w:ascii="Times New Roman" w:hAnsi="Times New Roman" w:eastAsia="宋体" w:cs="Times New Roman"/>
                      <w:color w:val="0000FF"/>
                      <w:spacing w:val="0"/>
                      <w:w w:val="100"/>
                      <w:kern w:val="2"/>
                      <w:position w:val="0"/>
                      <w:sz w:val="21"/>
                      <w:szCs w:val="21"/>
                      <w:highlight w:val="none"/>
                      <w:lang w:val="en-US" w:eastAsia="zh-CN" w:bidi="zh-CN"/>
                    </w:rPr>
                  </w:pPr>
                  <w:r>
                    <w:rPr>
                      <w:rFonts w:hint="eastAsia" w:ascii="Times New Roman" w:hAnsi="Times New Roman" w:eastAsia="宋体" w:cs="Times New Roman"/>
                      <w:color w:val="0000FF"/>
                      <w:spacing w:val="0"/>
                      <w:w w:val="100"/>
                      <w:kern w:val="2"/>
                      <w:position w:val="0"/>
                      <w:sz w:val="21"/>
                      <w:szCs w:val="21"/>
                      <w:highlight w:val="none"/>
                      <w:lang w:val="en-US" w:eastAsia="zh-CN" w:bidi="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2625" w:type="dxa"/>
                  <w:gridSpan w:val="2"/>
                  <w:tcBorders>
                    <w:tl2br w:val="nil"/>
                    <w:tr2bl w:val="nil"/>
                  </w:tcBorders>
                  <w:noWrap w:val="0"/>
                  <w:vAlign w:val="center"/>
                </w:tcPr>
                <w:p>
                  <w:pPr>
                    <w:pStyle w:val="33"/>
                    <w:adjustRightInd w:val="0"/>
                    <w:snapToGrid w:val="0"/>
                    <w:spacing w:before="0" w:line="240" w:lineRule="auto"/>
                    <w:ind w:left="0"/>
                    <w:jc w:val="center"/>
                    <w:rPr>
                      <w:rFonts w:hint="eastAsia" w:ascii="Times New Roman" w:hAnsi="Times New Roman" w:eastAsia="宋体" w:cs="Times New Roman"/>
                      <w:color w:val="0000FF"/>
                      <w:spacing w:val="0"/>
                      <w:w w:val="100"/>
                      <w:position w:val="0"/>
                      <w:sz w:val="21"/>
                      <w:szCs w:val="21"/>
                      <w:highlight w:val="none"/>
                      <w:lang w:eastAsia="zh-CN"/>
                    </w:rPr>
                  </w:pPr>
                  <w:r>
                    <w:rPr>
                      <w:rFonts w:hint="default" w:ascii="Times New Roman" w:hAnsi="Times New Roman" w:eastAsia="宋体" w:cs="Times New Roman"/>
                      <w:color w:val="0000FF"/>
                      <w:spacing w:val="0"/>
                      <w:w w:val="100"/>
                      <w:position w:val="0"/>
                      <w:sz w:val="21"/>
                      <w:szCs w:val="21"/>
                      <w:highlight w:val="none"/>
                    </w:rPr>
                    <w:t>污染物排放速率</w:t>
                  </w:r>
                  <w:r>
                    <w:rPr>
                      <w:rFonts w:hint="eastAsia" w:ascii="Times New Roman" w:hAnsi="Times New Roman" w:cs="Times New Roman"/>
                      <w:color w:val="0000FF"/>
                      <w:spacing w:val="0"/>
                      <w:w w:val="100"/>
                      <w:position w:val="0"/>
                      <w:sz w:val="21"/>
                      <w:szCs w:val="21"/>
                      <w:highlight w:val="none"/>
                      <w:lang w:eastAsia="zh-CN"/>
                    </w:rPr>
                    <w:t>（</w:t>
                  </w:r>
                  <w:r>
                    <w:rPr>
                      <w:rFonts w:hint="default" w:ascii="Times New Roman" w:hAnsi="Times New Roman" w:eastAsia="宋体" w:cs="Times New Roman"/>
                      <w:color w:val="0000FF"/>
                      <w:spacing w:val="0"/>
                      <w:w w:val="100"/>
                      <w:position w:val="0"/>
                      <w:sz w:val="21"/>
                      <w:szCs w:val="21"/>
                      <w:highlight w:val="none"/>
                      <w:lang w:val="en-US" w:eastAsia="zh-CN"/>
                    </w:rPr>
                    <w:t>kg/h</w:t>
                  </w:r>
                  <w:r>
                    <w:rPr>
                      <w:rFonts w:hint="eastAsia" w:ascii="Times New Roman" w:hAnsi="Times New Roman" w:cs="Times New Roman"/>
                      <w:color w:val="0000FF"/>
                      <w:spacing w:val="0"/>
                      <w:w w:val="100"/>
                      <w:position w:val="0"/>
                      <w:sz w:val="21"/>
                      <w:szCs w:val="21"/>
                      <w:highlight w:val="none"/>
                      <w:lang w:eastAsia="zh-CN"/>
                    </w:rPr>
                    <w:t>）</w:t>
                  </w:r>
                </w:p>
              </w:tc>
              <w:tc>
                <w:tcPr>
                  <w:tcW w:w="177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pacing w:val="0"/>
                      <w:w w:val="100"/>
                      <w:kern w:val="2"/>
                      <w:position w:val="0"/>
                      <w:sz w:val="21"/>
                      <w:szCs w:val="21"/>
                      <w:highlight w:val="none"/>
                      <w:lang w:val="en-US" w:eastAsia="zh-CN" w:bidi="ar-SA"/>
                    </w:rPr>
                  </w:pPr>
                  <w:r>
                    <w:rPr>
                      <w:rFonts w:hint="eastAsia" w:ascii="Times New Roman" w:hAnsi="Times New Roman" w:eastAsia="宋体" w:cs="Times New Roman"/>
                      <w:color w:val="0000FF"/>
                      <w:spacing w:val="0"/>
                      <w:w w:val="100"/>
                      <w:kern w:val="2"/>
                      <w:position w:val="0"/>
                      <w:sz w:val="21"/>
                      <w:szCs w:val="21"/>
                      <w:highlight w:val="none"/>
                      <w:lang w:val="en-US" w:eastAsia="zh-CN" w:bidi="ar-SA"/>
                    </w:rPr>
                    <w:t>0.1</w:t>
                  </w:r>
                  <w:r>
                    <w:rPr>
                      <w:rFonts w:hint="eastAsia" w:cs="Times New Roman"/>
                      <w:color w:val="0000FF"/>
                      <w:spacing w:val="0"/>
                      <w:w w:val="100"/>
                      <w:kern w:val="2"/>
                      <w:position w:val="0"/>
                      <w:sz w:val="21"/>
                      <w:szCs w:val="21"/>
                      <w:highlight w:val="none"/>
                      <w:lang w:val="en-US" w:eastAsia="zh-CN" w:bidi="ar-SA"/>
                    </w:rPr>
                    <w:t>9</w:t>
                  </w:r>
                </w:p>
              </w:tc>
              <w:tc>
                <w:tcPr>
                  <w:tcW w:w="177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pacing w:val="0"/>
                      <w:w w:val="100"/>
                      <w:kern w:val="2"/>
                      <w:position w:val="0"/>
                      <w:sz w:val="21"/>
                      <w:szCs w:val="21"/>
                      <w:highlight w:val="none"/>
                      <w:lang w:val="en-US" w:eastAsia="zh-CN" w:bidi="ar-SA"/>
                    </w:rPr>
                  </w:pPr>
                  <w:r>
                    <w:rPr>
                      <w:rFonts w:hint="eastAsia" w:ascii="Times New Roman" w:hAnsi="Times New Roman" w:eastAsia="宋体" w:cs="Times New Roman"/>
                      <w:color w:val="0000FF"/>
                      <w:spacing w:val="0"/>
                      <w:w w:val="100"/>
                      <w:kern w:val="2"/>
                      <w:position w:val="0"/>
                      <w:sz w:val="21"/>
                      <w:szCs w:val="21"/>
                      <w:highlight w:val="none"/>
                      <w:lang w:val="en-US" w:eastAsia="zh-CN" w:bidi="ar-SA"/>
                    </w:rPr>
                    <w:t>0.3</w:t>
                  </w:r>
                  <w:r>
                    <w:rPr>
                      <w:rFonts w:hint="eastAsia" w:cs="Times New Roman"/>
                      <w:color w:val="0000FF"/>
                      <w:spacing w:val="0"/>
                      <w:w w:val="100"/>
                      <w:kern w:val="2"/>
                      <w:position w:val="0"/>
                      <w:sz w:val="21"/>
                      <w:szCs w:val="21"/>
                      <w:highlight w:val="none"/>
                      <w:lang w:val="en-US" w:eastAsia="zh-CN" w:bidi="ar-SA"/>
                    </w:rPr>
                    <w:t>6</w:t>
                  </w:r>
                </w:p>
              </w:tc>
              <w:tc>
                <w:tcPr>
                  <w:tcW w:w="177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pacing w:val="0"/>
                      <w:w w:val="100"/>
                      <w:kern w:val="2"/>
                      <w:position w:val="0"/>
                      <w:sz w:val="21"/>
                      <w:szCs w:val="21"/>
                      <w:highlight w:val="none"/>
                      <w:lang w:val="en-US" w:eastAsia="zh-CN" w:bidi="ar-SA"/>
                    </w:rPr>
                  </w:pPr>
                  <w:r>
                    <w:rPr>
                      <w:rFonts w:hint="eastAsia" w:ascii="Times New Roman" w:hAnsi="Times New Roman" w:eastAsia="宋体" w:cs="Times New Roman"/>
                      <w:color w:val="0000FF"/>
                      <w:spacing w:val="0"/>
                      <w:w w:val="100"/>
                      <w:kern w:val="2"/>
                      <w:position w:val="0"/>
                      <w:sz w:val="21"/>
                      <w:szCs w:val="21"/>
                      <w:highlight w:val="none"/>
                      <w:lang w:val="en-US" w:eastAsia="zh-CN" w:bidi="ar-SA"/>
                    </w:rPr>
                    <w:t>0.5</w:t>
                  </w:r>
                  <w:r>
                    <w:rPr>
                      <w:rFonts w:hint="eastAsia" w:cs="Times New Roman"/>
                      <w:color w:val="0000FF"/>
                      <w:spacing w:val="0"/>
                      <w:w w:val="100"/>
                      <w:kern w:val="2"/>
                      <w:position w:val="0"/>
                      <w:sz w:val="21"/>
                      <w:szCs w:val="21"/>
                      <w:highlight w:val="none"/>
                      <w:lang w:val="en-US" w:eastAsia="zh-CN" w:bidi="ar-SA"/>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2625" w:type="dxa"/>
                  <w:gridSpan w:val="2"/>
                  <w:tcBorders>
                    <w:tl2br w:val="nil"/>
                    <w:tr2bl w:val="nil"/>
                  </w:tcBorders>
                  <w:noWrap w:val="0"/>
                  <w:vAlign w:val="center"/>
                </w:tcPr>
                <w:p>
                  <w:pPr>
                    <w:pStyle w:val="33"/>
                    <w:adjustRightInd w:val="0"/>
                    <w:snapToGrid w:val="0"/>
                    <w:spacing w:before="0" w:line="240" w:lineRule="auto"/>
                    <w:ind w:left="0" w:right="0"/>
                    <w:jc w:val="center"/>
                    <w:rPr>
                      <w:rFonts w:hint="eastAsia" w:ascii="Times New Roman" w:hAnsi="Times New Roman" w:eastAsia="宋体" w:cs="Times New Roman"/>
                      <w:color w:val="0000FF"/>
                      <w:spacing w:val="0"/>
                      <w:w w:val="100"/>
                      <w:position w:val="0"/>
                      <w:sz w:val="21"/>
                      <w:szCs w:val="21"/>
                      <w:highlight w:val="none"/>
                      <w:lang w:eastAsia="zh-CN"/>
                    </w:rPr>
                  </w:pPr>
                  <w:r>
                    <w:rPr>
                      <w:rFonts w:hint="default" w:ascii="Times New Roman" w:hAnsi="Times New Roman" w:eastAsia="宋体" w:cs="Times New Roman"/>
                      <w:color w:val="0000FF"/>
                      <w:spacing w:val="0"/>
                      <w:w w:val="100"/>
                      <w:position w:val="0"/>
                      <w:sz w:val="21"/>
                      <w:szCs w:val="21"/>
                      <w:highlight w:val="none"/>
                    </w:rPr>
                    <w:t>污染物排放浓度</w:t>
                  </w:r>
                  <w:r>
                    <w:rPr>
                      <w:rFonts w:hint="eastAsia" w:ascii="Times New Roman" w:hAnsi="Times New Roman" w:cs="Times New Roman"/>
                      <w:color w:val="0000FF"/>
                      <w:spacing w:val="0"/>
                      <w:w w:val="100"/>
                      <w:position w:val="0"/>
                      <w:sz w:val="21"/>
                      <w:szCs w:val="21"/>
                      <w:highlight w:val="none"/>
                      <w:lang w:eastAsia="zh-CN"/>
                    </w:rPr>
                    <w:t>（</w:t>
                  </w:r>
                  <w:r>
                    <w:rPr>
                      <w:rFonts w:hint="default" w:ascii="Times New Roman" w:hAnsi="Times New Roman" w:eastAsia="宋体" w:cs="Times New Roman"/>
                      <w:color w:val="0000FF"/>
                      <w:spacing w:val="0"/>
                      <w:w w:val="100"/>
                      <w:kern w:val="2"/>
                      <w:position w:val="0"/>
                      <w:sz w:val="21"/>
                      <w:szCs w:val="21"/>
                      <w:highlight w:val="none"/>
                      <w:lang w:val="zh-CN" w:eastAsia="zh-CN" w:bidi="zh-CN"/>
                    </w:rPr>
                    <w:t>mg/m</w:t>
                  </w:r>
                  <w:r>
                    <w:rPr>
                      <w:rFonts w:hint="default" w:ascii="Times New Roman" w:hAnsi="Times New Roman" w:eastAsia="宋体" w:cs="Times New Roman"/>
                      <w:color w:val="0000FF"/>
                      <w:spacing w:val="0"/>
                      <w:w w:val="100"/>
                      <w:kern w:val="2"/>
                      <w:position w:val="0"/>
                      <w:sz w:val="21"/>
                      <w:szCs w:val="21"/>
                      <w:highlight w:val="none"/>
                      <w:vertAlign w:val="superscript"/>
                      <w:lang w:val="zh-CN" w:eastAsia="zh-CN" w:bidi="zh-CN"/>
                    </w:rPr>
                    <w:t>3</w:t>
                  </w:r>
                  <w:r>
                    <w:rPr>
                      <w:rFonts w:hint="eastAsia" w:ascii="Times New Roman" w:hAnsi="Times New Roman" w:cs="Times New Roman"/>
                      <w:color w:val="0000FF"/>
                      <w:spacing w:val="0"/>
                      <w:w w:val="100"/>
                      <w:position w:val="0"/>
                      <w:sz w:val="21"/>
                      <w:szCs w:val="21"/>
                      <w:highlight w:val="none"/>
                      <w:lang w:eastAsia="zh-CN"/>
                    </w:rPr>
                    <w:t>）</w:t>
                  </w:r>
                </w:p>
              </w:tc>
              <w:tc>
                <w:tcPr>
                  <w:tcW w:w="177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pacing w:val="0"/>
                      <w:w w:val="100"/>
                      <w:kern w:val="2"/>
                      <w:position w:val="0"/>
                      <w:sz w:val="21"/>
                      <w:szCs w:val="21"/>
                      <w:highlight w:val="none"/>
                      <w:lang w:val="en-US" w:eastAsia="zh-CN" w:bidi="zh-CN"/>
                    </w:rPr>
                  </w:pPr>
                  <w:r>
                    <w:rPr>
                      <w:rFonts w:hint="eastAsia" w:ascii="Times New Roman" w:hAnsi="Times New Roman" w:eastAsia="宋体" w:cs="Times New Roman"/>
                      <w:color w:val="0000FF"/>
                      <w:spacing w:val="0"/>
                      <w:w w:val="100"/>
                      <w:kern w:val="2"/>
                      <w:position w:val="0"/>
                      <w:sz w:val="21"/>
                      <w:szCs w:val="21"/>
                      <w:highlight w:val="none"/>
                      <w:lang w:val="en-US" w:eastAsia="zh-CN" w:bidi="zh-CN"/>
                    </w:rPr>
                    <w:t>9.64</w:t>
                  </w:r>
                </w:p>
              </w:tc>
              <w:tc>
                <w:tcPr>
                  <w:tcW w:w="177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FF"/>
                      <w:spacing w:val="0"/>
                      <w:w w:val="100"/>
                      <w:kern w:val="2"/>
                      <w:position w:val="0"/>
                      <w:sz w:val="21"/>
                      <w:szCs w:val="21"/>
                      <w:highlight w:val="none"/>
                      <w:lang w:val="en-US" w:eastAsia="zh-CN" w:bidi="zh-CN"/>
                    </w:rPr>
                  </w:pPr>
                  <w:r>
                    <w:rPr>
                      <w:rFonts w:hint="eastAsia" w:ascii="Times New Roman" w:hAnsi="Times New Roman" w:eastAsia="宋体" w:cs="Times New Roman"/>
                      <w:color w:val="0000FF"/>
                      <w:spacing w:val="0"/>
                      <w:w w:val="100"/>
                      <w:kern w:val="2"/>
                      <w:position w:val="0"/>
                      <w:sz w:val="21"/>
                      <w:szCs w:val="21"/>
                      <w:highlight w:val="none"/>
                      <w:lang w:val="en-US" w:eastAsia="zh-CN" w:bidi="zh-CN"/>
                    </w:rPr>
                    <w:t>18.56</w:t>
                  </w:r>
                </w:p>
              </w:tc>
              <w:tc>
                <w:tcPr>
                  <w:tcW w:w="177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pacing w:val="0"/>
                      <w:w w:val="100"/>
                      <w:kern w:val="2"/>
                      <w:position w:val="0"/>
                      <w:sz w:val="21"/>
                      <w:szCs w:val="21"/>
                      <w:highlight w:val="none"/>
                      <w:lang w:val="en-US" w:eastAsia="zh-CN" w:bidi="zh-CN"/>
                    </w:rPr>
                  </w:pPr>
                  <w:r>
                    <w:rPr>
                      <w:rFonts w:hint="eastAsia" w:ascii="Times New Roman" w:hAnsi="Times New Roman" w:eastAsia="宋体" w:cs="Times New Roman"/>
                      <w:color w:val="0000FF"/>
                      <w:spacing w:val="0"/>
                      <w:w w:val="100"/>
                      <w:kern w:val="2"/>
                      <w:position w:val="0"/>
                      <w:sz w:val="21"/>
                      <w:szCs w:val="21"/>
                      <w:highlight w:val="none"/>
                      <w:lang w:val="en-US" w:eastAsia="zh-CN" w:bidi="zh-CN"/>
                    </w:rPr>
                    <w:t>28.13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2625" w:type="dxa"/>
                  <w:gridSpan w:val="2"/>
                  <w:tcBorders>
                    <w:tl2br w:val="nil"/>
                    <w:tr2bl w:val="nil"/>
                  </w:tcBorders>
                  <w:noWrap w:val="0"/>
                  <w:vAlign w:val="center"/>
                </w:tcPr>
                <w:p>
                  <w:pPr>
                    <w:pStyle w:val="33"/>
                    <w:adjustRightInd w:val="0"/>
                    <w:snapToGrid w:val="0"/>
                    <w:spacing w:before="0" w:line="240" w:lineRule="auto"/>
                    <w:ind w:left="0" w:right="0"/>
                    <w:jc w:val="center"/>
                    <w:rPr>
                      <w:rFonts w:hint="default" w:ascii="Times New Roman" w:hAnsi="Times New Roman" w:eastAsia="宋体" w:cs="Times New Roman"/>
                      <w:color w:val="0000FF"/>
                      <w:spacing w:val="0"/>
                      <w:w w:val="100"/>
                      <w:position w:val="0"/>
                      <w:sz w:val="21"/>
                      <w:szCs w:val="21"/>
                      <w:highlight w:val="none"/>
                      <w:lang w:eastAsia="zh-CN"/>
                    </w:rPr>
                  </w:pPr>
                  <w:r>
                    <w:rPr>
                      <w:rFonts w:hint="default" w:ascii="Times New Roman" w:hAnsi="Times New Roman" w:eastAsia="宋体" w:cs="Times New Roman"/>
                      <w:color w:val="0000FF"/>
                      <w:spacing w:val="0"/>
                      <w:w w:val="100"/>
                      <w:position w:val="0"/>
                      <w:sz w:val="21"/>
                      <w:szCs w:val="21"/>
                      <w:highlight w:val="none"/>
                    </w:rPr>
                    <w:t>污染物</w:t>
                  </w:r>
                  <w:r>
                    <w:rPr>
                      <w:rFonts w:hint="default" w:ascii="Times New Roman" w:hAnsi="Times New Roman" w:eastAsia="宋体" w:cs="Times New Roman"/>
                      <w:color w:val="0000FF"/>
                      <w:spacing w:val="0"/>
                      <w:w w:val="100"/>
                      <w:position w:val="0"/>
                      <w:sz w:val="21"/>
                      <w:szCs w:val="21"/>
                      <w:highlight w:val="none"/>
                      <w:lang w:eastAsia="zh-CN"/>
                    </w:rPr>
                    <w:t>排放量</w:t>
                  </w:r>
                  <w:r>
                    <w:rPr>
                      <w:rFonts w:hint="eastAsia" w:ascii="Times New Roman" w:hAnsi="Times New Roman" w:cs="Times New Roman"/>
                      <w:color w:val="0000FF"/>
                      <w:spacing w:val="0"/>
                      <w:w w:val="100"/>
                      <w:position w:val="0"/>
                      <w:sz w:val="21"/>
                      <w:szCs w:val="21"/>
                      <w:highlight w:val="none"/>
                      <w:lang w:eastAsia="zh-CN"/>
                    </w:rPr>
                    <w:t>（</w:t>
                  </w:r>
                  <w:r>
                    <w:rPr>
                      <w:rFonts w:hint="default" w:ascii="Times New Roman" w:hAnsi="Times New Roman" w:eastAsia="宋体" w:cs="Times New Roman"/>
                      <w:color w:val="0000FF"/>
                      <w:spacing w:val="0"/>
                      <w:w w:val="100"/>
                      <w:kern w:val="2"/>
                      <w:position w:val="0"/>
                      <w:sz w:val="21"/>
                      <w:szCs w:val="21"/>
                      <w:highlight w:val="none"/>
                      <w:lang w:val="zh-CN" w:eastAsia="zh-CN" w:bidi="zh-CN"/>
                    </w:rPr>
                    <w:t>t/a</w:t>
                  </w:r>
                  <w:r>
                    <w:rPr>
                      <w:rFonts w:hint="eastAsia" w:ascii="Times New Roman" w:hAnsi="Times New Roman" w:cs="Times New Roman"/>
                      <w:color w:val="0000FF"/>
                      <w:spacing w:val="0"/>
                      <w:w w:val="100"/>
                      <w:position w:val="0"/>
                      <w:sz w:val="21"/>
                      <w:szCs w:val="21"/>
                      <w:highlight w:val="none"/>
                      <w:lang w:eastAsia="zh-CN"/>
                    </w:rPr>
                    <w:t>）</w:t>
                  </w:r>
                </w:p>
              </w:tc>
              <w:tc>
                <w:tcPr>
                  <w:tcW w:w="177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pacing w:val="0"/>
                      <w:w w:val="100"/>
                      <w:kern w:val="2"/>
                      <w:position w:val="0"/>
                      <w:sz w:val="21"/>
                      <w:szCs w:val="21"/>
                      <w:highlight w:val="none"/>
                      <w:lang w:val="en-US" w:eastAsia="zh-CN" w:bidi="zh-CN"/>
                    </w:rPr>
                  </w:pPr>
                  <w:r>
                    <w:rPr>
                      <w:rFonts w:hint="eastAsia" w:ascii="Times New Roman" w:hAnsi="Times New Roman" w:eastAsia="宋体" w:cs="Times New Roman"/>
                      <w:color w:val="0000FF"/>
                      <w:spacing w:val="0"/>
                      <w:w w:val="100"/>
                      <w:kern w:val="2"/>
                      <w:position w:val="0"/>
                      <w:sz w:val="21"/>
                      <w:szCs w:val="21"/>
                      <w:highlight w:val="none"/>
                      <w:lang w:val="en-US" w:eastAsia="zh-CN" w:bidi="zh-CN"/>
                    </w:rPr>
                    <w:t>1.35</w:t>
                  </w:r>
                </w:p>
              </w:tc>
              <w:tc>
                <w:tcPr>
                  <w:tcW w:w="177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FF"/>
                      <w:spacing w:val="0"/>
                      <w:w w:val="100"/>
                      <w:kern w:val="2"/>
                      <w:position w:val="0"/>
                      <w:sz w:val="21"/>
                      <w:szCs w:val="21"/>
                      <w:highlight w:val="none"/>
                      <w:lang w:val="en-US" w:eastAsia="zh-CN" w:bidi="zh-CN"/>
                    </w:rPr>
                  </w:pPr>
                  <w:r>
                    <w:rPr>
                      <w:rFonts w:hint="eastAsia" w:ascii="Times New Roman" w:hAnsi="Times New Roman" w:eastAsia="宋体" w:cs="Times New Roman"/>
                      <w:color w:val="0000FF"/>
                      <w:spacing w:val="0"/>
                      <w:w w:val="100"/>
                      <w:kern w:val="2"/>
                      <w:position w:val="0"/>
                      <w:sz w:val="21"/>
                      <w:szCs w:val="21"/>
                      <w:highlight w:val="none"/>
                      <w:lang w:val="en-US" w:eastAsia="zh-CN" w:bidi="zh-CN"/>
                    </w:rPr>
                    <w:t>2.60</w:t>
                  </w:r>
                </w:p>
              </w:tc>
              <w:tc>
                <w:tcPr>
                  <w:tcW w:w="177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pacing w:val="0"/>
                      <w:w w:val="100"/>
                      <w:kern w:val="2"/>
                      <w:position w:val="0"/>
                      <w:sz w:val="21"/>
                      <w:szCs w:val="21"/>
                      <w:highlight w:val="none"/>
                      <w:lang w:val="en-US" w:eastAsia="zh-CN" w:bidi="zh-CN"/>
                    </w:rPr>
                  </w:pPr>
                  <w:r>
                    <w:rPr>
                      <w:rFonts w:hint="eastAsia" w:ascii="Times New Roman" w:hAnsi="Times New Roman" w:eastAsia="宋体" w:cs="Times New Roman"/>
                      <w:color w:val="0000FF"/>
                      <w:spacing w:val="0"/>
                      <w:w w:val="100"/>
                      <w:kern w:val="2"/>
                      <w:position w:val="0"/>
                      <w:sz w:val="21"/>
                      <w:szCs w:val="21"/>
                      <w:highlight w:val="none"/>
                      <w:lang w:val="en-US" w:eastAsia="zh-CN" w:bidi="zh-CN"/>
                    </w:rPr>
                    <w:t>3.94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706" w:type="dxa"/>
                  <w:vMerge w:val="restart"/>
                  <w:tcBorders>
                    <w:tl2br w:val="nil"/>
                    <w:tr2bl w:val="nil"/>
                  </w:tcBorders>
                  <w:noWrap w:val="0"/>
                  <w:vAlign w:val="center"/>
                </w:tcPr>
                <w:p>
                  <w:pPr>
                    <w:pStyle w:val="33"/>
                    <w:adjustRightInd w:val="0"/>
                    <w:snapToGrid w:val="0"/>
                    <w:spacing w:before="0" w:line="240" w:lineRule="auto"/>
                    <w:ind w:left="0" w:right="0"/>
                    <w:jc w:val="center"/>
                    <w:rPr>
                      <w:rFonts w:hint="default" w:ascii="Times New Roman" w:hAnsi="Times New Roman" w:eastAsia="宋体" w:cs="Times New Roman"/>
                      <w:color w:val="0000FF"/>
                      <w:spacing w:val="0"/>
                      <w:w w:val="100"/>
                      <w:position w:val="0"/>
                      <w:sz w:val="21"/>
                      <w:szCs w:val="21"/>
                      <w:highlight w:val="none"/>
                    </w:rPr>
                  </w:pPr>
                  <w:r>
                    <w:rPr>
                      <w:rFonts w:hint="default" w:ascii="Times New Roman" w:hAnsi="Times New Roman" w:eastAsia="宋体" w:cs="Times New Roman"/>
                      <w:color w:val="0000FF"/>
                      <w:spacing w:val="0"/>
                      <w:w w:val="100"/>
                      <w:position w:val="0"/>
                      <w:sz w:val="21"/>
                      <w:szCs w:val="21"/>
                      <w:highlight w:val="none"/>
                    </w:rPr>
                    <w:t>排放口基本情况</w:t>
                  </w:r>
                </w:p>
              </w:tc>
              <w:tc>
                <w:tcPr>
                  <w:tcW w:w="1919" w:type="dxa"/>
                  <w:tcBorders>
                    <w:tl2br w:val="nil"/>
                    <w:tr2bl w:val="nil"/>
                  </w:tcBorders>
                  <w:noWrap w:val="0"/>
                  <w:vAlign w:val="center"/>
                </w:tcPr>
                <w:p>
                  <w:pPr>
                    <w:pStyle w:val="33"/>
                    <w:adjustRightInd w:val="0"/>
                    <w:snapToGrid w:val="0"/>
                    <w:spacing w:before="0" w:line="240" w:lineRule="auto"/>
                    <w:ind w:left="0" w:right="0"/>
                    <w:jc w:val="center"/>
                    <w:rPr>
                      <w:rFonts w:hint="default" w:ascii="Times New Roman" w:hAnsi="Times New Roman" w:eastAsia="宋体" w:cs="Times New Roman"/>
                      <w:color w:val="0000FF"/>
                      <w:spacing w:val="0"/>
                      <w:w w:val="100"/>
                      <w:position w:val="0"/>
                      <w:sz w:val="21"/>
                      <w:szCs w:val="21"/>
                      <w:highlight w:val="none"/>
                    </w:rPr>
                  </w:pPr>
                  <w:r>
                    <w:rPr>
                      <w:rFonts w:hint="default" w:ascii="Times New Roman" w:hAnsi="Times New Roman" w:eastAsia="宋体" w:cs="Times New Roman"/>
                      <w:color w:val="0000FF"/>
                      <w:spacing w:val="0"/>
                      <w:w w:val="100"/>
                      <w:position w:val="0"/>
                      <w:sz w:val="21"/>
                      <w:szCs w:val="21"/>
                      <w:highlight w:val="none"/>
                    </w:rPr>
                    <w:t>编号</w:t>
                  </w:r>
                </w:p>
              </w:tc>
              <w:tc>
                <w:tcPr>
                  <w:tcW w:w="5312" w:type="dxa"/>
                  <w:gridSpan w:val="3"/>
                  <w:tcBorders>
                    <w:tl2br w:val="nil"/>
                    <w:tr2bl w:val="nil"/>
                  </w:tcBorders>
                  <w:noWrap w:val="0"/>
                  <w:vAlign w:val="center"/>
                </w:tcPr>
                <w:p>
                  <w:pPr>
                    <w:pStyle w:val="33"/>
                    <w:adjustRightInd w:val="0"/>
                    <w:snapToGrid w:val="0"/>
                    <w:spacing w:before="0" w:line="240" w:lineRule="auto"/>
                    <w:ind w:left="0" w:leftChars="0" w:right="0" w:rightChars="0"/>
                    <w:jc w:val="center"/>
                    <w:rPr>
                      <w:rFonts w:hint="eastAsia" w:ascii="Times New Roman" w:hAnsi="Times New Roman" w:eastAsia="宋体" w:cs="Times New Roman"/>
                      <w:color w:val="0000FF"/>
                      <w:spacing w:val="0"/>
                      <w:w w:val="100"/>
                      <w:position w:val="0"/>
                      <w:sz w:val="21"/>
                      <w:szCs w:val="21"/>
                      <w:highlight w:val="none"/>
                      <w:lang w:val="en-US" w:eastAsia="zh-CN"/>
                    </w:rPr>
                  </w:pPr>
                  <w:r>
                    <w:rPr>
                      <w:rFonts w:hint="default" w:ascii="Times New Roman" w:hAnsi="Times New Roman" w:eastAsia="宋体" w:cs="Times New Roman"/>
                      <w:color w:val="0000FF"/>
                      <w:spacing w:val="0"/>
                      <w:w w:val="100"/>
                      <w:position w:val="0"/>
                      <w:sz w:val="21"/>
                      <w:szCs w:val="21"/>
                      <w:highlight w:val="none"/>
                    </w:rPr>
                    <w:t>DA00</w:t>
                  </w:r>
                  <w:r>
                    <w:rPr>
                      <w:rFonts w:hint="eastAsia" w:ascii="Times New Roman" w:hAnsi="Times New Roman" w:eastAsia="宋体" w:cs="Times New Roman"/>
                      <w:color w:val="0000FF"/>
                      <w:spacing w:val="0"/>
                      <w:w w:val="100"/>
                      <w:position w:val="0"/>
                      <w:sz w:val="21"/>
                      <w:szCs w:val="21"/>
                      <w:highlight w:val="none"/>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706" w:type="dxa"/>
                  <w:vMerge w:val="continue"/>
                  <w:tcBorders>
                    <w:tl2br w:val="nil"/>
                    <w:tr2bl w:val="nil"/>
                  </w:tcBorders>
                  <w:noWrap w:val="0"/>
                  <w:vAlign w:val="center"/>
                </w:tcPr>
                <w:p>
                  <w:pPr>
                    <w:pStyle w:val="33"/>
                    <w:adjustRightInd w:val="0"/>
                    <w:snapToGrid w:val="0"/>
                    <w:spacing w:before="0" w:line="240" w:lineRule="auto"/>
                    <w:ind w:left="0"/>
                    <w:jc w:val="center"/>
                    <w:rPr>
                      <w:rFonts w:hint="default" w:ascii="Times New Roman" w:hAnsi="Times New Roman" w:eastAsia="宋体" w:cs="Times New Roman"/>
                      <w:color w:val="0000FF"/>
                      <w:spacing w:val="0"/>
                      <w:w w:val="100"/>
                      <w:position w:val="0"/>
                      <w:sz w:val="21"/>
                      <w:szCs w:val="21"/>
                      <w:highlight w:val="none"/>
                    </w:rPr>
                  </w:pPr>
                </w:p>
              </w:tc>
              <w:tc>
                <w:tcPr>
                  <w:tcW w:w="1919" w:type="dxa"/>
                  <w:tcBorders>
                    <w:tl2br w:val="nil"/>
                    <w:tr2bl w:val="nil"/>
                  </w:tcBorders>
                  <w:noWrap w:val="0"/>
                  <w:vAlign w:val="center"/>
                </w:tcPr>
                <w:p>
                  <w:pPr>
                    <w:pStyle w:val="33"/>
                    <w:adjustRightInd w:val="0"/>
                    <w:snapToGrid w:val="0"/>
                    <w:spacing w:before="0" w:line="240" w:lineRule="auto"/>
                    <w:ind w:left="0" w:right="0"/>
                    <w:jc w:val="center"/>
                    <w:rPr>
                      <w:rFonts w:hint="default" w:ascii="Times New Roman" w:hAnsi="Times New Roman" w:eastAsia="宋体" w:cs="Times New Roman"/>
                      <w:color w:val="0000FF"/>
                      <w:spacing w:val="0"/>
                      <w:w w:val="100"/>
                      <w:position w:val="0"/>
                      <w:sz w:val="21"/>
                      <w:szCs w:val="21"/>
                      <w:highlight w:val="none"/>
                    </w:rPr>
                  </w:pPr>
                  <w:r>
                    <w:rPr>
                      <w:rFonts w:hint="default" w:ascii="Times New Roman" w:hAnsi="Times New Roman" w:eastAsia="宋体" w:cs="Times New Roman"/>
                      <w:color w:val="0000FF"/>
                      <w:spacing w:val="0"/>
                      <w:w w:val="100"/>
                      <w:position w:val="0"/>
                      <w:sz w:val="21"/>
                      <w:szCs w:val="21"/>
                      <w:highlight w:val="none"/>
                    </w:rPr>
                    <w:t>名称</w:t>
                  </w:r>
                </w:p>
              </w:tc>
              <w:tc>
                <w:tcPr>
                  <w:tcW w:w="5312" w:type="dxa"/>
                  <w:gridSpan w:val="3"/>
                  <w:tcBorders>
                    <w:tl2br w:val="nil"/>
                    <w:tr2bl w:val="nil"/>
                  </w:tcBorders>
                  <w:noWrap w:val="0"/>
                  <w:vAlign w:val="center"/>
                </w:tcPr>
                <w:p>
                  <w:pPr>
                    <w:adjustRightInd w:val="0"/>
                    <w:snapToGrid w:val="0"/>
                    <w:spacing w:before="0" w:line="240" w:lineRule="auto"/>
                    <w:ind w:left="0" w:leftChars="0" w:right="0" w:rightChars="0"/>
                    <w:jc w:val="center"/>
                    <w:rPr>
                      <w:rFonts w:hint="eastAsia" w:ascii="Times New Roman" w:hAnsi="Times New Roman" w:eastAsia="宋体" w:cs="Times New Roman"/>
                      <w:color w:val="0000FF"/>
                      <w:spacing w:val="0"/>
                      <w:w w:val="100"/>
                      <w:position w:val="0"/>
                      <w:sz w:val="21"/>
                      <w:szCs w:val="21"/>
                      <w:highlight w:val="none"/>
                      <w:lang w:val="en-US" w:eastAsia="zh-CN"/>
                    </w:rPr>
                  </w:pPr>
                  <w:r>
                    <w:rPr>
                      <w:rFonts w:hint="eastAsia" w:cs="Times New Roman"/>
                      <w:color w:val="0000FF"/>
                      <w:spacing w:val="0"/>
                      <w:w w:val="100"/>
                      <w:position w:val="0"/>
                      <w:sz w:val="21"/>
                      <w:szCs w:val="21"/>
                      <w:highlight w:val="none"/>
                      <w:lang w:val="en-US" w:eastAsia="zh-CN"/>
                    </w:rPr>
                    <w:t>天然气锅炉</w:t>
                  </w:r>
                  <w:r>
                    <w:rPr>
                      <w:rFonts w:hint="default" w:ascii="Times New Roman" w:hAnsi="Times New Roman" w:eastAsia="宋体" w:cs="Times New Roman"/>
                      <w:color w:val="0000FF"/>
                      <w:spacing w:val="0"/>
                      <w:w w:val="100"/>
                      <w:position w:val="0"/>
                      <w:sz w:val="21"/>
                      <w:szCs w:val="21"/>
                      <w:highlight w:val="none"/>
                    </w:rPr>
                    <w:t>排气筒</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706" w:type="dxa"/>
                  <w:vMerge w:val="continue"/>
                  <w:tcBorders>
                    <w:tl2br w:val="nil"/>
                    <w:tr2bl w:val="nil"/>
                  </w:tcBorders>
                  <w:noWrap w:val="0"/>
                  <w:vAlign w:val="center"/>
                </w:tcPr>
                <w:p>
                  <w:pPr>
                    <w:pStyle w:val="33"/>
                    <w:adjustRightInd w:val="0"/>
                    <w:snapToGrid w:val="0"/>
                    <w:spacing w:before="0" w:line="240" w:lineRule="auto"/>
                    <w:ind w:left="0"/>
                    <w:jc w:val="center"/>
                    <w:rPr>
                      <w:rFonts w:hint="default" w:ascii="Times New Roman" w:hAnsi="Times New Roman" w:eastAsia="宋体" w:cs="Times New Roman"/>
                      <w:color w:val="0000FF"/>
                      <w:spacing w:val="0"/>
                      <w:w w:val="100"/>
                      <w:position w:val="0"/>
                      <w:sz w:val="21"/>
                      <w:szCs w:val="21"/>
                      <w:highlight w:val="none"/>
                    </w:rPr>
                  </w:pPr>
                </w:p>
              </w:tc>
              <w:tc>
                <w:tcPr>
                  <w:tcW w:w="1919" w:type="dxa"/>
                  <w:tcBorders>
                    <w:tl2br w:val="nil"/>
                    <w:tr2bl w:val="nil"/>
                  </w:tcBorders>
                  <w:noWrap w:val="0"/>
                  <w:vAlign w:val="center"/>
                </w:tcPr>
                <w:p>
                  <w:pPr>
                    <w:pStyle w:val="33"/>
                    <w:adjustRightInd w:val="0"/>
                    <w:snapToGrid w:val="0"/>
                    <w:spacing w:before="0" w:line="240" w:lineRule="auto"/>
                    <w:ind w:left="0" w:right="0"/>
                    <w:jc w:val="center"/>
                    <w:rPr>
                      <w:rFonts w:hint="default" w:ascii="Times New Roman" w:hAnsi="Times New Roman" w:eastAsia="宋体" w:cs="Times New Roman"/>
                      <w:color w:val="0000FF"/>
                      <w:spacing w:val="0"/>
                      <w:w w:val="100"/>
                      <w:position w:val="0"/>
                      <w:sz w:val="21"/>
                      <w:szCs w:val="21"/>
                      <w:highlight w:val="none"/>
                    </w:rPr>
                  </w:pPr>
                  <w:r>
                    <w:rPr>
                      <w:rFonts w:hint="default" w:ascii="Times New Roman" w:hAnsi="Times New Roman" w:eastAsia="宋体" w:cs="Times New Roman"/>
                      <w:color w:val="0000FF"/>
                      <w:spacing w:val="0"/>
                      <w:w w:val="100"/>
                      <w:position w:val="0"/>
                      <w:sz w:val="21"/>
                      <w:szCs w:val="21"/>
                      <w:highlight w:val="none"/>
                    </w:rPr>
                    <w:t>坐标</w:t>
                  </w:r>
                </w:p>
              </w:tc>
              <w:tc>
                <w:tcPr>
                  <w:tcW w:w="5312" w:type="dxa"/>
                  <w:gridSpan w:val="3"/>
                  <w:tcBorders>
                    <w:tl2br w:val="nil"/>
                    <w:tr2bl w:val="nil"/>
                  </w:tcBorders>
                  <w:noWrap w:val="0"/>
                  <w:vAlign w:val="center"/>
                </w:tcPr>
                <w:p>
                  <w:pPr>
                    <w:pStyle w:val="33"/>
                    <w:adjustRightInd w:val="0"/>
                    <w:snapToGrid w:val="0"/>
                    <w:spacing w:before="0" w:line="240" w:lineRule="auto"/>
                    <w:ind w:left="0"/>
                    <w:jc w:val="center"/>
                    <w:rPr>
                      <w:rFonts w:hint="default" w:ascii="Times New Roman" w:hAnsi="Times New Roman" w:eastAsia="宋体" w:cs="Times New Roman"/>
                      <w:color w:val="0000FF"/>
                      <w:spacing w:val="0"/>
                      <w:w w:val="100"/>
                      <w:position w:val="0"/>
                      <w:sz w:val="21"/>
                      <w:szCs w:val="21"/>
                      <w:highlight w:val="none"/>
                      <w:lang w:val="en-US" w:eastAsia="zh-CN"/>
                    </w:rPr>
                  </w:pPr>
                  <w:r>
                    <w:rPr>
                      <w:rFonts w:hint="default" w:ascii="Times New Roman" w:hAnsi="Times New Roman" w:eastAsia="宋体" w:cs="Times New Roman"/>
                      <w:color w:val="0000FF"/>
                      <w:spacing w:val="0"/>
                      <w:w w:val="100"/>
                      <w:position w:val="0"/>
                      <w:sz w:val="21"/>
                      <w:szCs w:val="21"/>
                      <w:highlight w:val="none"/>
                      <w:lang w:val="en-US" w:eastAsia="zh-CN"/>
                    </w:rPr>
                    <w:t>118°4′38.780′′</w:t>
                  </w:r>
                  <w:r>
                    <w:rPr>
                      <w:rFonts w:hint="eastAsia" w:ascii="Times New Roman" w:hAnsi="Times New Roman" w:eastAsia="宋体" w:cs="Times New Roman"/>
                      <w:color w:val="0000FF"/>
                      <w:spacing w:val="0"/>
                      <w:w w:val="100"/>
                      <w:position w:val="0"/>
                      <w:sz w:val="21"/>
                      <w:szCs w:val="21"/>
                      <w:highlight w:val="none"/>
                      <w:lang w:val="en-US" w:eastAsia="zh-CN"/>
                    </w:rPr>
                    <w:t>E,</w:t>
                  </w:r>
                  <w:r>
                    <w:rPr>
                      <w:rFonts w:hint="default" w:ascii="Times New Roman" w:hAnsi="Times New Roman" w:eastAsia="宋体" w:cs="Times New Roman"/>
                      <w:color w:val="0000FF"/>
                      <w:spacing w:val="0"/>
                      <w:w w:val="100"/>
                      <w:position w:val="0"/>
                      <w:sz w:val="21"/>
                      <w:szCs w:val="21"/>
                      <w:highlight w:val="none"/>
                      <w:lang w:val="en-US" w:eastAsia="zh-CN"/>
                    </w:rPr>
                    <w:t>36°53′44.496′′</w:t>
                  </w:r>
                  <w:r>
                    <w:rPr>
                      <w:rFonts w:hint="eastAsia" w:ascii="Times New Roman" w:hAnsi="Times New Roman" w:eastAsia="宋体" w:cs="Times New Roman"/>
                      <w:color w:val="0000FF"/>
                      <w:spacing w:val="0"/>
                      <w:w w:val="100"/>
                      <w:position w:val="0"/>
                      <w:sz w:val="21"/>
                      <w:szCs w:val="21"/>
                      <w:highlight w:val="none"/>
                      <w:lang w:val="en-US" w:eastAsia="zh-CN"/>
                    </w:rPr>
                    <w:t>N</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706" w:type="dxa"/>
                  <w:vMerge w:val="continue"/>
                  <w:tcBorders>
                    <w:tl2br w:val="nil"/>
                    <w:tr2bl w:val="nil"/>
                  </w:tcBorders>
                  <w:noWrap w:val="0"/>
                  <w:vAlign w:val="center"/>
                </w:tcPr>
                <w:p>
                  <w:pPr>
                    <w:pStyle w:val="33"/>
                    <w:adjustRightInd w:val="0"/>
                    <w:snapToGrid w:val="0"/>
                    <w:spacing w:before="0" w:line="240" w:lineRule="auto"/>
                    <w:ind w:left="0"/>
                    <w:jc w:val="center"/>
                    <w:rPr>
                      <w:rFonts w:hint="default" w:ascii="Times New Roman" w:hAnsi="Times New Roman" w:eastAsia="宋体" w:cs="Times New Roman"/>
                      <w:color w:val="0000FF"/>
                      <w:spacing w:val="0"/>
                      <w:w w:val="100"/>
                      <w:position w:val="0"/>
                      <w:sz w:val="21"/>
                      <w:szCs w:val="21"/>
                      <w:highlight w:val="none"/>
                    </w:rPr>
                  </w:pPr>
                </w:p>
              </w:tc>
              <w:tc>
                <w:tcPr>
                  <w:tcW w:w="1919" w:type="dxa"/>
                  <w:tcBorders>
                    <w:tl2br w:val="nil"/>
                    <w:tr2bl w:val="nil"/>
                  </w:tcBorders>
                  <w:noWrap w:val="0"/>
                  <w:vAlign w:val="center"/>
                </w:tcPr>
                <w:p>
                  <w:pPr>
                    <w:pStyle w:val="33"/>
                    <w:adjustRightInd w:val="0"/>
                    <w:snapToGrid w:val="0"/>
                    <w:spacing w:before="0" w:line="240" w:lineRule="auto"/>
                    <w:ind w:left="0" w:right="0"/>
                    <w:jc w:val="center"/>
                    <w:rPr>
                      <w:rFonts w:hint="default" w:ascii="Times New Roman" w:hAnsi="Times New Roman" w:eastAsia="宋体" w:cs="Times New Roman"/>
                      <w:color w:val="0000FF"/>
                      <w:spacing w:val="0"/>
                      <w:w w:val="100"/>
                      <w:position w:val="0"/>
                      <w:sz w:val="21"/>
                      <w:szCs w:val="21"/>
                      <w:highlight w:val="none"/>
                    </w:rPr>
                  </w:pPr>
                  <w:r>
                    <w:rPr>
                      <w:rFonts w:hint="default" w:ascii="Times New Roman" w:hAnsi="Times New Roman" w:eastAsia="宋体" w:cs="Times New Roman"/>
                      <w:color w:val="0000FF"/>
                      <w:spacing w:val="0"/>
                      <w:w w:val="100"/>
                      <w:position w:val="0"/>
                      <w:sz w:val="21"/>
                      <w:szCs w:val="21"/>
                      <w:highlight w:val="none"/>
                    </w:rPr>
                    <w:t>排放口类型</w:t>
                  </w:r>
                </w:p>
              </w:tc>
              <w:tc>
                <w:tcPr>
                  <w:tcW w:w="5312" w:type="dxa"/>
                  <w:gridSpan w:val="3"/>
                  <w:tcBorders>
                    <w:tl2br w:val="nil"/>
                    <w:tr2bl w:val="nil"/>
                  </w:tcBorders>
                  <w:noWrap w:val="0"/>
                  <w:vAlign w:val="center"/>
                </w:tcPr>
                <w:p>
                  <w:pPr>
                    <w:pStyle w:val="33"/>
                    <w:adjustRightInd w:val="0"/>
                    <w:snapToGrid w:val="0"/>
                    <w:spacing w:before="0" w:line="240" w:lineRule="auto"/>
                    <w:ind w:left="0" w:right="0"/>
                    <w:jc w:val="center"/>
                    <w:rPr>
                      <w:rFonts w:hint="eastAsia" w:ascii="Times New Roman" w:hAnsi="Times New Roman" w:cs="Times New Roman"/>
                      <w:color w:val="0000FF"/>
                      <w:spacing w:val="0"/>
                      <w:w w:val="100"/>
                      <w:position w:val="0"/>
                      <w:sz w:val="21"/>
                      <w:szCs w:val="21"/>
                      <w:highlight w:val="none"/>
                      <w:lang w:eastAsia="zh-CN"/>
                    </w:rPr>
                  </w:pPr>
                  <w:r>
                    <w:rPr>
                      <w:rFonts w:hint="eastAsia" w:ascii="Times New Roman" w:hAnsi="Times New Roman" w:cs="Times New Roman"/>
                      <w:color w:val="0000FF"/>
                      <w:spacing w:val="0"/>
                      <w:w w:val="100"/>
                      <w:position w:val="0"/>
                      <w:sz w:val="21"/>
                      <w:szCs w:val="21"/>
                      <w:highlight w:val="none"/>
                      <w:lang w:eastAsia="zh-CN"/>
                    </w:rPr>
                    <w:t>主要</w:t>
                  </w:r>
                  <w:r>
                    <w:rPr>
                      <w:rFonts w:hint="default" w:ascii="Times New Roman" w:hAnsi="Times New Roman" w:eastAsia="宋体" w:cs="Times New Roman"/>
                      <w:color w:val="0000FF"/>
                      <w:spacing w:val="0"/>
                      <w:w w:val="100"/>
                      <w:position w:val="0"/>
                      <w:sz w:val="21"/>
                      <w:szCs w:val="21"/>
                      <w:highlight w:val="none"/>
                    </w:rPr>
                    <w:t>排放口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706" w:type="dxa"/>
                  <w:vMerge w:val="continue"/>
                  <w:tcBorders>
                    <w:tl2br w:val="nil"/>
                    <w:tr2bl w:val="nil"/>
                  </w:tcBorders>
                  <w:noWrap w:val="0"/>
                  <w:vAlign w:val="center"/>
                </w:tcPr>
                <w:p>
                  <w:pPr>
                    <w:pStyle w:val="33"/>
                    <w:adjustRightInd w:val="0"/>
                    <w:snapToGrid w:val="0"/>
                    <w:spacing w:before="0" w:line="240" w:lineRule="auto"/>
                    <w:ind w:left="0"/>
                    <w:jc w:val="center"/>
                    <w:rPr>
                      <w:rFonts w:hint="default" w:ascii="Times New Roman" w:hAnsi="Times New Roman" w:eastAsia="宋体" w:cs="Times New Roman"/>
                      <w:color w:val="0000FF"/>
                      <w:spacing w:val="0"/>
                      <w:w w:val="100"/>
                      <w:position w:val="0"/>
                      <w:sz w:val="21"/>
                      <w:szCs w:val="21"/>
                      <w:highlight w:val="none"/>
                    </w:rPr>
                  </w:pPr>
                </w:p>
              </w:tc>
              <w:tc>
                <w:tcPr>
                  <w:tcW w:w="1919" w:type="dxa"/>
                  <w:tcBorders>
                    <w:tl2br w:val="nil"/>
                    <w:tr2bl w:val="nil"/>
                  </w:tcBorders>
                  <w:noWrap w:val="0"/>
                  <w:vAlign w:val="center"/>
                </w:tcPr>
                <w:p>
                  <w:pPr>
                    <w:pStyle w:val="33"/>
                    <w:adjustRightInd w:val="0"/>
                    <w:snapToGrid w:val="0"/>
                    <w:spacing w:before="0" w:line="240" w:lineRule="auto"/>
                    <w:ind w:left="0" w:right="0"/>
                    <w:jc w:val="center"/>
                    <w:rPr>
                      <w:rFonts w:hint="default" w:ascii="Times New Roman" w:hAnsi="Times New Roman" w:eastAsia="宋体" w:cs="Times New Roman"/>
                      <w:color w:val="0000FF"/>
                      <w:spacing w:val="0"/>
                      <w:w w:val="100"/>
                      <w:position w:val="0"/>
                      <w:sz w:val="21"/>
                      <w:szCs w:val="21"/>
                      <w:highlight w:val="none"/>
                    </w:rPr>
                  </w:pPr>
                  <w:r>
                    <w:rPr>
                      <w:rFonts w:hint="default" w:ascii="Times New Roman" w:hAnsi="Times New Roman" w:eastAsia="宋体" w:cs="Times New Roman"/>
                      <w:color w:val="0000FF"/>
                      <w:spacing w:val="0"/>
                      <w:w w:val="100"/>
                      <w:position w:val="0"/>
                      <w:sz w:val="21"/>
                      <w:szCs w:val="21"/>
                      <w:highlight w:val="none"/>
                    </w:rPr>
                    <w:t>高度m</w:t>
                  </w:r>
                </w:p>
              </w:tc>
              <w:tc>
                <w:tcPr>
                  <w:tcW w:w="5312" w:type="dxa"/>
                  <w:gridSpan w:val="3"/>
                  <w:tcBorders>
                    <w:tl2br w:val="nil"/>
                    <w:tr2bl w:val="nil"/>
                  </w:tcBorders>
                  <w:noWrap w:val="0"/>
                  <w:vAlign w:val="center"/>
                </w:tcPr>
                <w:p>
                  <w:pPr>
                    <w:pStyle w:val="33"/>
                    <w:adjustRightInd w:val="0"/>
                    <w:snapToGrid w:val="0"/>
                    <w:spacing w:before="0" w:line="240" w:lineRule="auto"/>
                    <w:ind w:left="0" w:right="0"/>
                    <w:jc w:val="center"/>
                    <w:rPr>
                      <w:rFonts w:hint="default" w:ascii="Times New Roman" w:hAnsi="Times New Roman" w:eastAsia="宋体" w:cs="Times New Roman"/>
                      <w:color w:val="0000FF"/>
                      <w:spacing w:val="0"/>
                      <w:w w:val="100"/>
                      <w:position w:val="0"/>
                      <w:sz w:val="21"/>
                      <w:szCs w:val="21"/>
                      <w:highlight w:val="none"/>
                      <w:lang w:val="en-US" w:eastAsia="zh-CN"/>
                    </w:rPr>
                  </w:pPr>
                  <w:r>
                    <w:rPr>
                      <w:rFonts w:hint="eastAsia" w:ascii="Times New Roman" w:hAnsi="Times New Roman" w:cs="Times New Roman"/>
                      <w:color w:val="0000FF"/>
                      <w:spacing w:val="0"/>
                      <w:w w:val="100"/>
                      <w:position w:val="0"/>
                      <w:sz w:val="21"/>
                      <w:szCs w:val="21"/>
                      <w:highlight w:val="none"/>
                      <w:lang w:val="en-US" w:eastAsia="zh-CN"/>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706" w:type="dxa"/>
                  <w:vMerge w:val="continue"/>
                  <w:tcBorders>
                    <w:tl2br w:val="nil"/>
                    <w:tr2bl w:val="nil"/>
                  </w:tcBorders>
                  <w:noWrap w:val="0"/>
                  <w:vAlign w:val="center"/>
                </w:tcPr>
                <w:p>
                  <w:pPr>
                    <w:pStyle w:val="33"/>
                    <w:adjustRightInd w:val="0"/>
                    <w:snapToGrid w:val="0"/>
                    <w:spacing w:before="0" w:line="240" w:lineRule="auto"/>
                    <w:ind w:left="0"/>
                    <w:jc w:val="center"/>
                    <w:rPr>
                      <w:rFonts w:hint="default" w:ascii="Times New Roman" w:hAnsi="Times New Roman" w:eastAsia="宋体" w:cs="Times New Roman"/>
                      <w:color w:val="0000FF"/>
                      <w:spacing w:val="0"/>
                      <w:w w:val="100"/>
                      <w:position w:val="0"/>
                      <w:sz w:val="21"/>
                      <w:szCs w:val="21"/>
                      <w:highlight w:val="none"/>
                    </w:rPr>
                  </w:pPr>
                </w:p>
              </w:tc>
              <w:tc>
                <w:tcPr>
                  <w:tcW w:w="1919" w:type="dxa"/>
                  <w:tcBorders>
                    <w:tl2br w:val="nil"/>
                    <w:tr2bl w:val="nil"/>
                  </w:tcBorders>
                  <w:noWrap w:val="0"/>
                  <w:vAlign w:val="center"/>
                </w:tcPr>
                <w:p>
                  <w:pPr>
                    <w:pStyle w:val="33"/>
                    <w:adjustRightInd w:val="0"/>
                    <w:snapToGrid w:val="0"/>
                    <w:spacing w:before="0" w:line="240" w:lineRule="auto"/>
                    <w:ind w:left="0" w:right="0"/>
                    <w:jc w:val="center"/>
                    <w:rPr>
                      <w:rFonts w:hint="default" w:ascii="Times New Roman" w:hAnsi="Times New Roman" w:eastAsia="宋体" w:cs="Times New Roman"/>
                      <w:color w:val="0000FF"/>
                      <w:spacing w:val="0"/>
                      <w:w w:val="100"/>
                      <w:position w:val="0"/>
                      <w:sz w:val="21"/>
                      <w:szCs w:val="21"/>
                      <w:highlight w:val="none"/>
                    </w:rPr>
                  </w:pPr>
                  <w:r>
                    <w:rPr>
                      <w:rFonts w:hint="default" w:ascii="Times New Roman" w:hAnsi="Times New Roman" w:eastAsia="宋体" w:cs="Times New Roman"/>
                      <w:color w:val="0000FF"/>
                      <w:spacing w:val="0"/>
                      <w:w w:val="100"/>
                      <w:position w:val="0"/>
                      <w:sz w:val="21"/>
                      <w:szCs w:val="21"/>
                      <w:highlight w:val="none"/>
                    </w:rPr>
                    <w:t>内径m</w:t>
                  </w:r>
                </w:p>
              </w:tc>
              <w:tc>
                <w:tcPr>
                  <w:tcW w:w="5312" w:type="dxa"/>
                  <w:gridSpan w:val="3"/>
                  <w:tcBorders>
                    <w:tl2br w:val="nil"/>
                    <w:tr2bl w:val="nil"/>
                  </w:tcBorders>
                  <w:noWrap w:val="0"/>
                  <w:vAlign w:val="center"/>
                </w:tcPr>
                <w:p>
                  <w:pPr>
                    <w:adjustRightInd w:val="0"/>
                    <w:snapToGrid w:val="0"/>
                    <w:spacing w:before="0" w:line="240" w:lineRule="auto"/>
                    <w:ind w:left="0" w:right="0"/>
                    <w:jc w:val="center"/>
                    <w:rPr>
                      <w:rFonts w:hint="default" w:ascii="Times New Roman" w:hAnsi="Times New Roman" w:eastAsia="宋体" w:cs="Times New Roman"/>
                      <w:color w:val="0000FF"/>
                      <w:spacing w:val="0"/>
                      <w:position w:val="0"/>
                      <w:sz w:val="21"/>
                      <w:szCs w:val="21"/>
                      <w:lang w:val="en-US" w:eastAsia="zh-CN"/>
                    </w:rPr>
                  </w:pPr>
                  <w:r>
                    <w:rPr>
                      <w:rFonts w:hint="eastAsia" w:cs="Times New Roman"/>
                      <w:color w:val="0000FF"/>
                      <w:spacing w:val="0"/>
                      <w:position w:val="0"/>
                      <w:sz w:val="21"/>
                      <w:szCs w:val="21"/>
                      <w:lang w:val="en-US" w:eastAsia="zh-CN"/>
                    </w:rPr>
                    <w:t>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706" w:type="dxa"/>
                  <w:vMerge w:val="continue"/>
                  <w:tcBorders>
                    <w:tl2br w:val="nil"/>
                    <w:tr2bl w:val="nil"/>
                  </w:tcBorders>
                  <w:noWrap w:val="0"/>
                  <w:vAlign w:val="center"/>
                </w:tcPr>
                <w:p>
                  <w:pPr>
                    <w:pStyle w:val="33"/>
                    <w:adjustRightInd w:val="0"/>
                    <w:snapToGrid w:val="0"/>
                    <w:spacing w:before="0" w:line="240" w:lineRule="auto"/>
                    <w:ind w:left="0"/>
                    <w:jc w:val="center"/>
                    <w:rPr>
                      <w:rFonts w:hint="default" w:ascii="Times New Roman" w:hAnsi="Times New Roman" w:eastAsia="宋体" w:cs="Times New Roman"/>
                      <w:color w:val="0000FF"/>
                      <w:spacing w:val="0"/>
                      <w:w w:val="100"/>
                      <w:position w:val="0"/>
                      <w:sz w:val="21"/>
                      <w:szCs w:val="21"/>
                      <w:highlight w:val="none"/>
                    </w:rPr>
                  </w:pPr>
                </w:p>
              </w:tc>
              <w:tc>
                <w:tcPr>
                  <w:tcW w:w="1919" w:type="dxa"/>
                  <w:tcBorders>
                    <w:tl2br w:val="nil"/>
                    <w:tr2bl w:val="nil"/>
                  </w:tcBorders>
                  <w:noWrap w:val="0"/>
                  <w:vAlign w:val="center"/>
                </w:tcPr>
                <w:p>
                  <w:pPr>
                    <w:pStyle w:val="33"/>
                    <w:adjustRightInd w:val="0"/>
                    <w:snapToGrid w:val="0"/>
                    <w:spacing w:before="0" w:line="240" w:lineRule="auto"/>
                    <w:ind w:left="0" w:right="0"/>
                    <w:jc w:val="center"/>
                    <w:rPr>
                      <w:rFonts w:hint="default" w:ascii="Times New Roman" w:hAnsi="Times New Roman" w:eastAsia="宋体" w:cs="Times New Roman"/>
                      <w:color w:val="0000FF"/>
                      <w:spacing w:val="0"/>
                      <w:w w:val="100"/>
                      <w:position w:val="0"/>
                      <w:sz w:val="21"/>
                      <w:szCs w:val="21"/>
                      <w:highlight w:val="none"/>
                    </w:rPr>
                  </w:pPr>
                  <w:r>
                    <w:rPr>
                      <w:rFonts w:hint="default" w:ascii="Times New Roman" w:hAnsi="Times New Roman" w:eastAsia="宋体" w:cs="Times New Roman"/>
                      <w:color w:val="0000FF"/>
                      <w:spacing w:val="0"/>
                      <w:w w:val="100"/>
                      <w:position w:val="0"/>
                      <w:sz w:val="21"/>
                      <w:szCs w:val="21"/>
                      <w:highlight w:val="none"/>
                    </w:rPr>
                    <w:t>温度℃</w:t>
                  </w:r>
                </w:p>
              </w:tc>
              <w:tc>
                <w:tcPr>
                  <w:tcW w:w="5312" w:type="dxa"/>
                  <w:gridSpan w:val="3"/>
                  <w:tcBorders>
                    <w:tl2br w:val="nil"/>
                    <w:tr2bl w:val="nil"/>
                  </w:tcBorders>
                  <w:noWrap w:val="0"/>
                  <w:vAlign w:val="center"/>
                </w:tcPr>
                <w:p>
                  <w:pPr>
                    <w:adjustRightInd w:val="0"/>
                    <w:snapToGrid w:val="0"/>
                    <w:spacing w:before="0" w:line="240" w:lineRule="auto"/>
                    <w:ind w:left="0" w:right="0"/>
                    <w:jc w:val="center"/>
                    <w:rPr>
                      <w:rFonts w:hint="default" w:ascii="Times New Roman" w:hAnsi="Times New Roman" w:cs="Times New Roman"/>
                      <w:color w:val="0000FF"/>
                      <w:spacing w:val="0"/>
                      <w:w w:val="100"/>
                      <w:position w:val="0"/>
                      <w:sz w:val="21"/>
                      <w:szCs w:val="21"/>
                      <w:highlight w:val="none"/>
                      <w:lang w:val="en-US" w:eastAsia="zh-CN"/>
                    </w:rPr>
                  </w:pPr>
                  <w:r>
                    <w:rPr>
                      <w:rFonts w:hint="eastAsia" w:cs="Times New Roman"/>
                      <w:color w:val="0000FF"/>
                      <w:spacing w:val="0"/>
                      <w:w w:val="100"/>
                      <w:position w:val="0"/>
                      <w:sz w:val="21"/>
                      <w:szCs w:val="21"/>
                      <w:highlight w:val="none"/>
                      <w:lang w:val="en-US" w:eastAsia="zh-CN"/>
                    </w:rPr>
                    <w:t>64</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hint="eastAsia" w:ascii="黑体" w:hAnsi="黑体" w:eastAsia="黑体" w:cs="黑体"/>
                <w:b/>
                <w:bCs w:val="0"/>
                <w:color w:val="0000FF"/>
                <w:sz w:val="24"/>
                <w:szCs w:val="24"/>
                <w:highlight w:val="none"/>
                <w:lang w:val="en-US" w:eastAsia="zh-CN"/>
              </w:rPr>
            </w:pPr>
            <w:r>
              <w:rPr>
                <w:rFonts w:hint="eastAsia" w:ascii="黑体" w:hAnsi="黑体" w:eastAsia="黑体" w:cs="黑体"/>
                <w:b/>
                <w:bCs w:val="0"/>
                <w:color w:val="0000FF"/>
                <w:sz w:val="24"/>
                <w:szCs w:val="24"/>
                <w:highlight w:val="none"/>
                <w:lang w:val="en-US" w:eastAsia="zh-CN"/>
              </w:rPr>
              <w:t>表39 运行负荷60%工况下项目大气污染物年排放量核算表</w:t>
            </w:r>
          </w:p>
          <w:tbl>
            <w:tblPr>
              <w:tblStyle w:val="20"/>
              <w:tblW w:w="793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06"/>
              <w:gridCol w:w="1919"/>
              <w:gridCol w:w="1770"/>
              <w:gridCol w:w="1770"/>
              <w:gridCol w:w="177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2625" w:type="dxa"/>
                  <w:gridSpan w:val="2"/>
                  <w:tcBorders>
                    <w:tl2br w:val="nil"/>
                    <w:tr2bl w:val="nil"/>
                  </w:tcBorders>
                  <w:noWrap w:val="0"/>
                  <w:vAlign w:val="center"/>
                </w:tcPr>
                <w:p>
                  <w:pPr>
                    <w:pStyle w:val="33"/>
                    <w:adjustRightInd w:val="0"/>
                    <w:snapToGrid w:val="0"/>
                    <w:spacing w:before="0" w:line="240" w:lineRule="auto"/>
                    <w:ind w:left="0" w:right="0"/>
                    <w:jc w:val="center"/>
                    <w:rPr>
                      <w:rFonts w:hint="default" w:ascii="Times New Roman" w:hAnsi="Times New Roman" w:eastAsia="宋体" w:cs="Times New Roman"/>
                      <w:color w:val="0000FF"/>
                      <w:spacing w:val="0"/>
                      <w:w w:val="100"/>
                      <w:position w:val="0"/>
                      <w:sz w:val="21"/>
                      <w:szCs w:val="21"/>
                      <w:highlight w:val="none"/>
                    </w:rPr>
                  </w:pPr>
                  <w:r>
                    <w:rPr>
                      <w:rFonts w:hint="default" w:ascii="Times New Roman" w:hAnsi="Times New Roman" w:eastAsia="宋体" w:cs="Times New Roman"/>
                      <w:color w:val="0000FF"/>
                      <w:spacing w:val="0"/>
                      <w:w w:val="100"/>
                      <w:position w:val="0"/>
                      <w:sz w:val="21"/>
                      <w:szCs w:val="21"/>
                      <w:highlight w:val="none"/>
                    </w:rPr>
                    <w:t>产污环节</w:t>
                  </w:r>
                </w:p>
              </w:tc>
              <w:tc>
                <w:tcPr>
                  <w:tcW w:w="5312" w:type="dxa"/>
                  <w:gridSpan w:val="3"/>
                  <w:tcBorders>
                    <w:tl2br w:val="nil"/>
                    <w:tr2bl w:val="nil"/>
                  </w:tcBorders>
                  <w:noWrap w:val="0"/>
                  <w:vAlign w:val="center"/>
                </w:tcPr>
                <w:p>
                  <w:pPr>
                    <w:pStyle w:val="33"/>
                    <w:adjustRightInd w:val="0"/>
                    <w:snapToGrid w:val="0"/>
                    <w:spacing w:before="0" w:line="240" w:lineRule="auto"/>
                    <w:ind w:left="0" w:leftChars="0" w:right="0" w:rightChars="0"/>
                    <w:jc w:val="center"/>
                    <w:rPr>
                      <w:rFonts w:hint="eastAsia" w:ascii="Times New Roman" w:hAnsi="Times New Roman" w:eastAsia="宋体" w:cs="Times New Roman"/>
                      <w:b w:val="0"/>
                      <w:bCs/>
                      <w:color w:val="0000FF"/>
                      <w:spacing w:val="0"/>
                      <w:sz w:val="21"/>
                      <w:szCs w:val="21"/>
                      <w:highlight w:val="none"/>
                      <w:lang w:val="en-US" w:eastAsia="zh-CN"/>
                    </w:rPr>
                  </w:pPr>
                  <w:r>
                    <w:rPr>
                      <w:rFonts w:hint="eastAsia" w:ascii="Times New Roman" w:hAnsi="Times New Roman" w:eastAsia="宋体" w:cs="Times New Roman"/>
                      <w:b w:val="0"/>
                      <w:bCs/>
                      <w:color w:val="0000FF"/>
                      <w:spacing w:val="0"/>
                      <w:sz w:val="21"/>
                      <w:szCs w:val="21"/>
                      <w:highlight w:val="none"/>
                      <w:lang w:val="en-US" w:eastAsia="zh-CN"/>
                    </w:rPr>
                    <w:t>锅炉</w:t>
                  </w:r>
                  <w:r>
                    <w:rPr>
                      <w:rFonts w:hint="eastAsia"/>
                      <w:color w:val="0000FF"/>
                      <w:lang w:eastAsia="zh-CN"/>
                    </w:rPr>
                    <w:t>生产中天然气燃烧</w:t>
                  </w:r>
                  <w:r>
                    <w:rPr>
                      <w:rFonts w:hint="eastAsia" w:ascii="Times New Roman" w:hAnsi="Times New Roman" w:eastAsia="宋体" w:cs="Times New Roman"/>
                      <w:b w:val="0"/>
                      <w:bCs/>
                      <w:color w:val="0000FF"/>
                      <w:spacing w:val="0"/>
                      <w:sz w:val="21"/>
                      <w:szCs w:val="21"/>
                      <w:highlight w:val="none"/>
                      <w:lang w:val="en-US" w:eastAsia="zh-CN"/>
                    </w:rPr>
                    <w:t>过程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2625" w:type="dxa"/>
                  <w:gridSpan w:val="2"/>
                  <w:tcBorders>
                    <w:tl2br w:val="nil"/>
                    <w:tr2bl w:val="nil"/>
                  </w:tcBorders>
                  <w:noWrap w:val="0"/>
                  <w:vAlign w:val="center"/>
                </w:tcPr>
                <w:p>
                  <w:pPr>
                    <w:pStyle w:val="33"/>
                    <w:adjustRightInd w:val="0"/>
                    <w:snapToGrid w:val="0"/>
                    <w:spacing w:before="0" w:line="240" w:lineRule="auto"/>
                    <w:ind w:left="0"/>
                    <w:jc w:val="center"/>
                    <w:rPr>
                      <w:rFonts w:hint="default" w:ascii="Times New Roman" w:hAnsi="Times New Roman" w:eastAsia="宋体" w:cs="Times New Roman"/>
                      <w:color w:val="0000FF"/>
                      <w:spacing w:val="0"/>
                      <w:w w:val="100"/>
                      <w:position w:val="0"/>
                      <w:sz w:val="21"/>
                      <w:szCs w:val="21"/>
                      <w:highlight w:val="none"/>
                    </w:rPr>
                  </w:pPr>
                  <w:r>
                    <w:rPr>
                      <w:rFonts w:hint="default" w:ascii="Times New Roman" w:hAnsi="Times New Roman" w:eastAsia="宋体" w:cs="Times New Roman"/>
                      <w:color w:val="0000FF"/>
                      <w:spacing w:val="0"/>
                      <w:w w:val="100"/>
                      <w:position w:val="0"/>
                      <w:sz w:val="21"/>
                      <w:szCs w:val="21"/>
                      <w:highlight w:val="none"/>
                    </w:rPr>
                    <w:t>污染物种类</w:t>
                  </w:r>
                </w:p>
              </w:tc>
              <w:tc>
                <w:tcPr>
                  <w:tcW w:w="1770" w:type="dxa"/>
                  <w:tcBorders>
                    <w:tl2br w:val="nil"/>
                    <w:tr2bl w:val="nil"/>
                  </w:tcBorders>
                  <w:noWrap w:val="0"/>
                  <w:vAlign w:val="center"/>
                </w:tcPr>
                <w:p>
                  <w:pPr>
                    <w:pStyle w:val="33"/>
                    <w:adjustRightInd w:val="0"/>
                    <w:snapToGrid w:val="0"/>
                    <w:spacing w:before="0" w:line="240" w:lineRule="auto"/>
                    <w:ind w:left="0" w:leftChars="0" w:right="0" w:rightChars="0"/>
                    <w:jc w:val="center"/>
                    <w:rPr>
                      <w:rFonts w:hint="default" w:ascii="Times New Roman" w:hAnsi="Times New Roman" w:eastAsia="宋体" w:cs="Times New Roman"/>
                      <w:color w:val="0000FF"/>
                      <w:spacing w:val="0"/>
                      <w:w w:val="100"/>
                      <w:kern w:val="2"/>
                      <w:position w:val="0"/>
                      <w:sz w:val="21"/>
                      <w:szCs w:val="21"/>
                      <w:highlight w:val="none"/>
                      <w:lang w:val="en-US" w:eastAsia="zh-CN" w:bidi="zh-CN"/>
                    </w:rPr>
                  </w:pPr>
                  <w:r>
                    <w:rPr>
                      <w:rFonts w:hint="eastAsia" w:ascii="Times New Roman" w:hAnsi="Times New Roman" w:cs="Times New Roman"/>
                      <w:color w:val="0000FF"/>
                      <w:spacing w:val="0"/>
                      <w:w w:val="100"/>
                      <w:position w:val="0"/>
                      <w:sz w:val="21"/>
                      <w:szCs w:val="21"/>
                      <w:highlight w:val="none"/>
                      <w:lang w:val="en-US" w:eastAsia="zh-CN"/>
                    </w:rPr>
                    <w:t>颗粒物</w:t>
                  </w:r>
                </w:p>
              </w:tc>
              <w:tc>
                <w:tcPr>
                  <w:tcW w:w="1770" w:type="dxa"/>
                  <w:tcBorders>
                    <w:tl2br w:val="nil"/>
                    <w:tr2bl w:val="nil"/>
                  </w:tcBorders>
                  <w:noWrap w:val="0"/>
                  <w:vAlign w:val="center"/>
                </w:tcPr>
                <w:p>
                  <w:pPr>
                    <w:pStyle w:val="33"/>
                    <w:adjustRightInd w:val="0"/>
                    <w:snapToGrid w:val="0"/>
                    <w:spacing w:before="0" w:line="240" w:lineRule="auto"/>
                    <w:ind w:left="0" w:leftChars="0" w:right="0" w:rightChars="0"/>
                    <w:jc w:val="center"/>
                    <w:rPr>
                      <w:rFonts w:hint="default" w:ascii="Times New Roman" w:hAnsi="Times New Roman" w:cs="Times New Roman"/>
                      <w:color w:val="0000FF"/>
                      <w:spacing w:val="0"/>
                      <w:w w:val="100"/>
                      <w:position w:val="0"/>
                      <w:sz w:val="21"/>
                      <w:szCs w:val="21"/>
                      <w:highlight w:val="none"/>
                      <w:lang w:val="en-US" w:eastAsia="zh-CN"/>
                    </w:rPr>
                  </w:pPr>
                  <w:r>
                    <w:rPr>
                      <w:rFonts w:hint="eastAsia" w:ascii="Times New Roman" w:hAnsi="Times New Roman" w:cs="Times New Roman"/>
                      <w:color w:val="0000FF"/>
                      <w:spacing w:val="0"/>
                      <w:w w:val="100"/>
                      <w:position w:val="0"/>
                      <w:sz w:val="21"/>
                      <w:szCs w:val="21"/>
                      <w:highlight w:val="none"/>
                      <w:lang w:val="en-US" w:eastAsia="zh-CN"/>
                    </w:rPr>
                    <w:t>SO</w:t>
                  </w:r>
                  <w:r>
                    <w:rPr>
                      <w:rFonts w:hint="eastAsia" w:ascii="Times New Roman" w:hAnsi="Times New Roman" w:cs="Times New Roman"/>
                      <w:color w:val="0000FF"/>
                      <w:spacing w:val="0"/>
                      <w:w w:val="100"/>
                      <w:position w:val="0"/>
                      <w:sz w:val="21"/>
                      <w:szCs w:val="21"/>
                      <w:highlight w:val="none"/>
                      <w:vertAlign w:val="subscript"/>
                      <w:lang w:val="en-US" w:eastAsia="zh-CN"/>
                    </w:rPr>
                    <w:t>2</w:t>
                  </w:r>
                </w:p>
              </w:tc>
              <w:tc>
                <w:tcPr>
                  <w:tcW w:w="1772" w:type="dxa"/>
                  <w:tcBorders>
                    <w:tl2br w:val="nil"/>
                    <w:tr2bl w:val="nil"/>
                  </w:tcBorders>
                  <w:noWrap w:val="0"/>
                  <w:vAlign w:val="center"/>
                </w:tcPr>
                <w:p>
                  <w:pPr>
                    <w:pStyle w:val="33"/>
                    <w:adjustRightInd w:val="0"/>
                    <w:snapToGrid w:val="0"/>
                    <w:spacing w:before="0" w:line="240" w:lineRule="auto"/>
                    <w:ind w:left="0" w:leftChars="0" w:right="0" w:rightChars="0"/>
                    <w:jc w:val="center"/>
                    <w:rPr>
                      <w:rFonts w:hint="eastAsia" w:ascii="Times New Roman" w:hAnsi="Times New Roman" w:cs="Times New Roman"/>
                      <w:color w:val="0000FF"/>
                      <w:spacing w:val="0"/>
                      <w:w w:val="100"/>
                      <w:position w:val="0"/>
                      <w:sz w:val="21"/>
                      <w:szCs w:val="21"/>
                      <w:highlight w:val="none"/>
                      <w:lang w:val="en-US" w:eastAsia="zh-CN"/>
                    </w:rPr>
                  </w:pPr>
                  <w:r>
                    <w:rPr>
                      <w:rFonts w:hint="eastAsia" w:ascii="Times New Roman" w:hAnsi="Times New Roman" w:cs="Times New Roman"/>
                      <w:color w:val="0000FF"/>
                      <w:spacing w:val="0"/>
                      <w:w w:val="100"/>
                      <w:position w:val="0"/>
                      <w:sz w:val="21"/>
                      <w:szCs w:val="21"/>
                      <w:highlight w:val="none"/>
                      <w:lang w:val="en-US" w:eastAsia="zh-CN"/>
                    </w:rPr>
                    <w:t>NOx</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2625" w:type="dxa"/>
                  <w:gridSpan w:val="2"/>
                  <w:tcBorders>
                    <w:tl2br w:val="nil"/>
                    <w:tr2bl w:val="nil"/>
                  </w:tcBorders>
                  <w:noWrap w:val="0"/>
                  <w:vAlign w:val="center"/>
                </w:tcPr>
                <w:p>
                  <w:pPr>
                    <w:pStyle w:val="33"/>
                    <w:adjustRightInd w:val="0"/>
                    <w:snapToGrid w:val="0"/>
                    <w:spacing w:before="0" w:line="240" w:lineRule="auto"/>
                    <w:ind w:left="0"/>
                    <w:jc w:val="center"/>
                    <w:rPr>
                      <w:rFonts w:hint="default" w:ascii="Times New Roman" w:hAnsi="Times New Roman" w:eastAsia="宋体" w:cs="Times New Roman"/>
                      <w:color w:val="0000FF"/>
                      <w:spacing w:val="0"/>
                      <w:w w:val="100"/>
                      <w:position w:val="0"/>
                      <w:sz w:val="21"/>
                      <w:szCs w:val="21"/>
                      <w:highlight w:val="none"/>
                      <w:lang w:eastAsia="zh-CN"/>
                    </w:rPr>
                  </w:pPr>
                  <w:r>
                    <w:rPr>
                      <w:rFonts w:hint="default" w:ascii="Times New Roman" w:hAnsi="Times New Roman" w:eastAsia="宋体" w:cs="Times New Roman"/>
                      <w:color w:val="0000FF"/>
                      <w:spacing w:val="0"/>
                      <w:w w:val="100"/>
                      <w:position w:val="0"/>
                      <w:sz w:val="21"/>
                      <w:szCs w:val="21"/>
                      <w:highlight w:val="none"/>
                    </w:rPr>
                    <w:t>污染物产生</w:t>
                  </w:r>
                  <w:r>
                    <w:rPr>
                      <w:rFonts w:hint="default" w:ascii="Times New Roman" w:hAnsi="Times New Roman" w:eastAsia="宋体" w:cs="Times New Roman"/>
                      <w:color w:val="0000FF"/>
                      <w:spacing w:val="0"/>
                      <w:w w:val="100"/>
                      <w:position w:val="0"/>
                      <w:sz w:val="21"/>
                      <w:szCs w:val="21"/>
                      <w:highlight w:val="none"/>
                      <w:lang w:eastAsia="zh-CN"/>
                    </w:rPr>
                    <w:t>速率</w:t>
                  </w:r>
                  <w:r>
                    <w:rPr>
                      <w:rFonts w:hint="eastAsia" w:ascii="Times New Roman" w:hAnsi="Times New Roman" w:cs="Times New Roman"/>
                      <w:color w:val="0000FF"/>
                      <w:spacing w:val="0"/>
                      <w:w w:val="100"/>
                      <w:position w:val="0"/>
                      <w:sz w:val="21"/>
                      <w:szCs w:val="21"/>
                      <w:highlight w:val="none"/>
                      <w:lang w:eastAsia="zh-CN"/>
                    </w:rPr>
                    <w:t>（</w:t>
                  </w:r>
                  <w:r>
                    <w:rPr>
                      <w:rFonts w:hint="default" w:ascii="Times New Roman" w:hAnsi="Times New Roman" w:eastAsia="宋体" w:cs="Times New Roman"/>
                      <w:color w:val="0000FF"/>
                      <w:spacing w:val="0"/>
                      <w:w w:val="100"/>
                      <w:position w:val="0"/>
                      <w:sz w:val="21"/>
                      <w:szCs w:val="21"/>
                      <w:highlight w:val="none"/>
                      <w:lang w:val="en-US" w:eastAsia="zh-CN"/>
                    </w:rPr>
                    <w:t>kg/h</w:t>
                  </w:r>
                  <w:r>
                    <w:rPr>
                      <w:rFonts w:hint="eastAsia" w:ascii="Times New Roman" w:hAnsi="Times New Roman" w:cs="Times New Roman"/>
                      <w:color w:val="0000FF"/>
                      <w:spacing w:val="0"/>
                      <w:w w:val="100"/>
                      <w:position w:val="0"/>
                      <w:sz w:val="21"/>
                      <w:szCs w:val="21"/>
                      <w:highlight w:val="none"/>
                      <w:lang w:eastAsia="zh-CN"/>
                    </w:rPr>
                    <w:t>）</w:t>
                  </w:r>
                </w:p>
              </w:tc>
              <w:tc>
                <w:tcPr>
                  <w:tcW w:w="177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pacing w:val="0"/>
                      <w:w w:val="100"/>
                      <w:kern w:val="2"/>
                      <w:position w:val="0"/>
                      <w:sz w:val="21"/>
                      <w:szCs w:val="21"/>
                      <w:highlight w:val="none"/>
                      <w:lang w:val="en-US" w:eastAsia="zh-CN" w:bidi="ar-SA"/>
                    </w:rPr>
                  </w:pPr>
                  <w:r>
                    <w:rPr>
                      <w:rFonts w:hint="eastAsia" w:cs="Times New Roman"/>
                      <w:color w:val="0000FF"/>
                      <w:spacing w:val="0"/>
                      <w:w w:val="100"/>
                      <w:kern w:val="2"/>
                      <w:position w:val="0"/>
                      <w:sz w:val="21"/>
                      <w:szCs w:val="21"/>
                      <w:highlight w:val="none"/>
                      <w:lang w:val="en-US" w:eastAsia="zh-CN" w:bidi="ar-SA"/>
                    </w:rPr>
                    <w:t>0.11</w:t>
                  </w:r>
                </w:p>
              </w:tc>
              <w:tc>
                <w:tcPr>
                  <w:tcW w:w="177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pacing w:val="0"/>
                      <w:w w:val="100"/>
                      <w:kern w:val="2"/>
                      <w:position w:val="0"/>
                      <w:sz w:val="21"/>
                      <w:szCs w:val="21"/>
                      <w:highlight w:val="none"/>
                      <w:lang w:val="en-US" w:eastAsia="zh-CN" w:bidi="ar-SA"/>
                    </w:rPr>
                  </w:pPr>
                  <w:r>
                    <w:rPr>
                      <w:rFonts w:hint="eastAsia" w:cs="Times New Roman"/>
                      <w:color w:val="0000FF"/>
                      <w:spacing w:val="0"/>
                      <w:w w:val="100"/>
                      <w:kern w:val="2"/>
                      <w:position w:val="0"/>
                      <w:sz w:val="21"/>
                      <w:szCs w:val="21"/>
                      <w:highlight w:val="none"/>
                      <w:lang w:val="en-US" w:eastAsia="zh-CN" w:bidi="ar-SA"/>
                    </w:rPr>
                    <w:t>0.22</w:t>
                  </w:r>
                </w:p>
              </w:tc>
              <w:tc>
                <w:tcPr>
                  <w:tcW w:w="177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pacing w:val="0"/>
                      <w:w w:val="100"/>
                      <w:kern w:val="2"/>
                      <w:position w:val="0"/>
                      <w:sz w:val="21"/>
                      <w:szCs w:val="21"/>
                      <w:highlight w:val="none"/>
                      <w:lang w:val="en-US" w:eastAsia="zh-CN" w:bidi="ar-SA"/>
                    </w:rPr>
                  </w:pPr>
                  <w:r>
                    <w:rPr>
                      <w:rFonts w:hint="eastAsia" w:cs="Times New Roman"/>
                      <w:color w:val="0000FF"/>
                      <w:spacing w:val="0"/>
                      <w:w w:val="100"/>
                      <w:kern w:val="2"/>
                      <w:position w:val="0"/>
                      <w:sz w:val="21"/>
                      <w:szCs w:val="21"/>
                      <w:highlight w:val="none"/>
                      <w:lang w:val="en-US" w:eastAsia="zh-CN" w:bidi="ar-SA"/>
                    </w:rPr>
                    <w:t>0.33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2625" w:type="dxa"/>
                  <w:gridSpan w:val="2"/>
                  <w:tcBorders>
                    <w:tl2br w:val="nil"/>
                    <w:tr2bl w:val="nil"/>
                  </w:tcBorders>
                  <w:noWrap w:val="0"/>
                  <w:vAlign w:val="center"/>
                </w:tcPr>
                <w:p>
                  <w:pPr>
                    <w:pStyle w:val="33"/>
                    <w:adjustRightInd w:val="0"/>
                    <w:snapToGrid w:val="0"/>
                    <w:spacing w:before="0" w:line="240" w:lineRule="auto"/>
                    <w:ind w:left="0"/>
                    <w:jc w:val="center"/>
                    <w:rPr>
                      <w:rFonts w:hint="eastAsia" w:ascii="Times New Roman" w:hAnsi="Times New Roman" w:eastAsia="宋体" w:cs="Times New Roman"/>
                      <w:color w:val="0000FF"/>
                      <w:spacing w:val="0"/>
                      <w:w w:val="100"/>
                      <w:position w:val="0"/>
                      <w:sz w:val="21"/>
                      <w:szCs w:val="21"/>
                      <w:highlight w:val="none"/>
                      <w:lang w:eastAsia="zh-CN"/>
                    </w:rPr>
                  </w:pPr>
                  <w:r>
                    <w:rPr>
                      <w:rFonts w:hint="default" w:ascii="Times New Roman" w:hAnsi="Times New Roman" w:eastAsia="宋体" w:cs="Times New Roman"/>
                      <w:color w:val="0000FF"/>
                      <w:spacing w:val="0"/>
                      <w:w w:val="100"/>
                      <w:position w:val="0"/>
                      <w:sz w:val="21"/>
                      <w:szCs w:val="21"/>
                      <w:highlight w:val="none"/>
                    </w:rPr>
                    <w:t>污染物产生浓度</w:t>
                  </w:r>
                  <w:r>
                    <w:rPr>
                      <w:rFonts w:hint="eastAsia" w:ascii="Times New Roman" w:hAnsi="Times New Roman" w:cs="Times New Roman"/>
                      <w:color w:val="0000FF"/>
                      <w:spacing w:val="0"/>
                      <w:w w:val="100"/>
                      <w:position w:val="0"/>
                      <w:sz w:val="21"/>
                      <w:szCs w:val="21"/>
                      <w:highlight w:val="none"/>
                      <w:lang w:eastAsia="zh-CN"/>
                    </w:rPr>
                    <w:t>（</w:t>
                  </w:r>
                  <w:r>
                    <w:rPr>
                      <w:rFonts w:hint="default" w:ascii="Times New Roman" w:hAnsi="Times New Roman" w:eastAsia="宋体" w:cs="Times New Roman"/>
                      <w:color w:val="0000FF"/>
                      <w:spacing w:val="0"/>
                      <w:w w:val="100"/>
                      <w:kern w:val="2"/>
                      <w:position w:val="0"/>
                      <w:sz w:val="21"/>
                      <w:szCs w:val="21"/>
                      <w:highlight w:val="none"/>
                      <w:lang w:val="zh-CN" w:eastAsia="zh-CN" w:bidi="zh-CN"/>
                    </w:rPr>
                    <w:t>mg/m</w:t>
                  </w:r>
                  <w:r>
                    <w:rPr>
                      <w:rFonts w:hint="default" w:ascii="Times New Roman" w:hAnsi="Times New Roman" w:eastAsia="宋体" w:cs="Times New Roman"/>
                      <w:color w:val="0000FF"/>
                      <w:spacing w:val="0"/>
                      <w:w w:val="100"/>
                      <w:kern w:val="2"/>
                      <w:position w:val="0"/>
                      <w:sz w:val="21"/>
                      <w:szCs w:val="21"/>
                      <w:highlight w:val="none"/>
                      <w:vertAlign w:val="superscript"/>
                      <w:lang w:val="zh-CN" w:eastAsia="zh-CN" w:bidi="zh-CN"/>
                    </w:rPr>
                    <w:t>3</w:t>
                  </w:r>
                  <w:r>
                    <w:rPr>
                      <w:rFonts w:hint="eastAsia" w:ascii="Times New Roman" w:hAnsi="Times New Roman" w:cs="Times New Roman"/>
                      <w:color w:val="0000FF"/>
                      <w:spacing w:val="0"/>
                      <w:w w:val="100"/>
                      <w:position w:val="0"/>
                      <w:sz w:val="21"/>
                      <w:szCs w:val="21"/>
                      <w:highlight w:val="none"/>
                      <w:lang w:eastAsia="zh-CN"/>
                    </w:rPr>
                    <w:t>）</w:t>
                  </w:r>
                </w:p>
              </w:tc>
              <w:tc>
                <w:tcPr>
                  <w:tcW w:w="177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pacing w:val="0"/>
                      <w:w w:val="100"/>
                      <w:kern w:val="2"/>
                      <w:position w:val="0"/>
                      <w:sz w:val="21"/>
                      <w:szCs w:val="21"/>
                      <w:highlight w:val="none"/>
                      <w:lang w:val="en-US" w:eastAsia="zh-CN" w:bidi="zh-CN"/>
                    </w:rPr>
                  </w:pPr>
                  <w:r>
                    <w:rPr>
                      <w:rFonts w:hint="eastAsia" w:ascii="Times New Roman" w:hAnsi="Times New Roman" w:eastAsia="宋体" w:cs="Times New Roman"/>
                      <w:color w:val="0000FF"/>
                      <w:spacing w:val="0"/>
                      <w:w w:val="100"/>
                      <w:kern w:val="2"/>
                      <w:position w:val="0"/>
                      <w:sz w:val="21"/>
                      <w:szCs w:val="21"/>
                      <w:highlight w:val="none"/>
                      <w:lang w:val="en-US" w:eastAsia="zh-CN" w:bidi="zh-CN"/>
                    </w:rPr>
                    <w:t>9.64</w:t>
                  </w:r>
                </w:p>
              </w:tc>
              <w:tc>
                <w:tcPr>
                  <w:tcW w:w="177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pacing w:val="0"/>
                      <w:w w:val="100"/>
                      <w:kern w:val="2"/>
                      <w:position w:val="0"/>
                      <w:sz w:val="21"/>
                      <w:szCs w:val="21"/>
                      <w:highlight w:val="none"/>
                      <w:lang w:val="en-US" w:eastAsia="zh-CN" w:bidi="zh-CN"/>
                    </w:rPr>
                  </w:pPr>
                  <w:r>
                    <w:rPr>
                      <w:rFonts w:hint="eastAsia" w:ascii="Times New Roman" w:hAnsi="Times New Roman" w:eastAsia="宋体" w:cs="Times New Roman"/>
                      <w:color w:val="0000FF"/>
                      <w:spacing w:val="0"/>
                      <w:w w:val="100"/>
                      <w:kern w:val="2"/>
                      <w:position w:val="0"/>
                      <w:sz w:val="21"/>
                      <w:szCs w:val="21"/>
                      <w:highlight w:val="none"/>
                      <w:lang w:val="en-US" w:eastAsia="zh-CN" w:bidi="zh-CN"/>
                    </w:rPr>
                    <w:t>18.56</w:t>
                  </w:r>
                </w:p>
              </w:tc>
              <w:tc>
                <w:tcPr>
                  <w:tcW w:w="177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pacing w:val="0"/>
                      <w:w w:val="100"/>
                      <w:kern w:val="2"/>
                      <w:position w:val="0"/>
                      <w:sz w:val="21"/>
                      <w:szCs w:val="21"/>
                      <w:highlight w:val="none"/>
                      <w:lang w:val="en-US" w:eastAsia="zh-CN" w:bidi="zh-CN"/>
                    </w:rPr>
                  </w:pPr>
                  <w:r>
                    <w:rPr>
                      <w:rFonts w:hint="eastAsia" w:ascii="Times New Roman" w:hAnsi="Times New Roman" w:eastAsia="宋体" w:cs="Times New Roman"/>
                      <w:color w:val="0000FF"/>
                      <w:spacing w:val="0"/>
                      <w:w w:val="100"/>
                      <w:kern w:val="2"/>
                      <w:position w:val="0"/>
                      <w:sz w:val="21"/>
                      <w:szCs w:val="21"/>
                      <w:highlight w:val="none"/>
                      <w:lang w:val="en-US" w:eastAsia="zh-CN" w:bidi="zh-CN"/>
                    </w:rPr>
                    <w:t>28.</w:t>
                  </w:r>
                  <w:r>
                    <w:rPr>
                      <w:rFonts w:hint="eastAsia" w:cs="Times New Roman"/>
                      <w:color w:val="0000FF"/>
                      <w:spacing w:val="0"/>
                      <w:w w:val="100"/>
                      <w:kern w:val="2"/>
                      <w:position w:val="0"/>
                      <w:sz w:val="21"/>
                      <w:szCs w:val="21"/>
                      <w:highlight w:val="none"/>
                      <w:lang w:val="en-US" w:eastAsia="zh-CN" w:bidi="zh-CN"/>
                    </w:rPr>
                    <w:t>08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2625" w:type="dxa"/>
                  <w:gridSpan w:val="2"/>
                  <w:tcBorders>
                    <w:tl2br w:val="nil"/>
                    <w:tr2bl w:val="nil"/>
                  </w:tcBorders>
                  <w:noWrap w:val="0"/>
                  <w:vAlign w:val="center"/>
                </w:tcPr>
                <w:p>
                  <w:pPr>
                    <w:pStyle w:val="33"/>
                    <w:adjustRightInd w:val="0"/>
                    <w:snapToGrid w:val="0"/>
                    <w:spacing w:before="0" w:line="240" w:lineRule="auto"/>
                    <w:ind w:left="0"/>
                    <w:jc w:val="center"/>
                    <w:rPr>
                      <w:rFonts w:hint="eastAsia" w:ascii="Times New Roman" w:hAnsi="Times New Roman" w:eastAsia="宋体" w:cs="Times New Roman"/>
                      <w:color w:val="0000FF"/>
                      <w:spacing w:val="0"/>
                      <w:w w:val="100"/>
                      <w:position w:val="0"/>
                      <w:sz w:val="21"/>
                      <w:szCs w:val="21"/>
                      <w:highlight w:val="none"/>
                      <w:lang w:eastAsia="zh-CN"/>
                    </w:rPr>
                  </w:pPr>
                  <w:r>
                    <w:rPr>
                      <w:rFonts w:hint="default" w:ascii="Times New Roman" w:hAnsi="Times New Roman" w:eastAsia="宋体" w:cs="Times New Roman"/>
                      <w:color w:val="0000FF"/>
                      <w:spacing w:val="0"/>
                      <w:w w:val="100"/>
                      <w:position w:val="0"/>
                      <w:sz w:val="21"/>
                      <w:szCs w:val="21"/>
                      <w:highlight w:val="none"/>
                    </w:rPr>
                    <w:t>污染物产生量</w:t>
                  </w:r>
                  <w:r>
                    <w:rPr>
                      <w:rFonts w:hint="eastAsia" w:ascii="Times New Roman" w:hAnsi="Times New Roman" w:cs="Times New Roman"/>
                      <w:color w:val="0000FF"/>
                      <w:spacing w:val="0"/>
                      <w:w w:val="100"/>
                      <w:position w:val="0"/>
                      <w:sz w:val="21"/>
                      <w:szCs w:val="21"/>
                      <w:highlight w:val="none"/>
                      <w:lang w:eastAsia="zh-CN"/>
                    </w:rPr>
                    <w:t>（</w:t>
                  </w:r>
                  <w:r>
                    <w:rPr>
                      <w:rFonts w:hint="default" w:ascii="Times New Roman" w:hAnsi="Times New Roman" w:eastAsia="宋体" w:cs="Times New Roman"/>
                      <w:color w:val="0000FF"/>
                      <w:spacing w:val="0"/>
                      <w:w w:val="100"/>
                      <w:kern w:val="2"/>
                      <w:position w:val="0"/>
                      <w:sz w:val="21"/>
                      <w:szCs w:val="21"/>
                      <w:highlight w:val="none"/>
                      <w:lang w:val="zh-CN" w:eastAsia="zh-CN" w:bidi="zh-CN"/>
                    </w:rPr>
                    <w:t>t/a</w:t>
                  </w:r>
                  <w:r>
                    <w:rPr>
                      <w:rFonts w:hint="eastAsia" w:ascii="Times New Roman" w:hAnsi="Times New Roman" w:cs="Times New Roman"/>
                      <w:color w:val="0000FF"/>
                      <w:spacing w:val="0"/>
                      <w:w w:val="100"/>
                      <w:position w:val="0"/>
                      <w:sz w:val="21"/>
                      <w:szCs w:val="21"/>
                      <w:highlight w:val="none"/>
                      <w:lang w:eastAsia="zh-CN"/>
                    </w:rPr>
                    <w:t>）</w:t>
                  </w:r>
                </w:p>
              </w:tc>
              <w:tc>
                <w:tcPr>
                  <w:tcW w:w="177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pacing w:val="0"/>
                      <w:w w:val="100"/>
                      <w:kern w:val="2"/>
                      <w:position w:val="0"/>
                      <w:sz w:val="21"/>
                      <w:szCs w:val="21"/>
                      <w:highlight w:val="none"/>
                      <w:lang w:val="en-US" w:eastAsia="zh-CN" w:bidi="zh-CN"/>
                    </w:rPr>
                  </w:pPr>
                  <w:r>
                    <w:rPr>
                      <w:rFonts w:hint="eastAsia" w:cs="Times New Roman"/>
                      <w:color w:val="0000FF"/>
                      <w:spacing w:val="0"/>
                      <w:w w:val="100"/>
                      <w:kern w:val="2"/>
                      <w:position w:val="0"/>
                      <w:sz w:val="21"/>
                      <w:szCs w:val="21"/>
                      <w:highlight w:val="none"/>
                      <w:lang w:val="en-US" w:eastAsia="zh-CN" w:bidi="zh-CN"/>
                    </w:rPr>
                    <w:t>0.81</w:t>
                  </w:r>
                </w:p>
              </w:tc>
              <w:tc>
                <w:tcPr>
                  <w:tcW w:w="177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pacing w:val="0"/>
                      <w:w w:val="100"/>
                      <w:kern w:val="2"/>
                      <w:position w:val="0"/>
                      <w:sz w:val="21"/>
                      <w:szCs w:val="21"/>
                      <w:highlight w:val="none"/>
                      <w:lang w:val="en-US" w:eastAsia="zh-CN" w:bidi="zh-CN"/>
                    </w:rPr>
                  </w:pPr>
                  <w:r>
                    <w:rPr>
                      <w:rFonts w:hint="eastAsia" w:cs="Times New Roman"/>
                      <w:color w:val="0000FF"/>
                      <w:spacing w:val="0"/>
                      <w:w w:val="100"/>
                      <w:kern w:val="2"/>
                      <w:position w:val="0"/>
                      <w:sz w:val="21"/>
                      <w:szCs w:val="21"/>
                      <w:highlight w:val="none"/>
                      <w:lang w:val="en-US" w:eastAsia="zh-CN" w:bidi="zh-CN"/>
                    </w:rPr>
                    <w:t>1.56</w:t>
                  </w:r>
                </w:p>
              </w:tc>
              <w:tc>
                <w:tcPr>
                  <w:tcW w:w="177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pacing w:val="0"/>
                      <w:w w:val="100"/>
                      <w:kern w:val="2"/>
                      <w:position w:val="0"/>
                      <w:sz w:val="21"/>
                      <w:szCs w:val="21"/>
                      <w:highlight w:val="none"/>
                      <w:lang w:val="en-US" w:eastAsia="zh-CN" w:bidi="zh-CN"/>
                    </w:rPr>
                  </w:pPr>
                  <w:r>
                    <w:rPr>
                      <w:rFonts w:hint="eastAsia" w:cs="Times New Roman"/>
                      <w:color w:val="0000FF"/>
                      <w:spacing w:val="0"/>
                      <w:w w:val="100"/>
                      <w:kern w:val="2"/>
                      <w:position w:val="0"/>
                      <w:sz w:val="21"/>
                      <w:szCs w:val="21"/>
                      <w:highlight w:val="none"/>
                      <w:lang w:val="en-US" w:eastAsia="zh-CN" w:bidi="zh-CN"/>
                    </w:rPr>
                    <w:t>2.36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2625" w:type="dxa"/>
                  <w:gridSpan w:val="2"/>
                  <w:tcBorders>
                    <w:tl2br w:val="nil"/>
                    <w:tr2bl w:val="nil"/>
                  </w:tcBorders>
                  <w:noWrap w:val="0"/>
                  <w:vAlign w:val="center"/>
                </w:tcPr>
                <w:p>
                  <w:pPr>
                    <w:pStyle w:val="33"/>
                    <w:adjustRightInd w:val="0"/>
                    <w:snapToGrid w:val="0"/>
                    <w:spacing w:before="0" w:line="240" w:lineRule="auto"/>
                    <w:ind w:left="0" w:right="0"/>
                    <w:jc w:val="center"/>
                    <w:rPr>
                      <w:rFonts w:hint="default" w:ascii="Times New Roman" w:hAnsi="Times New Roman" w:eastAsia="宋体" w:cs="Times New Roman"/>
                      <w:color w:val="0000FF"/>
                      <w:spacing w:val="0"/>
                      <w:w w:val="100"/>
                      <w:position w:val="0"/>
                      <w:sz w:val="21"/>
                      <w:szCs w:val="21"/>
                      <w:highlight w:val="none"/>
                    </w:rPr>
                  </w:pPr>
                  <w:r>
                    <w:rPr>
                      <w:rFonts w:hint="default" w:ascii="Times New Roman" w:hAnsi="Times New Roman" w:eastAsia="宋体" w:cs="Times New Roman"/>
                      <w:color w:val="0000FF"/>
                      <w:spacing w:val="0"/>
                      <w:w w:val="100"/>
                      <w:position w:val="0"/>
                      <w:sz w:val="21"/>
                      <w:szCs w:val="21"/>
                      <w:highlight w:val="none"/>
                    </w:rPr>
                    <w:t>排放形式</w:t>
                  </w:r>
                </w:p>
              </w:tc>
              <w:tc>
                <w:tcPr>
                  <w:tcW w:w="5312" w:type="dxa"/>
                  <w:gridSpan w:val="3"/>
                  <w:tcBorders>
                    <w:tl2br w:val="nil"/>
                    <w:tr2bl w:val="nil"/>
                  </w:tcBorders>
                  <w:noWrap w:val="0"/>
                  <w:vAlign w:val="center"/>
                </w:tcPr>
                <w:p>
                  <w:pPr>
                    <w:adjustRightInd w:val="0"/>
                    <w:snapToGrid w:val="0"/>
                    <w:spacing w:before="0" w:line="240" w:lineRule="auto"/>
                    <w:ind w:left="0" w:leftChars="0" w:right="0" w:rightChars="0"/>
                    <w:jc w:val="center"/>
                    <w:rPr>
                      <w:rFonts w:hint="default" w:ascii="Times New Roman" w:hAnsi="Times New Roman" w:eastAsia="宋体" w:cs="Times New Roman"/>
                      <w:color w:val="0000FF"/>
                      <w:spacing w:val="0"/>
                      <w:w w:val="100"/>
                      <w:kern w:val="2"/>
                      <w:position w:val="0"/>
                      <w:sz w:val="21"/>
                      <w:szCs w:val="21"/>
                      <w:highlight w:val="none"/>
                      <w:lang w:val="en-US" w:eastAsia="zh-CN" w:bidi="zh-CN"/>
                    </w:rPr>
                  </w:pPr>
                  <w:r>
                    <w:rPr>
                      <w:rFonts w:hint="default" w:ascii="Times New Roman" w:hAnsi="Times New Roman" w:eastAsia="宋体" w:cs="Times New Roman"/>
                      <w:color w:val="0000FF"/>
                      <w:spacing w:val="0"/>
                      <w:w w:val="100"/>
                      <w:kern w:val="2"/>
                      <w:position w:val="0"/>
                      <w:sz w:val="21"/>
                      <w:szCs w:val="21"/>
                      <w:highlight w:val="none"/>
                      <w:lang w:val="zh-CN" w:eastAsia="zh-CN" w:bidi="zh-CN"/>
                    </w:rPr>
                    <w:t>有组织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2625" w:type="dxa"/>
                  <w:gridSpan w:val="2"/>
                  <w:tcBorders>
                    <w:tl2br w:val="nil"/>
                    <w:tr2bl w:val="nil"/>
                  </w:tcBorders>
                  <w:noWrap w:val="0"/>
                  <w:vAlign w:val="center"/>
                </w:tcPr>
                <w:p>
                  <w:pPr>
                    <w:pStyle w:val="33"/>
                    <w:adjustRightInd w:val="0"/>
                    <w:snapToGrid w:val="0"/>
                    <w:spacing w:before="0" w:line="240" w:lineRule="auto"/>
                    <w:ind w:left="0"/>
                    <w:jc w:val="center"/>
                    <w:rPr>
                      <w:rFonts w:hint="default" w:ascii="Times New Roman" w:hAnsi="Times New Roman" w:eastAsia="宋体" w:cs="Times New Roman"/>
                      <w:color w:val="0000FF"/>
                      <w:spacing w:val="0"/>
                      <w:w w:val="100"/>
                      <w:position w:val="0"/>
                      <w:sz w:val="21"/>
                      <w:szCs w:val="21"/>
                      <w:highlight w:val="none"/>
                    </w:rPr>
                  </w:pPr>
                  <w:r>
                    <w:rPr>
                      <w:rFonts w:hint="default" w:ascii="Times New Roman" w:hAnsi="Times New Roman" w:eastAsia="宋体" w:cs="Times New Roman"/>
                      <w:color w:val="0000FF"/>
                      <w:spacing w:val="0"/>
                      <w:w w:val="100"/>
                      <w:position w:val="0"/>
                      <w:sz w:val="21"/>
                      <w:szCs w:val="21"/>
                      <w:highlight w:val="none"/>
                    </w:rPr>
                    <w:t>排放时长h</w:t>
                  </w:r>
                </w:p>
              </w:tc>
              <w:tc>
                <w:tcPr>
                  <w:tcW w:w="5312" w:type="dxa"/>
                  <w:gridSpan w:val="3"/>
                  <w:tcBorders>
                    <w:tl2br w:val="nil"/>
                    <w:tr2bl w:val="nil"/>
                  </w:tcBorders>
                  <w:noWrap w:val="0"/>
                  <w:vAlign w:val="center"/>
                </w:tcPr>
                <w:p>
                  <w:pPr>
                    <w:adjustRightInd w:val="0"/>
                    <w:snapToGrid w:val="0"/>
                    <w:spacing w:before="0" w:line="240" w:lineRule="auto"/>
                    <w:ind w:left="0" w:leftChars="0" w:right="0" w:rightChars="0"/>
                    <w:jc w:val="center"/>
                    <w:rPr>
                      <w:rFonts w:hint="default" w:ascii="Times New Roman" w:hAnsi="Times New Roman" w:eastAsia="宋体" w:cs="Times New Roman"/>
                      <w:color w:val="0000FF"/>
                      <w:spacing w:val="0"/>
                      <w:w w:val="100"/>
                      <w:kern w:val="2"/>
                      <w:position w:val="0"/>
                      <w:sz w:val="21"/>
                      <w:szCs w:val="21"/>
                      <w:highlight w:val="none"/>
                      <w:lang w:val="en-US" w:eastAsia="zh-CN" w:bidi="zh-CN"/>
                    </w:rPr>
                  </w:pPr>
                  <w:r>
                    <w:rPr>
                      <w:rFonts w:hint="eastAsia" w:ascii="Times New Roman" w:hAnsi="Times New Roman" w:eastAsia="宋体" w:cs="Times New Roman"/>
                      <w:color w:val="0000FF"/>
                      <w:spacing w:val="0"/>
                      <w:w w:val="100"/>
                      <w:kern w:val="2"/>
                      <w:position w:val="0"/>
                      <w:sz w:val="21"/>
                      <w:szCs w:val="21"/>
                      <w:highlight w:val="none"/>
                      <w:lang w:val="en-US" w:eastAsia="zh-CN" w:bidi="zh-CN"/>
                    </w:rPr>
                    <w:t>7</w:t>
                  </w:r>
                  <w:r>
                    <w:rPr>
                      <w:rFonts w:hint="eastAsia" w:cs="Times New Roman"/>
                      <w:color w:val="0000FF"/>
                      <w:spacing w:val="0"/>
                      <w:w w:val="100"/>
                      <w:kern w:val="2"/>
                      <w:position w:val="0"/>
                      <w:sz w:val="21"/>
                      <w:szCs w:val="21"/>
                      <w:highlight w:val="none"/>
                      <w:lang w:val="en-US" w:eastAsia="zh-CN" w:bidi="zh-CN"/>
                    </w:rPr>
                    <w:t>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706" w:type="dxa"/>
                  <w:vMerge w:val="restart"/>
                  <w:tcBorders>
                    <w:tl2br w:val="nil"/>
                    <w:tr2bl w:val="nil"/>
                  </w:tcBorders>
                  <w:noWrap w:val="0"/>
                  <w:vAlign w:val="center"/>
                </w:tcPr>
                <w:p>
                  <w:pPr>
                    <w:pStyle w:val="33"/>
                    <w:adjustRightInd w:val="0"/>
                    <w:snapToGrid w:val="0"/>
                    <w:spacing w:before="0" w:line="240" w:lineRule="auto"/>
                    <w:ind w:left="0" w:right="0" w:firstLine="0"/>
                    <w:jc w:val="center"/>
                    <w:rPr>
                      <w:rFonts w:hint="default" w:ascii="Times New Roman" w:hAnsi="Times New Roman" w:eastAsia="宋体" w:cs="Times New Roman"/>
                      <w:color w:val="0000FF"/>
                      <w:spacing w:val="0"/>
                      <w:w w:val="100"/>
                      <w:position w:val="0"/>
                      <w:sz w:val="21"/>
                      <w:szCs w:val="21"/>
                      <w:highlight w:val="none"/>
                    </w:rPr>
                  </w:pPr>
                  <w:r>
                    <w:rPr>
                      <w:rFonts w:hint="default" w:ascii="Times New Roman" w:hAnsi="Times New Roman" w:eastAsia="宋体" w:cs="Times New Roman"/>
                      <w:color w:val="0000FF"/>
                      <w:spacing w:val="0"/>
                      <w:w w:val="100"/>
                      <w:position w:val="0"/>
                      <w:sz w:val="21"/>
                      <w:szCs w:val="21"/>
                      <w:highlight w:val="none"/>
                    </w:rPr>
                    <w:t>治理措施</w:t>
                  </w:r>
                </w:p>
              </w:tc>
              <w:tc>
                <w:tcPr>
                  <w:tcW w:w="1919" w:type="dxa"/>
                  <w:tcBorders>
                    <w:tl2br w:val="nil"/>
                    <w:tr2bl w:val="nil"/>
                  </w:tcBorders>
                  <w:noWrap w:val="0"/>
                  <w:vAlign w:val="center"/>
                </w:tcPr>
                <w:p>
                  <w:pPr>
                    <w:pStyle w:val="33"/>
                    <w:adjustRightInd w:val="0"/>
                    <w:snapToGrid w:val="0"/>
                    <w:spacing w:before="0" w:line="240" w:lineRule="auto"/>
                    <w:ind w:left="0" w:right="0"/>
                    <w:jc w:val="center"/>
                    <w:rPr>
                      <w:rFonts w:hint="default" w:ascii="Times New Roman" w:hAnsi="Times New Roman" w:eastAsia="宋体" w:cs="Times New Roman"/>
                      <w:color w:val="0000FF"/>
                      <w:spacing w:val="0"/>
                      <w:w w:val="100"/>
                      <w:position w:val="0"/>
                      <w:sz w:val="21"/>
                      <w:szCs w:val="21"/>
                      <w:highlight w:val="none"/>
                    </w:rPr>
                  </w:pPr>
                  <w:r>
                    <w:rPr>
                      <w:rFonts w:hint="default" w:ascii="Times New Roman" w:hAnsi="Times New Roman" w:eastAsia="宋体" w:cs="Times New Roman"/>
                      <w:color w:val="0000FF"/>
                      <w:spacing w:val="0"/>
                      <w:w w:val="100"/>
                      <w:position w:val="0"/>
                      <w:sz w:val="21"/>
                      <w:szCs w:val="21"/>
                      <w:highlight w:val="none"/>
                    </w:rPr>
                    <w:t>措施名称</w:t>
                  </w:r>
                </w:p>
              </w:tc>
              <w:tc>
                <w:tcPr>
                  <w:tcW w:w="5312" w:type="dxa"/>
                  <w:gridSpan w:val="3"/>
                  <w:tcBorders>
                    <w:tl2br w:val="nil"/>
                    <w:tr2bl w:val="nil"/>
                  </w:tcBorders>
                  <w:noWrap w:val="0"/>
                  <w:vAlign w:val="center"/>
                </w:tcPr>
                <w:p>
                  <w:pPr>
                    <w:adjustRightInd w:val="0"/>
                    <w:snapToGrid w:val="0"/>
                    <w:spacing w:before="0" w:line="240" w:lineRule="auto"/>
                    <w:ind w:left="0" w:leftChars="0" w:right="0" w:rightChars="0"/>
                    <w:jc w:val="center"/>
                    <w:rPr>
                      <w:rFonts w:hint="default" w:ascii="Times New Roman" w:hAnsi="Times New Roman" w:eastAsia="宋体" w:cs="Times New Roman"/>
                      <w:color w:val="0000FF"/>
                      <w:spacing w:val="0"/>
                      <w:w w:val="100"/>
                      <w:kern w:val="2"/>
                      <w:position w:val="0"/>
                      <w:sz w:val="21"/>
                      <w:szCs w:val="21"/>
                      <w:highlight w:val="none"/>
                      <w:lang w:val="en-US" w:eastAsia="zh-CN" w:bidi="zh-CN"/>
                    </w:rPr>
                  </w:pPr>
                  <w:r>
                    <w:rPr>
                      <w:rFonts w:hint="eastAsia" w:ascii="Times New Roman" w:hAnsi="Times New Roman" w:eastAsia="宋体" w:cs="Times New Roman"/>
                      <w:color w:val="0000FF"/>
                      <w:spacing w:val="0"/>
                      <w:w w:val="100"/>
                      <w:kern w:val="2"/>
                      <w:position w:val="0"/>
                      <w:sz w:val="21"/>
                      <w:szCs w:val="21"/>
                      <w:highlight w:val="none"/>
                      <w:lang w:val="en-US" w:eastAsia="zh-CN" w:bidi="zh-CN"/>
                    </w:rPr>
                    <w:t>低氮燃烧器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706" w:type="dxa"/>
                  <w:vMerge w:val="continue"/>
                  <w:tcBorders>
                    <w:tl2br w:val="nil"/>
                    <w:tr2bl w:val="nil"/>
                  </w:tcBorders>
                  <w:noWrap w:val="0"/>
                  <w:vAlign w:val="center"/>
                </w:tcPr>
                <w:p>
                  <w:pPr>
                    <w:pStyle w:val="33"/>
                    <w:adjustRightInd w:val="0"/>
                    <w:snapToGrid w:val="0"/>
                    <w:spacing w:before="0" w:line="240" w:lineRule="auto"/>
                    <w:ind w:left="0"/>
                    <w:jc w:val="center"/>
                    <w:rPr>
                      <w:rFonts w:hint="default" w:ascii="Times New Roman" w:hAnsi="Times New Roman" w:eastAsia="宋体" w:cs="Times New Roman"/>
                      <w:color w:val="0000FF"/>
                      <w:spacing w:val="0"/>
                      <w:w w:val="100"/>
                      <w:position w:val="0"/>
                      <w:sz w:val="21"/>
                      <w:szCs w:val="21"/>
                      <w:highlight w:val="none"/>
                    </w:rPr>
                  </w:pPr>
                </w:p>
              </w:tc>
              <w:tc>
                <w:tcPr>
                  <w:tcW w:w="1919" w:type="dxa"/>
                  <w:tcBorders>
                    <w:tl2br w:val="nil"/>
                    <w:tr2bl w:val="nil"/>
                  </w:tcBorders>
                  <w:noWrap w:val="0"/>
                  <w:vAlign w:val="center"/>
                </w:tcPr>
                <w:p>
                  <w:pPr>
                    <w:pStyle w:val="33"/>
                    <w:adjustRightInd w:val="0"/>
                    <w:snapToGrid w:val="0"/>
                    <w:spacing w:before="0" w:line="240" w:lineRule="auto"/>
                    <w:ind w:left="0" w:right="0"/>
                    <w:jc w:val="center"/>
                    <w:rPr>
                      <w:rFonts w:hint="eastAsia" w:ascii="Times New Roman" w:hAnsi="Times New Roman" w:eastAsia="宋体" w:cs="Times New Roman"/>
                      <w:color w:val="0000FF"/>
                      <w:spacing w:val="0"/>
                      <w:w w:val="100"/>
                      <w:position w:val="0"/>
                      <w:sz w:val="21"/>
                      <w:szCs w:val="21"/>
                      <w:highlight w:val="none"/>
                      <w:lang w:eastAsia="zh-CN"/>
                    </w:rPr>
                  </w:pPr>
                  <w:r>
                    <w:rPr>
                      <w:rFonts w:hint="eastAsia" w:ascii="Times New Roman" w:hAnsi="Times New Roman" w:cs="Times New Roman"/>
                      <w:color w:val="0000FF"/>
                      <w:spacing w:val="0"/>
                      <w:w w:val="100"/>
                      <w:position w:val="0"/>
                      <w:sz w:val="21"/>
                      <w:szCs w:val="21"/>
                      <w:highlight w:val="none"/>
                      <w:lang w:eastAsia="zh-CN"/>
                    </w:rPr>
                    <w:t>处理能力（</w:t>
                  </w:r>
                  <w:r>
                    <w:rPr>
                      <w:rFonts w:hint="default" w:ascii="Times New Roman" w:hAnsi="Times New Roman" w:eastAsia="宋体" w:cs="Times New Roman"/>
                      <w:color w:val="0000FF"/>
                      <w:spacing w:val="0"/>
                      <w:w w:val="100"/>
                      <w:kern w:val="2"/>
                      <w:position w:val="0"/>
                      <w:sz w:val="21"/>
                      <w:szCs w:val="21"/>
                      <w:highlight w:val="none"/>
                      <w:lang w:val="en-US" w:eastAsia="zh-CN" w:bidi="zh-CN"/>
                    </w:rPr>
                    <w:t>m</w:t>
                  </w:r>
                  <w:r>
                    <w:rPr>
                      <w:rFonts w:hint="default" w:ascii="Times New Roman" w:hAnsi="Times New Roman" w:eastAsia="宋体" w:cs="Times New Roman"/>
                      <w:color w:val="0000FF"/>
                      <w:spacing w:val="0"/>
                      <w:w w:val="100"/>
                      <w:kern w:val="2"/>
                      <w:position w:val="0"/>
                      <w:sz w:val="21"/>
                      <w:szCs w:val="21"/>
                      <w:highlight w:val="none"/>
                      <w:vertAlign w:val="superscript"/>
                      <w:lang w:val="en-US" w:eastAsia="zh-CN" w:bidi="zh-CN"/>
                    </w:rPr>
                    <w:t>3</w:t>
                  </w:r>
                  <w:r>
                    <w:rPr>
                      <w:rFonts w:hint="default" w:ascii="Times New Roman" w:hAnsi="Times New Roman" w:eastAsia="宋体" w:cs="Times New Roman"/>
                      <w:color w:val="0000FF"/>
                      <w:spacing w:val="0"/>
                      <w:w w:val="100"/>
                      <w:kern w:val="2"/>
                      <w:position w:val="0"/>
                      <w:sz w:val="21"/>
                      <w:szCs w:val="21"/>
                      <w:highlight w:val="none"/>
                      <w:lang w:val="en-US" w:eastAsia="zh-CN" w:bidi="zh-CN"/>
                    </w:rPr>
                    <w:t>/h</w:t>
                  </w:r>
                  <w:r>
                    <w:rPr>
                      <w:rFonts w:hint="eastAsia" w:ascii="Times New Roman" w:hAnsi="Times New Roman" w:cs="Times New Roman"/>
                      <w:color w:val="0000FF"/>
                      <w:spacing w:val="0"/>
                      <w:w w:val="100"/>
                      <w:position w:val="0"/>
                      <w:sz w:val="21"/>
                      <w:szCs w:val="21"/>
                      <w:highlight w:val="none"/>
                      <w:lang w:eastAsia="zh-CN"/>
                    </w:rPr>
                    <w:t>）</w:t>
                  </w:r>
                </w:p>
              </w:tc>
              <w:tc>
                <w:tcPr>
                  <w:tcW w:w="1770" w:type="dxa"/>
                  <w:tcBorders>
                    <w:tl2br w:val="nil"/>
                    <w:tr2bl w:val="nil"/>
                  </w:tcBorders>
                  <w:noWrap w:val="0"/>
                  <w:vAlign w:val="center"/>
                </w:tcPr>
                <w:p>
                  <w:pPr>
                    <w:adjustRightInd w:val="0"/>
                    <w:snapToGrid w:val="0"/>
                    <w:spacing w:before="0" w:line="240" w:lineRule="auto"/>
                    <w:ind w:left="0" w:leftChars="0" w:right="0" w:rightChars="0"/>
                    <w:jc w:val="center"/>
                    <w:rPr>
                      <w:rFonts w:hint="default" w:ascii="Times New Roman" w:hAnsi="Times New Roman" w:eastAsia="宋体" w:cs="Times New Roman"/>
                      <w:color w:val="0000FF"/>
                      <w:spacing w:val="0"/>
                      <w:w w:val="100"/>
                      <w:kern w:val="2"/>
                      <w:position w:val="0"/>
                      <w:sz w:val="21"/>
                      <w:szCs w:val="21"/>
                      <w:highlight w:val="none"/>
                      <w:lang w:val="en-US" w:eastAsia="zh-CN" w:bidi="zh-CN"/>
                    </w:rPr>
                  </w:pPr>
                  <w:r>
                    <w:rPr>
                      <w:rFonts w:hint="eastAsia" w:ascii="Times New Roman" w:hAnsi="Times New Roman" w:eastAsia="宋体" w:cs="Times New Roman"/>
                      <w:color w:val="0000FF"/>
                      <w:spacing w:val="0"/>
                      <w:w w:val="100"/>
                      <w:kern w:val="2"/>
                      <w:position w:val="0"/>
                      <w:sz w:val="21"/>
                      <w:szCs w:val="21"/>
                      <w:highlight w:val="none"/>
                      <w:lang w:val="en-US" w:eastAsia="zh-CN" w:bidi="zh-CN"/>
                    </w:rPr>
                    <w:t>/</w:t>
                  </w:r>
                </w:p>
              </w:tc>
              <w:tc>
                <w:tcPr>
                  <w:tcW w:w="1770" w:type="dxa"/>
                  <w:tcBorders>
                    <w:tl2br w:val="nil"/>
                    <w:tr2bl w:val="nil"/>
                  </w:tcBorders>
                  <w:noWrap w:val="0"/>
                  <w:vAlign w:val="center"/>
                </w:tcPr>
                <w:p>
                  <w:pPr>
                    <w:adjustRightInd w:val="0"/>
                    <w:snapToGrid w:val="0"/>
                    <w:spacing w:before="0" w:line="240" w:lineRule="auto"/>
                    <w:ind w:left="0" w:leftChars="0" w:right="0" w:rightChars="0"/>
                    <w:jc w:val="center"/>
                    <w:rPr>
                      <w:rFonts w:hint="default" w:ascii="Times New Roman" w:hAnsi="Times New Roman" w:eastAsia="宋体" w:cs="Times New Roman"/>
                      <w:color w:val="0000FF"/>
                      <w:spacing w:val="0"/>
                      <w:w w:val="100"/>
                      <w:position w:val="0"/>
                      <w:sz w:val="21"/>
                      <w:szCs w:val="21"/>
                      <w:highlight w:val="none"/>
                      <w:lang w:val="en-US" w:eastAsia="zh-CN"/>
                    </w:rPr>
                  </w:pPr>
                  <w:r>
                    <w:rPr>
                      <w:rFonts w:hint="eastAsia" w:ascii="Times New Roman" w:hAnsi="Times New Roman" w:eastAsia="宋体" w:cs="Times New Roman"/>
                      <w:color w:val="0000FF"/>
                      <w:spacing w:val="0"/>
                      <w:w w:val="100"/>
                      <w:position w:val="0"/>
                      <w:sz w:val="21"/>
                      <w:szCs w:val="21"/>
                      <w:highlight w:val="none"/>
                      <w:lang w:val="en-US" w:eastAsia="zh-CN"/>
                    </w:rPr>
                    <w:t>/</w:t>
                  </w:r>
                </w:p>
              </w:tc>
              <w:tc>
                <w:tcPr>
                  <w:tcW w:w="1772" w:type="dxa"/>
                  <w:tcBorders>
                    <w:tl2br w:val="nil"/>
                    <w:tr2bl w:val="nil"/>
                  </w:tcBorders>
                  <w:noWrap w:val="0"/>
                  <w:vAlign w:val="center"/>
                </w:tcPr>
                <w:p>
                  <w:pPr>
                    <w:adjustRightInd w:val="0"/>
                    <w:snapToGrid w:val="0"/>
                    <w:spacing w:before="0" w:line="240" w:lineRule="auto"/>
                    <w:ind w:left="0" w:leftChars="0" w:right="0" w:rightChars="0"/>
                    <w:jc w:val="center"/>
                    <w:rPr>
                      <w:rFonts w:hint="default" w:ascii="Times New Roman" w:hAnsi="Times New Roman" w:eastAsia="宋体" w:cs="Times New Roman"/>
                      <w:color w:val="0000FF"/>
                      <w:spacing w:val="0"/>
                      <w:w w:val="100"/>
                      <w:kern w:val="2"/>
                      <w:position w:val="0"/>
                      <w:sz w:val="21"/>
                      <w:szCs w:val="21"/>
                      <w:highlight w:val="none"/>
                      <w:lang w:val="en-US" w:eastAsia="zh-CN" w:bidi="zh-CN"/>
                    </w:rPr>
                  </w:pPr>
                  <w:r>
                    <w:rPr>
                      <w:rFonts w:hint="eastAsia" w:ascii="Times New Roman" w:hAnsi="Times New Roman" w:eastAsia="宋体" w:cs="Times New Roman"/>
                      <w:color w:val="0000FF"/>
                      <w:spacing w:val="0"/>
                      <w:w w:val="100"/>
                      <w:kern w:val="2"/>
                      <w:position w:val="0"/>
                      <w:sz w:val="21"/>
                      <w:szCs w:val="21"/>
                      <w:highlight w:val="none"/>
                      <w:lang w:val="en-US" w:eastAsia="zh-CN" w:bidi="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706" w:type="dxa"/>
                  <w:vMerge w:val="continue"/>
                  <w:tcBorders>
                    <w:tl2br w:val="nil"/>
                    <w:tr2bl w:val="nil"/>
                  </w:tcBorders>
                  <w:noWrap w:val="0"/>
                  <w:vAlign w:val="center"/>
                </w:tcPr>
                <w:p>
                  <w:pPr>
                    <w:pStyle w:val="33"/>
                    <w:adjustRightInd w:val="0"/>
                    <w:snapToGrid w:val="0"/>
                    <w:spacing w:before="0" w:line="240" w:lineRule="auto"/>
                    <w:ind w:left="0"/>
                    <w:jc w:val="center"/>
                    <w:rPr>
                      <w:rFonts w:hint="default" w:ascii="Times New Roman" w:hAnsi="Times New Roman" w:eastAsia="宋体" w:cs="Times New Roman"/>
                      <w:color w:val="0000FF"/>
                      <w:spacing w:val="0"/>
                      <w:w w:val="100"/>
                      <w:position w:val="0"/>
                      <w:sz w:val="21"/>
                      <w:szCs w:val="21"/>
                      <w:highlight w:val="none"/>
                    </w:rPr>
                  </w:pPr>
                </w:p>
              </w:tc>
              <w:tc>
                <w:tcPr>
                  <w:tcW w:w="1919" w:type="dxa"/>
                  <w:tcBorders>
                    <w:tl2br w:val="nil"/>
                    <w:tr2bl w:val="nil"/>
                  </w:tcBorders>
                  <w:noWrap w:val="0"/>
                  <w:vAlign w:val="center"/>
                </w:tcPr>
                <w:p>
                  <w:pPr>
                    <w:pStyle w:val="33"/>
                    <w:adjustRightInd w:val="0"/>
                    <w:snapToGrid w:val="0"/>
                    <w:spacing w:before="0" w:line="240" w:lineRule="auto"/>
                    <w:ind w:left="0" w:right="0"/>
                    <w:jc w:val="center"/>
                    <w:rPr>
                      <w:rFonts w:hint="default" w:ascii="Times New Roman" w:hAnsi="Times New Roman" w:eastAsia="宋体" w:cs="Times New Roman"/>
                      <w:color w:val="0000FF"/>
                      <w:spacing w:val="0"/>
                      <w:w w:val="100"/>
                      <w:position w:val="0"/>
                      <w:sz w:val="21"/>
                      <w:szCs w:val="21"/>
                      <w:highlight w:val="none"/>
                    </w:rPr>
                  </w:pPr>
                  <w:r>
                    <w:rPr>
                      <w:rFonts w:hint="default" w:ascii="Times New Roman" w:hAnsi="Times New Roman" w:eastAsia="宋体" w:cs="Times New Roman"/>
                      <w:color w:val="0000FF"/>
                      <w:spacing w:val="0"/>
                      <w:w w:val="100"/>
                      <w:position w:val="0"/>
                      <w:sz w:val="21"/>
                      <w:szCs w:val="21"/>
                      <w:highlight w:val="none"/>
                    </w:rPr>
                    <w:t>是否可行技术</w:t>
                  </w:r>
                </w:p>
              </w:tc>
              <w:tc>
                <w:tcPr>
                  <w:tcW w:w="1770" w:type="dxa"/>
                  <w:tcBorders>
                    <w:tl2br w:val="nil"/>
                    <w:tr2bl w:val="nil"/>
                  </w:tcBorders>
                  <w:noWrap w:val="0"/>
                  <w:vAlign w:val="center"/>
                </w:tcPr>
                <w:p>
                  <w:pPr>
                    <w:adjustRightInd w:val="0"/>
                    <w:snapToGrid w:val="0"/>
                    <w:spacing w:before="0" w:line="240" w:lineRule="auto"/>
                    <w:ind w:left="0" w:leftChars="0"/>
                    <w:jc w:val="center"/>
                    <w:rPr>
                      <w:rFonts w:hint="default" w:ascii="Times New Roman" w:hAnsi="Times New Roman" w:eastAsia="宋体" w:cs="Times New Roman"/>
                      <w:color w:val="0000FF"/>
                      <w:spacing w:val="0"/>
                      <w:w w:val="100"/>
                      <w:kern w:val="2"/>
                      <w:position w:val="0"/>
                      <w:sz w:val="21"/>
                      <w:szCs w:val="21"/>
                      <w:highlight w:val="none"/>
                      <w:lang w:val="zh-CN" w:eastAsia="zh-CN" w:bidi="zh-CN"/>
                    </w:rPr>
                  </w:pPr>
                  <w:r>
                    <w:rPr>
                      <w:rFonts w:hint="default" w:ascii="Times New Roman" w:hAnsi="Times New Roman" w:eastAsia="宋体" w:cs="Times New Roman"/>
                      <w:color w:val="0000FF"/>
                      <w:spacing w:val="0"/>
                      <w:w w:val="100"/>
                      <w:position w:val="0"/>
                      <w:sz w:val="21"/>
                      <w:szCs w:val="21"/>
                      <w:highlight w:val="none"/>
                      <w:lang w:eastAsia="zh-CN"/>
                    </w:rPr>
                    <w:t>是</w:t>
                  </w:r>
                </w:p>
              </w:tc>
              <w:tc>
                <w:tcPr>
                  <w:tcW w:w="1770" w:type="dxa"/>
                  <w:tcBorders>
                    <w:tl2br w:val="nil"/>
                    <w:tr2bl w:val="nil"/>
                  </w:tcBorders>
                  <w:noWrap w:val="0"/>
                  <w:vAlign w:val="center"/>
                </w:tcPr>
                <w:p>
                  <w:pPr>
                    <w:adjustRightInd w:val="0"/>
                    <w:snapToGrid w:val="0"/>
                    <w:spacing w:before="0" w:line="240" w:lineRule="auto"/>
                    <w:ind w:left="0" w:leftChars="0"/>
                    <w:jc w:val="center"/>
                    <w:rPr>
                      <w:rFonts w:hint="default" w:ascii="Times New Roman" w:hAnsi="Times New Roman" w:eastAsia="宋体" w:cs="Times New Roman"/>
                      <w:color w:val="0000FF"/>
                      <w:spacing w:val="0"/>
                      <w:w w:val="100"/>
                      <w:position w:val="0"/>
                      <w:sz w:val="21"/>
                      <w:szCs w:val="21"/>
                      <w:highlight w:val="none"/>
                      <w:lang w:eastAsia="zh-CN"/>
                    </w:rPr>
                  </w:pPr>
                  <w:r>
                    <w:rPr>
                      <w:rFonts w:hint="default" w:ascii="Times New Roman" w:hAnsi="Times New Roman" w:eastAsia="宋体" w:cs="Times New Roman"/>
                      <w:color w:val="0000FF"/>
                      <w:spacing w:val="0"/>
                      <w:w w:val="100"/>
                      <w:position w:val="0"/>
                      <w:sz w:val="21"/>
                      <w:szCs w:val="21"/>
                      <w:highlight w:val="none"/>
                      <w:lang w:eastAsia="zh-CN"/>
                    </w:rPr>
                    <w:t>是</w:t>
                  </w:r>
                </w:p>
              </w:tc>
              <w:tc>
                <w:tcPr>
                  <w:tcW w:w="1772" w:type="dxa"/>
                  <w:tcBorders>
                    <w:tl2br w:val="nil"/>
                    <w:tr2bl w:val="nil"/>
                  </w:tcBorders>
                  <w:noWrap w:val="0"/>
                  <w:vAlign w:val="center"/>
                </w:tcPr>
                <w:p>
                  <w:pPr>
                    <w:adjustRightInd w:val="0"/>
                    <w:snapToGrid w:val="0"/>
                    <w:spacing w:before="0" w:line="240" w:lineRule="auto"/>
                    <w:ind w:left="0" w:leftChars="0" w:right="0" w:rightChars="0"/>
                    <w:jc w:val="center"/>
                    <w:rPr>
                      <w:rFonts w:hint="default" w:ascii="Times New Roman" w:hAnsi="Times New Roman" w:eastAsia="宋体" w:cs="Times New Roman"/>
                      <w:color w:val="0000FF"/>
                      <w:spacing w:val="0"/>
                      <w:w w:val="100"/>
                      <w:kern w:val="2"/>
                      <w:position w:val="0"/>
                      <w:sz w:val="21"/>
                      <w:szCs w:val="21"/>
                      <w:highlight w:val="none"/>
                      <w:lang w:val="en-US" w:eastAsia="zh-CN" w:bidi="zh-CN"/>
                    </w:rPr>
                  </w:pPr>
                  <w:r>
                    <w:rPr>
                      <w:rFonts w:hint="default" w:ascii="Times New Roman" w:hAnsi="Times New Roman" w:eastAsia="宋体" w:cs="Times New Roman"/>
                      <w:color w:val="0000FF"/>
                      <w:spacing w:val="0"/>
                      <w:w w:val="100"/>
                      <w:position w:val="0"/>
                      <w:sz w:val="21"/>
                      <w:szCs w:val="21"/>
                      <w:highlight w:val="none"/>
                      <w:lang w:eastAsia="zh-CN"/>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706" w:type="dxa"/>
                  <w:vMerge w:val="continue"/>
                  <w:tcBorders>
                    <w:tl2br w:val="nil"/>
                    <w:tr2bl w:val="nil"/>
                  </w:tcBorders>
                  <w:noWrap w:val="0"/>
                  <w:vAlign w:val="center"/>
                </w:tcPr>
                <w:p>
                  <w:pPr>
                    <w:pStyle w:val="33"/>
                    <w:adjustRightInd w:val="0"/>
                    <w:snapToGrid w:val="0"/>
                    <w:spacing w:before="0" w:line="240" w:lineRule="auto"/>
                    <w:ind w:left="0"/>
                    <w:jc w:val="center"/>
                    <w:rPr>
                      <w:rFonts w:hint="default" w:ascii="Times New Roman" w:hAnsi="Times New Roman" w:eastAsia="宋体" w:cs="Times New Roman"/>
                      <w:color w:val="0000FF"/>
                      <w:spacing w:val="0"/>
                      <w:w w:val="100"/>
                      <w:position w:val="0"/>
                      <w:sz w:val="21"/>
                      <w:szCs w:val="21"/>
                      <w:highlight w:val="none"/>
                    </w:rPr>
                  </w:pPr>
                </w:p>
              </w:tc>
              <w:tc>
                <w:tcPr>
                  <w:tcW w:w="1919" w:type="dxa"/>
                  <w:tcBorders>
                    <w:tl2br w:val="nil"/>
                    <w:tr2bl w:val="nil"/>
                  </w:tcBorders>
                  <w:noWrap w:val="0"/>
                  <w:vAlign w:val="center"/>
                </w:tcPr>
                <w:p>
                  <w:pPr>
                    <w:pStyle w:val="33"/>
                    <w:adjustRightInd w:val="0"/>
                    <w:snapToGrid w:val="0"/>
                    <w:spacing w:before="0" w:line="240" w:lineRule="auto"/>
                    <w:ind w:left="0" w:right="0"/>
                    <w:jc w:val="center"/>
                    <w:rPr>
                      <w:rFonts w:hint="default" w:ascii="Times New Roman" w:hAnsi="Times New Roman" w:eastAsia="宋体" w:cs="Times New Roman"/>
                      <w:color w:val="0000FF"/>
                      <w:spacing w:val="0"/>
                      <w:w w:val="100"/>
                      <w:position w:val="0"/>
                      <w:sz w:val="21"/>
                      <w:szCs w:val="21"/>
                      <w:highlight w:val="none"/>
                    </w:rPr>
                  </w:pPr>
                  <w:r>
                    <w:rPr>
                      <w:rFonts w:hint="default" w:ascii="Times New Roman" w:hAnsi="Times New Roman" w:eastAsia="宋体" w:cs="Times New Roman"/>
                      <w:color w:val="0000FF"/>
                      <w:spacing w:val="0"/>
                      <w:w w:val="100"/>
                      <w:position w:val="0"/>
                      <w:sz w:val="21"/>
                      <w:szCs w:val="21"/>
                      <w:highlight w:val="none"/>
                    </w:rPr>
                    <w:t>收集效率%</w:t>
                  </w:r>
                </w:p>
              </w:tc>
              <w:tc>
                <w:tcPr>
                  <w:tcW w:w="1770" w:type="dxa"/>
                  <w:tcBorders>
                    <w:tl2br w:val="nil"/>
                    <w:tr2bl w:val="nil"/>
                  </w:tcBorders>
                  <w:noWrap w:val="0"/>
                  <w:vAlign w:val="center"/>
                </w:tcPr>
                <w:p>
                  <w:pPr>
                    <w:adjustRightInd w:val="0"/>
                    <w:snapToGrid w:val="0"/>
                    <w:spacing w:before="0" w:line="240" w:lineRule="auto"/>
                    <w:ind w:left="0" w:leftChars="0" w:right="0" w:rightChars="0"/>
                    <w:jc w:val="center"/>
                    <w:rPr>
                      <w:rFonts w:hint="default" w:ascii="Times New Roman" w:hAnsi="Times New Roman" w:eastAsia="宋体" w:cs="Times New Roman"/>
                      <w:color w:val="0000FF"/>
                      <w:spacing w:val="0"/>
                      <w:w w:val="100"/>
                      <w:kern w:val="2"/>
                      <w:position w:val="0"/>
                      <w:sz w:val="21"/>
                      <w:szCs w:val="21"/>
                      <w:highlight w:val="none"/>
                      <w:lang w:val="en-US" w:eastAsia="zh-CN" w:bidi="zh-CN"/>
                    </w:rPr>
                  </w:pPr>
                  <w:r>
                    <w:rPr>
                      <w:rFonts w:hint="eastAsia" w:ascii="Times New Roman" w:hAnsi="Times New Roman" w:eastAsia="宋体" w:cs="Times New Roman"/>
                      <w:color w:val="0000FF"/>
                      <w:spacing w:val="0"/>
                      <w:w w:val="100"/>
                      <w:kern w:val="2"/>
                      <w:position w:val="0"/>
                      <w:sz w:val="21"/>
                      <w:szCs w:val="21"/>
                      <w:highlight w:val="none"/>
                      <w:lang w:val="en-US" w:eastAsia="zh-CN" w:bidi="zh-CN"/>
                    </w:rPr>
                    <w:t>100</w:t>
                  </w:r>
                </w:p>
              </w:tc>
              <w:tc>
                <w:tcPr>
                  <w:tcW w:w="1770" w:type="dxa"/>
                  <w:tcBorders>
                    <w:tl2br w:val="nil"/>
                    <w:tr2bl w:val="nil"/>
                  </w:tcBorders>
                  <w:noWrap w:val="0"/>
                  <w:vAlign w:val="center"/>
                </w:tcPr>
                <w:p>
                  <w:pPr>
                    <w:adjustRightInd w:val="0"/>
                    <w:snapToGrid w:val="0"/>
                    <w:spacing w:before="0" w:line="240" w:lineRule="auto"/>
                    <w:ind w:left="0" w:leftChars="0" w:right="0" w:rightChars="0"/>
                    <w:jc w:val="center"/>
                    <w:rPr>
                      <w:rFonts w:hint="eastAsia" w:ascii="Times New Roman" w:hAnsi="Times New Roman" w:eastAsia="宋体" w:cs="Times New Roman"/>
                      <w:color w:val="0000FF"/>
                      <w:spacing w:val="0"/>
                      <w:w w:val="100"/>
                      <w:position w:val="0"/>
                      <w:sz w:val="21"/>
                      <w:szCs w:val="21"/>
                      <w:highlight w:val="none"/>
                      <w:lang w:val="en-US" w:eastAsia="zh-CN"/>
                    </w:rPr>
                  </w:pPr>
                  <w:r>
                    <w:rPr>
                      <w:rFonts w:hint="eastAsia" w:ascii="Times New Roman" w:hAnsi="Times New Roman" w:eastAsia="宋体" w:cs="Times New Roman"/>
                      <w:color w:val="0000FF"/>
                      <w:spacing w:val="0"/>
                      <w:w w:val="100"/>
                      <w:position w:val="0"/>
                      <w:sz w:val="21"/>
                      <w:szCs w:val="21"/>
                      <w:highlight w:val="none"/>
                      <w:lang w:val="en-US" w:eastAsia="zh-CN"/>
                    </w:rPr>
                    <w:t>100</w:t>
                  </w:r>
                </w:p>
              </w:tc>
              <w:tc>
                <w:tcPr>
                  <w:tcW w:w="1772" w:type="dxa"/>
                  <w:tcBorders>
                    <w:tl2br w:val="nil"/>
                    <w:tr2bl w:val="nil"/>
                  </w:tcBorders>
                  <w:noWrap w:val="0"/>
                  <w:vAlign w:val="center"/>
                </w:tcPr>
                <w:p>
                  <w:pPr>
                    <w:adjustRightInd w:val="0"/>
                    <w:snapToGrid w:val="0"/>
                    <w:spacing w:before="0" w:line="240" w:lineRule="auto"/>
                    <w:ind w:left="0" w:leftChars="0" w:right="0" w:rightChars="0"/>
                    <w:jc w:val="center"/>
                    <w:rPr>
                      <w:rFonts w:hint="default" w:ascii="Times New Roman" w:hAnsi="Times New Roman" w:eastAsia="宋体" w:cs="Times New Roman"/>
                      <w:color w:val="0000FF"/>
                      <w:spacing w:val="0"/>
                      <w:w w:val="100"/>
                      <w:kern w:val="2"/>
                      <w:position w:val="0"/>
                      <w:sz w:val="21"/>
                      <w:szCs w:val="21"/>
                      <w:highlight w:val="none"/>
                      <w:lang w:val="en-US" w:eastAsia="zh-CN" w:bidi="zh-CN"/>
                    </w:rPr>
                  </w:pPr>
                  <w:r>
                    <w:rPr>
                      <w:rFonts w:hint="eastAsia" w:ascii="Times New Roman" w:hAnsi="Times New Roman" w:eastAsia="宋体" w:cs="Times New Roman"/>
                      <w:color w:val="0000FF"/>
                      <w:spacing w:val="0"/>
                      <w:w w:val="100"/>
                      <w:position w:val="0"/>
                      <w:sz w:val="21"/>
                      <w:szCs w:val="21"/>
                      <w:highlight w:val="none"/>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706" w:type="dxa"/>
                  <w:vMerge w:val="continue"/>
                  <w:tcBorders>
                    <w:tl2br w:val="nil"/>
                    <w:tr2bl w:val="nil"/>
                  </w:tcBorders>
                  <w:noWrap w:val="0"/>
                  <w:vAlign w:val="center"/>
                </w:tcPr>
                <w:p>
                  <w:pPr>
                    <w:pStyle w:val="33"/>
                    <w:adjustRightInd w:val="0"/>
                    <w:snapToGrid w:val="0"/>
                    <w:spacing w:before="0" w:line="240" w:lineRule="auto"/>
                    <w:ind w:left="0"/>
                    <w:jc w:val="center"/>
                    <w:rPr>
                      <w:rFonts w:hint="default" w:ascii="Times New Roman" w:hAnsi="Times New Roman" w:eastAsia="宋体" w:cs="Times New Roman"/>
                      <w:color w:val="0000FF"/>
                      <w:spacing w:val="0"/>
                      <w:w w:val="100"/>
                      <w:position w:val="0"/>
                      <w:sz w:val="21"/>
                      <w:szCs w:val="21"/>
                      <w:highlight w:val="none"/>
                    </w:rPr>
                  </w:pPr>
                </w:p>
              </w:tc>
              <w:tc>
                <w:tcPr>
                  <w:tcW w:w="1919" w:type="dxa"/>
                  <w:tcBorders>
                    <w:tl2br w:val="nil"/>
                    <w:tr2bl w:val="nil"/>
                  </w:tcBorders>
                  <w:noWrap w:val="0"/>
                  <w:vAlign w:val="center"/>
                </w:tcPr>
                <w:p>
                  <w:pPr>
                    <w:pStyle w:val="33"/>
                    <w:adjustRightInd w:val="0"/>
                    <w:snapToGrid w:val="0"/>
                    <w:spacing w:before="0" w:line="240" w:lineRule="auto"/>
                    <w:ind w:left="0" w:right="0"/>
                    <w:jc w:val="center"/>
                    <w:rPr>
                      <w:rFonts w:hint="default" w:ascii="Times New Roman" w:hAnsi="Times New Roman" w:eastAsia="宋体" w:cs="Times New Roman"/>
                      <w:color w:val="0000FF"/>
                      <w:spacing w:val="0"/>
                      <w:w w:val="100"/>
                      <w:position w:val="0"/>
                      <w:sz w:val="21"/>
                      <w:szCs w:val="21"/>
                      <w:highlight w:val="none"/>
                    </w:rPr>
                  </w:pPr>
                  <w:r>
                    <w:rPr>
                      <w:rFonts w:hint="default" w:ascii="Times New Roman" w:hAnsi="Times New Roman" w:eastAsia="宋体" w:cs="Times New Roman"/>
                      <w:color w:val="0000FF"/>
                      <w:spacing w:val="0"/>
                      <w:w w:val="100"/>
                      <w:position w:val="0"/>
                      <w:sz w:val="21"/>
                      <w:szCs w:val="21"/>
                      <w:highlight w:val="none"/>
                    </w:rPr>
                    <w:t>去除效率%</w:t>
                  </w:r>
                </w:p>
              </w:tc>
              <w:tc>
                <w:tcPr>
                  <w:tcW w:w="1770" w:type="dxa"/>
                  <w:tcBorders>
                    <w:tl2br w:val="nil"/>
                    <w:tr2bl w:val="nil"/>
                  </w:tcBorders>
                  <w:noWrap w:val="0"/>
                  <w:vAlign w:val="center"/>
                </w:tcPr>
                <w:p>
                  <w:pPr>
                    <w:adjustRightInd w:val="0"/>
                    <w:snapToGrid w:val="0"/>
                    <w:spacing w:before="0" w:line="240" w:lineRule="auto"/>
                    <w:ind w:left="0" w:leftChars="0" w:right="0" w:rightChars="0"/>
                    <w:jc w:val="center"/>
                    <w:rPr>
                      <w:rFonts w:hint="default" w:ascii="Times New Roman" w:hAnsi="Times New Roman" w:eastAsia="宋体" w:cs="Times New Roman"/>
                      <w:color w:val="0000FF"/>
                      <w:spacing w:val="0"/>
                      <w:w w:val="100"/>
                      <w:kern w:val="2"/>
                      <w:position w:val="0"/>
                      <w:sz w:val="21"/>
                      <w:szCs w:val="21"/>
                      <w:highlight w:val="none"/>
                      <w:lang w:val="en-US" w:eastAsia="zh-CN" w:bidi="zh-CN"/>
                    </w:rPr>
                  </w:pPr>
                  <w:r>
                    <w:rPr>
                      <w:rFonts w:hint="eastAsia" w:ascii="Times New Roman" w:hAnsi="Times New Roman" w:eastAsia="宋体" w:cs="Times New Roman"/>
                      <w:color w:val="0000FF"/>
                      <w:spacing w:val="0"/>
                      <w:w w:val="100"/>
                      <w:kern w:val="2"/>
                      <w:position w:val="0"/>
                      <w:sz w:val="21"/>
                      <w:szCs w:val="21"/>
                      <w:highlight w:val="none"/>
                      <w:lang w:val="en-US" w:eastAsia="zh-CN" w:bidi="zh-CN"/>
                    </w:rPr>
                    <w:t>/</w:t>
                  </w:r>
                </w:p>
              </w:tc>
              <w:tc>
                <w:tcPr>
                  <w:tcW w:w="1770" w:type="dxa"/>
                  <w:tcBorders>
                    <w:tl2br w:val="nil"/>
                    <w:tr2bl w:val="nil"/>
                  </w:tcBorders>
                  <w:noWrap w:val="0"/>
                  <w:vAlign w:val="center"/>
                </w:tcPr>
                <w:p>
                  <w:pPr>
                    <w:adjustRightInd w:val="0"/>
                    <w:snapToGrid w:val="0"/>
                    <w:spacing w:before="0" w:line="240" w:lineRule="auto"/>
                    <w:ind w:left="0" w:leftChars="0" w:right="0" w:rightChars="0"/>
                    <w:jc w:val="center"/>
                    <w:rPr>
                      <w:rFonts w:hint="default" w:ascii="Times New Roman" w:hAnsi="Times New Roman" w:eastAsia="宋体" w:cs="Times New Roman"/>
                      <w:color w:val="0000FF"/>
                      <w:spacing w:val="0"/>
                      <w:w w:val="100"/>
                      <w:position w:val="0"/>
                      <w:sz w:val="21"/>
                      <w:szCs w:val="21"/>
                      <w:highlight w:val="none"/>
                      <w:lang w:val="en-US" w:eastAsia="zh-CN"/>
                    </w:rPr>
                  </w:pPr>
                  <w:r>
                    <w:rPr>
                      <w:rFonts w:hint="eastAsia" w:ascii="Times New Roman" w:hAnsi="Times New Roman" w:eastAsia="宋体" w:cs="Times New Roman"/>
                      <w:color w:val="0000FF"/>
                      <w:spacing w:val="0"/>
                      <w:w w:val="100"/>
                      <w:position w:val="0"/>
                      <w:sz w:val="21"/>
                      <w:szCs w:val="21"/>
                      <w:highlight w:val="none"/>
                      <w:lang w:val="en-US" w:eastAsia="zh-CN"/>
                    </w:rPr>
                    <w:t>/</w:t>
                  </w:r>
                </w:p>
              </w:tc>
              <w:tc>
                <w:tcPr>
                  <w:tcW w:w="1772" w:type="dxa"/>
                  <w:tcBorders>
                    <w:tl2br w:val="nil"/>
                    <w:tr2bl w:val="nil"/>
                  </w:tcBorders>
                  <w:noWrap w:val="0"/>
                  <w:vAlign w:val="center"/>
                </w:tcPr>
                <w:p>
                  <w:pPr>
                    <w:adjustRightInd w:val="0"/>
                    <w:snapToGrid w:val="0"/>
                    <w:spacing w:before="0" w:line="240" w:lineRule="auto"/>
                    <w:ind w:left="0" w:leftChars="0" w:right="0" w:rightChars="0"/>
                    <w:jc w:val="center"/>
                    <w:rPr>
                      <w:rFonts w:hint="default" w:ascii="Times New Roman" w:hAnsi="Times New Roman" w:eastAsia="宋体" w:cs="Times New Roman"/>
                      <w:color w:val="0000FF"/>
                      <w:spacing w:val="0"/>
                      <w:w w:val="100"/>
                      <w:kern w:val="2"/>
                      <w:position w:val="0"/>
                      <w:sz w:val="21"/>
                      <w:szCs w:val="21"/>
                      <w:highlight w:val="none"/>
                      <w:lang w:val="en-US" w:eastAsia="zh-CN" w:bidi="zh-CN"/>
                    </w:rPr>
                  </w:pPr>
                  <w:r>
                    <w:rPr>
                      <w:rFonts w:hint="eastAsia" w:ascii="Times New Roman" w:hAnsi="Times New Roman" w:eastAsia="宋体" w:cs="Times New Roman"/>
                      <w:color w:val="0000FF"/>
                      <w:spacing w:val="0"/>
                      <w:w w:val="100"/>
                      <w:kern w:val="2"/>
                      <w:position w:val="0"/>
                      <w:sz w:val="21"/>
                      <w:szCs w:val="21"/>
                      <w:highlight w:val="none"/>
                      <w:lang w:val="en-US" w:eastAsia="zh-CN" w:bidi="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2625" w:type="dxa"/>
                  <w:gridSpan w:val="2"/>
                  <w:tcBorders>
                    <w:tl2br w:val="nil"/>
                    <w:tr2bl w:val="nil"/>
                  </w:tcBorders>
                  <w:noWrap w:val="0"/>
                  <w:vAlign w:val="center"/>
                </w:tcPr>
                <w:p>
                  <w:pPr>
                    <w:pStyle w:val="33"/>
                    <w:adjustRightInd w:val="0"/>
                    <w:snapToGrid w:val="0"/>
                    <w:spacing w:before="0" w:line="240" w:lineRule="auto"/>
                    <w:ind w:left="0"/>
                    <w:jc w:val="center"/>
                    <w:rPr>
                      <w:rFonts w:hint="eastAsia" w:ascii="Times New Roman" w:hAnsi="Times New Roman" w:eastAsia="宋体" w:cs="Times New Roman"/>
                      <w:color w:val="0000FF"/>
                      <w:spacing w:val="0"/>
                      <w:w w:val="100"/>
                      <w:position w:val="0"/>
                      <w:sz w:val="21"/>
                      <w:szCs w:val="21"/>
                      <w:highlight w:val="none"/>
                      <w:lang w:eastAsia="zh-CN"/>
                    </w:rPr>
                  </w:pPr>
                  <w:r>
                    <w:rPr>
                      <w:rFonts w:hint="default" w:ascii="Times New Roman" w:hAnsi="Times New Roman" w:eastAsia="宋体" w:cs="Times New Roman"/>
                      <w:color w:val="0000FF"/>
                      <w:spacing w:val="0"/>
                      <w:w w:val="100"/>
                      <w:position w:val="0"/>
                      <w:sz w:val="21"/>
                      <w:szCs w:val="21"/>
                      <w:highlight w:val="none"/>
                    </w:rPr>
                    <w:t>污染物排放速率</w:t>
                  </w:r>
                  <w:r>
                    <w:rPr>
                      <w:rFonts w:hint="eastAsia" w:ascii="Times New Roman" w:hAnsi="Times New Roman" w:cs="Times New Roman"/>
                      <w:color w:val="0000FF"/>
                      <w:spacing w:val="0"/>
                      <w:w w:val="100"/>
                      <w:position w:val="0"/>
                      <w:sz w:val="21"/>
                      <w:szCs w:val="21"/>
                      <w:highlight w:val="none"/>
                      <w:lang w:eastAsia="zh-CN"/>
                    </w:rPr>
                    <w:t>（</w:t>
                  </w:r>
                  <w:r>
                    <w:rPr>
                      <w:rFonts w:hint="default" w:ascii="Times New Roman" w:hAnsi="Times New Roman" w:eastAsia="宋体" w:cs="Times New Roman"/>
                      <w:color w:val="0000FF"/>
                      <w:spacing w:val="0"/>
                      <w:w w:val="100"/>
                      <w:position w:val="0"/>
                      <w:sz w:val="21"/>
                      <w:szCs w:val="21"/>
                      <w:highlight w:val="none"/>
                      <w:lang w:val="en-US" w:eastAsia="zh-CN"/>
                    </w:rPr>
                    <w:t>kg/h</w:t>
                  </w:r>
                  <w:r>
                    <w:rPr>
                      <w:rFonts w:hint="eastAsia" w:ascii="Times New Roman" w:hAnsi="Times New Roman" w:cs="Times New Roman"/>
                      <w:color w:val="0000FF"/>
                      <w:spacing w:val="0"/>
                      <w:w w:val="100"/>
                      <w:position w:val="0"/>
                      <w:sz w:val="21"/>
                      <w:szCs w:val="21"/>
                      <w:highlight w:val="none"/>
                      <w:lang w:eastAsia="zh-CN"/>
                    </w:rPr>
                    <w:t>）</w:t>
                  </w:r>
                </w:p>
              </w:tc>
              <w:tc>
                <w:tcPr>
                  <w:tcW w:w="177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pacing w:val="0"/>
                      <w:w w:val="100"/>
                      <w:kern w:val="2"/>
                      <w:position w:val="0"/>
                      <w:sz w:val="21"/>
                      <w:szCs w:val="21"/>
                      <w:highlight w:val="none"/>
                      <w:lang w:val="en-US" w:eastAsia="zh-CN" w:bidi="ar-SA"/>
                    </w:rPr>
                  </w:pPr>
                  <w:r>
                    <w:rPr>
                      <w:rFonts w:hint="eastAsia" w:cs="Times New Roman"/>
                      <w:color w:val="0000FF"/>
                      <w:spacing w:val="0"/>
                      <w:w w:val="100"/>
                      <w:kern w:val="2"/>
                      <w:position w:val="0"/>
                      <w:sz w:val="21"/>
                      <w:szCs w:val="21"/>
                      <w:highlight w:val="none"/>
                      <w:lang w:val="en-US" w:eastAsia="zh-CN" w:bidi="ar-SA"/>
                    </w:rPr>
                    <w:t>0.11</w:t>
                  </w:r>
                </w:p>
              </w:tc>
              <w:tc>
                <w:tcPr>
                  <w:tcW w:w="177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pacing w:val="0"/>
                      <w:w w:val="100"/>
                      <w:kern w:val="2"/>
                      <w:position w:val="0"/>
                      <w:sz w:val="21"/>
                      <w:szCs w:val="21"/>
                      <w:highlight w:val="none"/>
                      <w:lang w:val="en-US" w:eastAsia="zh-CN" w:bidi="ar-SA"/>
                    </w:rPr>
                  </w:pPr>
                  <w:r>
                    <w:rPr>
                      <w:rFonts w:hint="eastAsia" w:cs="Times New Roman"/>
                      <w:color w:val="0000FF"/>
                      <w:spacing w:val="0"/>
                      <w:w w:val="100"/>
                      <w:kern w:val="2"/>
                      <w:position w:val="0"/>
                      <w:sz w:val="21"/>
                      <w:szCs w:val="21"/>
                      <w:highlight w:val="none"/>
                      <w:lang w:val="en-US" w:eastAsia="zh-CN" w:bidi="ar-SA"/>
                    </w:rPr>
                    <w:t>0.22</w:t>
                  </w:r>
                </w:p>
              </w:tc>
              <w:tc>
                <w:tcPr>
                  <w:tcW w:w="177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pacing w:val="0"/>
                      <w:w w:val="100"/>
                      <w:kern w:val="2"/>
                      <w:position w:val="0"/>
                      <w:sz w:val="21"/>
                      <w:szCs w:val="21"/>
                      <w:highlight w:val="none"/>
                      <w:lang w:val="en-US" w:eastAsia="zh-CN" w:bidi="ar-SA"/>
                    </w:rPr>
                  </w:pPr>
                  <w:r>
                    <w:rPr>
                      <w:rFonts w:hint="eastAsia" w:cs="Times New Roman"/>
                      <w:color w:val="0000FF"/>
                      <w:spacing w:val="0"/>
                      <w:w w:val="100"/>
                      <w:kern w:val="2"/>
                      <w:position w:val="0"/>
                      <w:sz w:val="21"/>
                      <w:szCs w:val="21"/>
                      <w:highlight w:val="none"/>
                      <w:lang w:val="en-US" w:eastAsia="zh-CN" w:bidi="ar-SA"/>
                    </w:rPr>
                    <w:t>0.33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2625" w:type="dxa"/>
                  <w:gridSpan w:val="2"/>
                  <w:tcBorders>
                    <w:tl2br w:val="nil"/>
                    <w:tr2bl w:val="nil"/>
                  </w:tcBorders>
                  <w:noWrap w:val="0"/>
                  <w:vAlign w:val="center"/>
                </w:tcPr>
                <w:p>
                  <w:pPr>
                    <w:pStyle w:val="33"/>
                    <w:adjustRightInd w:val="0"/>
                    <w:snapToGrid w:val="0"/>
                    <w:spacing w:before="0" w:line="240" w:lineRule="auto"/>
                    <w:ind w:left="0" w:right="0"/>
                    <w:jc w:val="center"/>
                    <w:rPr>
                      <w:rFonts w:hint="eastAsia" w:ascii="Times New Roman" w:hAnsi="Times New Roman" w:eastAsia="宋体" w:cs="Times New Roman"/>
                      <w:color w:val="0000FF"/>
                      <w:spacing w:val="0"/>
                      <w:w w:val="100"/>
                      <w:position w:val="0"/>
                      <w:sz w:val="21"/>
                      <w:szCs w:val="21"/>
                      <w:highlight w:val="none"/>
                      <w:lang w:eastAsia="zh-CN"/>
                    </w:rPr>
                  </w:pPr>
                  <w:r>
                    <w:rPr>
                      <w:rFonts w:hint="default" w:ascii="Times New Roman" w:hAnsi="Times New Roman" w:eastAsia="宋体" w:cs="Times New Roman"/>
                      <w:color w:val="0000FF"/>
                      <w:spacing w:val="0"/>
                      <w:w w:val="100"/>
                      <w:position w:val="0"/>
                      <w:sz w:val="21"/>
                      <w:szCs w:val="21"/>
                      <w:highlight w:val="none"/>
                    </w:rPr>
                    <w:t>污染物排放浓度</w:t>
                  </w:r>
                  <w:r>
                    <w:rPr>
                      <w:rFonts w:hint="eastAsia" w:ascii="Times New Roman" w:hAnsi="Times New Roman" w:cs="Times New Roman"/>
                      <w:color w:val="0000FF"/>
                      <w:spacing w:val="0"/>
                      <w:w w:val="100"/>
                      <w:position w:val="0"/>
                      <w:sz w:val="21"/>
                      <w:szCs w:val="21"/>
                      <w:highlight w:val="none"/>
                      <w:lang w:eastAsia="zh-CN"/>
                    </w:rPr>
                    <w:t>（</w:t>
                  </w:r>
                  <w:r>
                    <w:rPr>
                      <w:rFonts w:hint="default" w:ascii="Times New Roman" w:hAnsi="Times New Roman" w:eastAsia="宋体" w:cs="Times New Roman"/>
                      <w:color w:val="0000FF"/>
                      <w:spacing w:val="0"/>
                      <w:w w:val="100"/>
                      <w:kern w:val="2"/>
                      <w:position w:val="0"/>
                      <w:sz w:val="21"/>
                      <w:szCs w:val="21"/>
                      <w:highlight w:val="none"/>
                      <w:lang w:val="zh-CN" w:eastAsia="zh-CN" w:bidi="zh-CN"/>
                    </w:rPr>
                    <w:t>mg/m</w:t>
                  </w:r>
                  <w:r>
                    <w:rPr>
                      <w:rFonts w:hint="default" w:ascii="Times New Roman" w:hAnsi="Times New Roman" w:eastAsia="宋体" w:cs="Times New Roman"/>
                      <w:color w:val="0000FF"/>
                      <w:spacing w:val="0"/>
                      <w:w w:val="100"/>
                      <w:kern w:val="2"/>
                      <w:position w:val="0"/>
                      <w:sz w:val="21"/>
                      <w:szCs w:val="21"/>
                      <w:highlight w:val="none"/>
                      <w:vertAlign w:val="superscript"/>
                      <w:lang w:val="zh-CN" w:eastAsia="zh-CN" w:bidi="zh-CN"/>
                    </w:rPr>
                    <w:t>3</w:t>
                  </w:r>
                  <w:r>
                    <w:rPr>
                      <w:rFonts w:hint="eastAsia" w:ascii="Times New Roman" w:hAnsi="Times New Roman" w:cs="Times New Roman"/>
                      <w:color w:val="0000FF"/>
                      <w:spacing w:val="0"/>
                      <w:w w:val="100"/>
                      <w:position w:val="0"/>
                      <w:sz w:val="21"/>
                      <w:szCs w:val="21"/>
                      <w:highlight w:val="none"/>
                      <w:lang w:eastAsia="zh-CN"/>
                    </w:rPr>
                    <w:t>）</w:t>
                  </w:r>
                </w:p>
              </w:tc>
              <w:tc>
                <w:tcPr>
                  <w:tcW w:w="177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pacing w:val="0"/>
                      <w:w w:val="100"/>
                      <w:kern w:val="2"/>
                      <w:position w:val="0"/>
                      <w:sz w:val="21"/>
                      <w:szCs w:val="21"/>
                      <w:highlight w:val="none"/>
                      <w:lang w:val="en-US" w:eastAsia="zh-CN" w:bidi="zh-CN"/>
                    </w:rPr>
                  </w:pPr>
                  <w:r>
                    <w:rPr>
                      <w:rFonts w:hint="eastAsia" w:ascii="Times New Roman" w:hAnsi="Times New Roman" w:eastAsia="宋体" w:cs="Times New Roman"/>
                      <w:color w:val="0000FF"/>
                      <w:spacing w:val="0"/>
                      <w:w w:val="100"/>
                      <w:kern w:val="2"/>
                      <w:position w:val="0"/>
                      <w:sz w:val="21"/>
                      <w:szCs w:val="21"/>
                      <w:highlight w:val="none"/>
                      <w:lang w:val="en-US" w:eastAsia="zh-CN" w:bidi="zh-CN"/>
                    </w:rPr>
                    <w:t>9.64</w:t>
                  </w:r>
                </w:p>
              </w:tc>
              <w:tc>
                <w:tcPr>
                  <w:tcW w:w="177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FF"/>
                      <w:spacing w:val="0"/>
                      <w:w w:val="100"/>
                      <w:kern w:val="2"/>
                      <w:position w:val="0"/>
                      <w:sz w:val="21"/>
                      <w:szCs w:val="21"/>
                      <w:highlight w:val="none"/>
                      <w:lang w:val="en-US" w:eastAsia="zh-CN" w:bidi="zh-CN"/>
                    </w:rPr>
                  </w:pPr>
                  <w:r>
                    <w:rPr>
                      <w:rFonts w:hint="eastAsia" w:ascii="Times New Roman" w:hAnsi="Times New Roman" w:eastAsia="宋体" w:cs="Times New Roman"/>
                      <w:color w:val="0000FF"/>
                      <w:spacing w:val="0"/>
                      <w:w w:val="100"/>
                      <w:kern w:val="2"/>
                      <w:position w:val="0"/>
                      <w:sz w:val="21"/>
                      <w:szCs w:val="21"/>
                      <w:highlight w:val="none"/>
                      <w:lang w:val="en-US" w:eastAsia="zh-CN" w:bidi="zh-CN"/>
                    </w:rPr>
                    <w:t>18.56</w:t>
                  </w:r>
                </w:p>
              </w:tc>
              <w:tc>
                <w:tcPr>
                  <w:tcW w:w="177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pacing w:val="0"/>
                      <w:w w:val="100"/>
                      <w:kern w:val="2"/>
                      <w:position w:val="0"/>
                      <w:sz w:val="21"/>
                      <w:szCs w:val="21"/>
                      <w:highlight w:val="none"/>
                      <w:lang w:val="en-US" w:eastAsia="zh-CN" w:bidi="zh-CN"/>
                    </w:rPr>
                  </w:pPr>
                  <w:r>
                    <w:rPr>
                      <w:rFonts w:hint="eastAsia" w:ascii="Times New Roman" w:hAnsi="Times New Roman" w:eastAsia="宋体" w:cs="Times New Roman"/>
                      <w:color w:val="0000FF"/>
                      <w:spacing w:val="0"/>
                      <w:w w:val="100"/>
                      <w:kern w:val="2"/>
                      <w:position w:val="0"/>
                      <w:sz w:val="21"/>
                      <w:szCs w:val="21"/>
                      <w:highlight w:val="none"/>
                      <w:lang w:val="en-US" w:eastAsia="zh-CN" w:bidi="zh-CN"/>
                    </w:rPr>
                    <w:t>28.</w:t>
                  </w:r>
                  <w:r>
                    <w:rPr>
                      <w:rFonts w:hint="eastAsia" w:cs="Times New Roman"/>
                      <w:color w:val="0000FF"/>
                      <w:spacing w:val="0"/>
                      <w:w w:val="100"/>
                      <w:kern w:val="2"/>
                      <w:position w:val="0"/>
                      <w:sz w:val="21"/>
                      <w:szCs w:val="21"/>
                      <w:highlight w:val="none"/>
                      <w:lang w:val="en-US" w:eastAsia="zh-CN" w:bidi="zh-CN"/>
                    </w:rPr>
                    <w:t>08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2625" w:type="dxa"/>
                  <w:gridSpan w:val="2"/>
                  <w:tcBorders>
                    <w:tl2br w:val="nil"/>
                    <w:tr2bl w:val="nil"/>
                  </w:tcBorders>
                  <w:noWrap w:val="0"/>
                  <w:vAlign w:val="center"/>
                </w:tcPr>
                <w:p>
                  <w:pPr>
                    <w:pStyle w:val="33"/>
                    <w:adjustRightInd w:val="0"/>
                    <w:snapToGrid w:val="0"/>
                    <w:spacing w:before="0" w:line="240" w:lineRule="auto"/>
                    <w:ind w:left="0" w:right="0"/>
                    <w:jc w:val="center"/>
                    <w:rPr>
                      <w:rFonts w:hint="default" w:ascii="Times New Roman" w:hAnsi="Times New Roman" w:eastAsia="宋体" w:cs="Times New Roman"/>
                      <w:color w:val="0000FF"/>
                      <w:spacing w:val="0"/>
                      <w:w w:val="100"/>
                      <w:position w:val="0"/>
                      <w:sz w:val="21"/>
                      <w:szCs w:val="21"/>
                      <w:highlight w:val="none"/>
                      <w:lang w:eastAsia="zh-CN"/>
                    </w:rPr>
                  </w:pPr>
                  <w:r>
                    <w:rPr>
                      <w:rFonts w:hint="default" w:ascii="Times New Roman" w:hAnsi="Times New Roman" w:eastAsia="宋体" w:cs="Times New Roman"/>
                      <w:color w:val="0000FF"/>
                      <w:spacing w:val="0"/>
                      <w:w w:val="100"/>
                      <w:position w:val="0"/>
                      <w:sz w:val="21"/>
                      <w:szCs w:val="21"/>
                      <w:highlight w:val="none"/>
                    </w:rPr>
                    <w:t>污染物</w:t>
                  </w:r>
                  <w:r>
                    <w:rPr>
                      <w:rFonts w:hint="default" w:ascii="Times New Roman" w:hAnsi="Times New Roman" w:eastAsia="宋体" w:cs="Times New Roman"/>
                      <w:color w:val="0000FF"/>
                      <w:spacing w:val="0"/>
                      <w:w w:val="100"/>
                      <w:position w:val="0"/>
                      <w:sz w:val="21"/>
                      <w:szCs w:val="21"/>
                      <w:highlight w:val="none"/>
                      <w:lang w:eastAsia="zh-CN"/>
                    </w:rPr>
                    <w:t>排放量</w:t>
                  </w:r>
                  <w:r>
                    <w:rPr>
                      <w:rFonts w:hint="eastAsia" w:ascii="Times New Roman" w:hAnsi="Times New Roman" w:cs="Times New Roman"/>
                      <w:color w:val="0000FF"/>
                      <w:spacing w:val="0"/>
                      <w:w w:val="100"/>
                      <w:position w:val="0"/>
                      <w:sz w:val="21"/>
                      <w:szCs w:val="21"/>
                      <w:highlight w:val="none"/>
                      <w:lang w:eastAsia="zh-CN"/>
                    </w:rPr>
                    <w:t>（</w:t>
                  </w:r>
                  <w:r>
                    <w:rPr>
                      <w:rFonts w:hint="default" w:ascii="Times New Roman" w:hAnsi="Times New Roman" w:eastAsia="宋体" w:cs="Times New Roman"/>
                      <w:color w:val="0000FF"/>
                      <w:spacing w:val="0"/>
                      <w:w w:val="100"/>
                      <w:kern w:val="2"/>
                      <w:position w:val="0"/>
                      <w:sz w:val="21"/>
                      <w:szCs w:val="21"/>
                      <w:highlight w:val="none"/>
                      <w:lang w:val="zh-CN" w:eastAsia="zh-CN" w:bidi="zh-CN"/>
                    </w:rPr>
                    <w:t>t/a</w:t>
                  </w:r>
                  <w:r>
                    <w:rPr>
                      <w:rFonts w:hint="eastAsia" w:ascii="Times New Roman" w:hAnsi="Times New Roman" w:cs="Times New Roman"/>
                      <w:color w:val="0000FF"/>
                      <w:spacing w:val="0"/>
                      <w:w w:val="100"/>
                      <w:position w:val="0"/>
                      <w:sz w:val="21"/>
                      <w:szCs w:val="21"/>
                      <w:highlight w:val="none"/>
                      <w:lang w:eastAsia="zh-CN"/>
                    </w:rPr>
                    <w:t>）</w:t>
                  </w:r>
                </w:p>
              </w:tc>
              <w:tc>
                <w:tcPr>
                  <w:tcW w:w="177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pacing w:val="0"/>
                      <w:w w:val="100"/>
                      <w:kern w:val="2"/>
                      <w:position w:val="0"/>
                      <w:sz w:val="21"/>
                      <w:szCs w:val="21"/>
                      <w:highlight w:val="none"/>
                      <w:lang w:val="en-US" w:eastAsia="zh-CN" w:bidi="zh-CN"/>
                    </w:rPr>
                  </w:pPr>
                  <w:r>
                    <w:rPr>
                      <w:rFonts w:hint="eastAsia" w:cs="Times New Roman"/>
                      <w:color w:val="0000FF"/>
                      <w:spacing w:val="0"/>
                      <w:w w:val="100"/>
                      <w:kern w:val="2"/>
                      <w:position w:val="0"/>
                      <w:sz w:val="21"/>
                      <w:szCs w:val="21"/>
                      <w:highlight w:val="none"/>
                      <w:lang w:val="en-US" w:eastAsia="zh-CN" w:bidi="zh-CN"/>
                    </w:rPr>
                    <w:t>0.81</w:t>
                  </w:r>
                </w:p>
              </w:tc>
              <w:tc>
                <w:tcPr>
                  <w:tcW w:w="177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0000FF"/>
                      <w:spacing w:val="0"/>
                      <w:w w:val="100"/>
                      <w:kern w:val="2"/>
                      <w:position w:val="0"/>
                      <w:sz w:val="21"/>
                      <w:szCs w:val="21"/>
                      <w:highlight w:val="none"/>
                      <w:lang w:val="en-US" w:eastAsia="zh-CN" w:bidi="zh-CN"/>
                    </w:rPr>
                  </w:pPr>
                  <w:r>
                    <w:rPr>
                      <w:rFonts w:hint="eastAsia" w:cs="Times New Roman"/>
                      <w:color w:val="0000FF"/>
                      <w:spacing w:val="0"/>
                      <w:w w:val="100"/>
                      <w:kern w:val="2"/>
                      <w:position w:val="0"/>
                      <w:sz w:val="21"/>
                      <w:szCs w:val="21"/>
                      <w:highlight w:val="none"/>
                      <w:lang w:val="en-US" w:eastAsia="zh-CN" w:bidi="zh-CN"/>
                    </w:rPr>
                    <w:t>1.56</w:t>
                  </w:r>
                </w:p>
              </w:tc>
              <w:tc>
                <w:tcPr>
                  <w:tcW w:w="177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spacing w:val="0"/>
                      <w:w w:val="100"/>
                      <w:kern w:val="2"/>
                      <w:position w:val="0"/>
                      <w:sz w:val="21"/>
                      <w:szCs w:val="21"/>
                      <w:highlight w:val="none"/>
                      <w:lang w:val="en-US" w:eastAsia="zh-CN" w:bidi="zh-CN"/>
                    </w:rPr>
                  </w:pPr>
                  <w:r>
                    <w:rPr>
                      <w:rFonts w:hint="eastAsia" w:cs="Times New Roman"/>
                      <w:color w:val="0000FF"/>
                      <w:spacing w:val="0"/>
                      <w:w w:val="100"/>
                      <w:kern w:val="2"/>
                      <w:position w:val="0"/>
                      <w:sz w:val="21"/>
                      <w:szCs w:val="21"/>
                      <w:highlight w:val="none"/>
                      <w:lang w:val="en-US" w:eastAsia="zh-CN" w:bidi="zh-CN"/>
                    </w:rPr>
                    <w:t>2.36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706" w:type="dxa"/>
                  <w:vMerge w:val="restart"/>
                  <w:tcBorders>
                    <w:tl2br w:val="nil"/>
                    <w:tr2bl w:val="nil"/>
                  </w:tcBorders>
                  <w:noWrap w:val="0"/>
                  <w:vAlign w:val="center"/>
                </w:tcPr>
                <w:p>
                  <w:pPr>
                    <w:pStyle w:val="33"/>
                    <w:adjustRightInd w:val="0"/>
                    <w:snapToGrid w:val="0"/>
                    <w:spacing w:before="0" w:line="240" w:lineRule="auto"/>
                    <w:ind w:left="0" w:right="0"/>
                    <w:jc w:val="center"/>
                    <w:rPr>
                      <w:rFonts w:hint="default" w:ascii="Times New Roman" w:hAnsi="Times New Roman" w:eastAsia="宋体" w:cs="Times New Roman"/>
                      <w:color w:val="0000FF"/>
                      <w:spacing w:val="0"/>
                      <w:w w:val="100"/>
                      <w:position w:val="0"/>
                      <w:sz w:val="21"/>
                      <w:szCs w:val="21"/>
                      <w:highlight w:val="none"/>
                    </w:rPr>
                  </w:pPr>
                  <w:r>
                    <w:rPr>
                      <w:rFonts w:hint="default" w:ascii="Times New Roman" w:hAnsi="Times New Roman" w:eastAsia="宋体" w:cs="Times New Roman"/>
                      <w:color w:val="0000FF"/>
                      <w:spacing w:val="0"/>
                      <w:w w:val="100"/>
                      <w:position w:val="0"/>
                      <w:sz w:val="21"/>
                      <w:szCs w:val="21"/>
                      <w:highlight w:val="none"/>
                    </w:rPr>
                    <w:t>排放口基本情况</w:t>
                  </w:r>
                </w:p>
              </w:tc>
              <w:tc>
                <w:tcPr>
                  <w:tcW w:w="1919" w:type="dxa"/>
                  <w:tcBorders>
                    <w:tl2br w:val="nil"/>
                    <w:tr2bl w:val="nil"/>
                  </w:tcBorders>
                  <w:noWrap w:val="0"/>
                  <w:vAlign w:val="center"/>
                </w:tcPr>
                <w:p>
                  <w:pPr>
                    <w:pStyle w:val="33"/>
                    <w:adjustRightInd w:val="0"/>
                    <w:snapToGrid w:val="0"/>
                    <w:spacing w:before="0" w:line="240" w:lineRule="auto"/>
                    <w:ind w:left="0" w:right="0"/>
                    <w:jc w:val="center"/>
                    <w:rPr>
                      <w:rFonts w:hint="default" w:ascii="Times New Roman" w:hAnsi="Times New Roman" w:eastAsia="宋体" w:cs="Times New Roman"/>
                      <w:color w:val="0000FF"/>
                      <w:spacing w:val="0"/>
                      <w:w w:val="100"/>
                      <w:position w:val="0"/>
                      <w:sz w:val="21"/>
                      <w:szCs w:val="21"/>
                      <w:highlight w:val="none"/>
                    </w:rPr>
                  </w:pPr>
                  <w:r>
                    <w:rPr>
                      <w:rFonts w:hint="default" w:ascii="Times New Roman" w:hAnsi="Times New Roman" w:eastAsia="宋体" w:cs="Times New Roman"/>
                      <w:color w:val="0000FF"/>
                      <w:spacing w:val="0"/>
                      <w:w w:val="100"/>
                      <w:position w:val="0"/>
                      <w:sz w:val="21"/>
                      <w:szCs w:val="21"/>
                      <w:highlight w:val="none"/>
                    </w:rPr>
                    <w:t>编号</w:t>
                  </w:r>
                </w:p>
              </w:tc>
              <w:tc>
                <w:tcPr>
                  <w:tcW w:w="5312" w:type="dxa"/>
                  <w:gridSpan w:val="3"/>
                  <w:tcBorders>
                    <w:tl2br w:val="nil"/>
                    <w:tr2bl w:val="nil"/>
                  </w:tcBorders>
                  <w:noWrap w:val="0"/>
                  <w:vAlign w:val="center"/>
                </w:tcPr>
                <w:p>
                  <w:pPr>
                    <w:pStyle w:val="33"/>
                    <w:adjustRightInd w:val="0"/>
                    <w:snapToGrid w:val="0"/>
                    <w:spacing w:before="0" w:line="240" w:lineRule="auto"/>
                    <w:ind w:left="0" w:leftChars="0" w:right="0" w:rightChars="0"/>
                    <w:jc w:val="center"/>
                    <w:rPr>
                      <w:rFonts w:hint="eastAsia" w:ascii="Times New Roman" w:hAnsi="Times New Roman" w:eastAsia="宋体" w:cs="Times New Roman"/>
                      <w:color w:val="0000FF"/>
                      <w:spacing w:val="0"/>
                      <w:w w:val="100"/>
                      <w:position w:val="0"/>
                      <w:sz w:val="21"/>
                      <w:szCs w:val="21"/>
                      <w:highlight w:val="none"/>
                      <w:lang w:val="en-US" w:eastAsia="zh-CN"/>
                    </w:rPr>
                  </w:pPr>
                  <w:r>
                    <w:rPr>
                      <w:rFonts w:hint="default" w:ascii="Times New Roman" w:hAnsi="Times New Roman" w:eastAsia="宋体" w:cs="Times New Roman"/>
                      <w:color w:val="0000FF"/>
                      <w:spacing w:val="0"/>
                      <w:w w:val="100"/>
                      <w:position w:val="0"/>
                      <w:sz w:val="21"/>
                      <w:szCs w:val="21"/>
                      <w:highlight w:val="none"/>
                    </w:rPr>
                    <w:t>DA00</w:t>
                  </w:r>
                  <w:r>
                    <w:rPr>
                      <w:rFonts w:hint="eastAsia" w:ascii="Times New Roman" w:hAnsi="Times New Roman" w:eastAsia="宋体" w:cs="Times New Roman"/>
                      <w:color w:val="0000FF"/>
                      <w:spacing w:val="0"/>
                      <w:w w:val="100"/>
                      <w:position w:val="0"/>
                      <w:sz w:val="21"/>
                      <w:szCs w:val="21"/>
                      <w:highlight w:val="none"/>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706" w:type="dxa"/>
                  <w:vMerge w:val="continue"/>
                  <w:tcBorders>
                    <w:tl2br w:val="nil"/>
                    <w:tr2bl w:val="nil"/>
                  </w:tcBorders>
                  <w:noWrap w:val="0"/>
                  <w:vAlign w:val="center"/>
                </w:tcPr>
                <w:p>
                  <w:pPr>
                    <w:pStyle w:val="33"/>
                    <w:adjustRightInd w:val="0"/>
                    <w:snapToGrid w:val="0"/>
                    <w:spacing w:before="0" w:line="240" w:lineRule="auto"/>
                    <w:ind w:left="0"/>
                    <w:jc w:val="center"/>
                    <w:rPr>
                      <w:rFonts w:hint="default" w:ascii="Times New Roman" w:hAnsi="Times New Roman" w:eastAsia="宋体" w:cs="Times New Roman"/>
                      <w:color w:val="0000FF"/>
                      <w:spacing w:val="0"/>
                      <w:w w:val="100"/>
                      <w:position w:val="0"/>
                      <w:sz w:val="21"/>
                      <w:szCs w:val="21"/>
                      <w:highlight w:val="none"/>
                    </w:rPr>
                  </w:pPr>
                </w:p>
              </w:tc>
              <w:tc>
                <w:tcPr>
                  <w:tcW w:w="1919" w:type="dxa"/>
                  <w:tcBorders>
                    <w:tl2br w:val="nil"/>
                    <w:tr2bl w:val="nil"/>
                  </w:tcBorders>
                  <w:noWrap w:val="0"/>
                  <w:vAlign w:val="center"/>
                </w:tcPr>
                <w:p>
                  <w:pPr>
                    <w:pStyle w:val="33"/>
                    <w:adjustRightInd w:val="0"/>
                    <w:snapToGrid w:val="0"/>
                    <w:spacing w:before="0" w:line="240" w:lineRule="auto"/>
                    <w:ind w:left="0" w:right="0"/>
                    <w:jc w:val="center"/>
                    <w:rPr>
                      <w:rFonts w:hint="default" w:ascii="Times New Roman" w:hAnsi="Times New Roman" w:eastAsia="宋体" w:cs="Times New Roman"/>
                      <w:color w:val="0000FF"/>
                      <w:spacing w:val="0"/>
                      <w:w w:val="100"/>
                      <w:position w:val="0"/>
                      <w:sz w:val="21"/>
                      <w:szCs w:val="21"/>
                      <w:highlight w:val="none"/>
                    </w:rPr>
                  </w:pPr>
                  <w:r>
                    <w:rPr>
                      <w:rFonts w:hint="default" w:ascii="Times New Roman" w:hAnsi="Times New Roman" w:eastAsia="宋体" w:cs="Times New Roman"/>
                      <w:color w:val="0000FF"/>
                      <w:spacing w:val="0"/>
                      <w:w w:val="100"/>
                      <w:position w:val="0"/>
                      <w:sz w:val="21"/>
                      <w:szCs w:val="21"/>
                      <w:highlight w:val="none"/>
                    </w:rPr>
                    <w:t>名称</w:t>
                  </w:r>
                </w:p>
              </w:tc>
              <w:tc>
                <w:tcPr>
                  <w:tcW w:w="5312" w:type="dxa"/>
                  <w:gridSpan w:val="3"/>
                  <w:tcBorders>
                    <w:tl2br w:val="nil"/>
                    <w:tr2bl w:val="nil"/>
                  </w:tcBorders>
                  <w:noWrap w:val="0"/>
                  <w:vAlign w:val="center"/>
                </w:tcPr>
                <w:p>
                  <w:pPr>
                    <w:adjustRightInd w:val="0"/>
                    <w:snapToGrid w:val="0"/>
                    <w:spacing w:before="0" w:line="240" w:lineRule="auto"/>
                    <w:ind w:left="0" w:leftChars="0" w:right="0" w:rightChars="0"/>
                    <w:jc w:val="center"/>
                    <w:rPr>
                      <w:rFonts w:hint="eastAsia" w:ascii="Times New Roman" w:hAnsi="Times New Roman" w:eastAsia="宋体" w:cs="Times New Roman"/>
                      <w:color w:val="0000FF"/>
                      <w:spacing w:val="0"/>
                      <w:w w:val="100"/>
                      <w:position w:val="0"/>
                      <w:sz w:val="21"/>
                      <w:szCs w:val="21"/>
                      <w:highlight w:val="none"/>
                      <w:lang w:val="en-US" w:eastAsia="zh-CN"/>
                    </w:rPr>
                  </w:pPr>
                  <w:r>
                    <w:rPr>
                      <w:rFonts w:hint="eastAsia" w:cs="Times New Roman"/>
                      <w:color w:val="0000FF"/>
                      <w:spacing w:val="0"/>
                      <w:w w:val="100"/>
                      <w:position w:val="0"/>
                      <w:sz w:val="21"/>
                      <w:szCs w:val="21"/>
                      <w:highlight w:val="none"/>
                      <w:lang w:val="en-US" w:eastAsia="zh-CN"/>
                    </w:rPr>
                    <w:t>天然气锅炉</w:t>
                  </w:r>
                  <w:r>
                    <w:rPr>
                      <w:rFonts w:hint="default" w:ascii="Times New Roman" w:hAnsi="Times New Roman" w:eastAsia="宋体" w:cs="Times New Roman"/>
                      <w:color w:val="0000FF"/>
                      <w:spacing w:val="0"/>
                      <w:w w:val="100"/>
                      <w:position w:val="0"/>
                      <w:sz w:val="21"/>
                      <w:szCs w:val="21"/>
                      <w:highlight w:val="none"/>
                    </w:rPr>
                    <w:t>排气筒</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706" w:type="dxa"/>
                  <w:vMerge w:val="continue"/>
                  <w:tcBorders>
                    <w:tl2br w:val="nil"/>
                    <w:tr2bl w:val="nil"/>
                  </w:tcBorders>
                  <w:noWrap w:val="0"/>
                  <w:vAlign w:val="center"/>
                </w:tcPr>
                <w:p>
                  <w:pPr>
                    <w:pStyle w:val="33"/>
                    <w:adjustRightInd w:val="0"/>
                    <w:snapToGrid w:val="0"/>
                    <w:spacing w:before="0" w:line="240" w:lineRule="auto"/>
                    <w:ind w:left="0"/>
                    <w:jc w:val="center"/>
                    <w:rPr>
                      <w:rFonts w:hint="default" w:ascii="Times New Roman" w:hAnsi="Times New Roman" w:eastAsia="宋体" w:cs="Times New Roman"/>
                      <w:color w:val="0000FF"/>
                      <w:spacing w:val="0"/>
                      <w:w w:val="100"/>
                      <w:position w:val="0"/>
                      <w:sz w:val="21"/>
                      <w:szCs w:val="21"/>
                      <w:highlight w:val="none"/>
                    </w:rPr>
                  </w:pPr>
                </w:p>
              </w:tc>
              <w:tc>
                <w:tcPr>
                  <w:tcW w:w="1919" w:type="dxa"/>
                  <w:tcBorders>
                    <w:tl2br w:val="nil"/>
                    <w:tr2bl w:val="nil"/>
                  </w:tcBorders>
                  <w:noWrap w:val="0"/>
                  <w:vAlign w:val="center"/>
                </w:tcPr>
                <w:p>
                  <w:pPr>
                    <w:pStyle w:val="33"/>
                    <w:adjustRightInd w:val="0"/>
                    <w:snapToGrid w:val="0"/>
                    <w:spacing w:before="0" w:line="240" w:lineRule="auto"/>
                    <w:ind w:left="0" w:right="0"/>
                    <w:jc w:val="center"/>
                    <w:rPr>
                      <w:rFonts w:hint="default" w:ascii="Times New Roman" w:hAnsi="Times New Roman" w:eastAsia="宋体" w:cs="Times New Roman"/>
                      <w:color w:val="0000FF"/>
                      <w:spacing w:val="0"/>
                      <w:w w:val="100"/>
                      <w:position w:val="0"/>
                      <w:sz w:val="21"/>
                      <w:szCs w:val="21"/>
                      <w:highlight w:val="none"/>
                    </w:rPr>
                  </w:pPr>
                  <w:r>
                    <w:rPr>
                      <w:rFonts w:hint="default" w:ascii="Times New Roman" w:hAnsi="Times New Roman" w:eastAsia="宋体" w:cs="Times New Roman"/>
                      <w:color w:val="0000FF"/>
                      <w:spacing w:val="0"/>
                      <w:w w:val="100"/>
                      <w:position w:val="0"/>
                      <w:sz w:val="21"/>
                      <w:szCs w:val="21"/>
                      <w:highlight w:val="none"/>
                    </w:rPr>
                    <w:t>坐标</w:t>
                  </w:r>
                </w:p>
              </w:tc>
              <w:tc>
                <w:tcPr>
                  <w:tcW w:w="5312" w:type="dxa"/>
                  <w:gridSpan w:val="3"/>
                  <w:tcBorders>
                    <w:tl2br w:val="nil"/>
                    <w:tr2bl w:val="nil"/>
                  </w:tcBorders>
                  <w:noWrap w:val="0"/>
                  <w:vAlign w:val="center"/>
                </w:tcPr>
                <w:p>
                  <w:pPr>
                    <w:pStyle w:val="33"/>
                    <w:adjustRightInd w:val="0"/>
                    <w:snapToGrid w:val="0"/>
                    <w:spacing w:before="0" w:line="240" w:lineRule="auto"/>
                    <w:ind w:left="0"/>
                    <w:jc w:val="center"/>
                    <w:rPr>
                      <w:rFonts w:hint="default" w:ascii="Times New Roman" w:hAnsi="Times New Roman" w:eastAsia="宋体" w:cs="Times New Roman"/>
                      <w:color w:val="0000FF"/>
                      <w:spacing w:val="0"/>
                      <w:w w:val="100"/>
                      <w:position w:val="0"/>
                      <w:sz w:val="21"/>
                      <w:szCs w:val="21"/>
                      <w:highlight w:val="none"/>
                      <w:lang w:val="en-US" w:eastAsia="zh-CN"/>
                    </w:rPr>
                  </w:pPr>
                  <w:r>
                    <w:rPr>
                      <w:rFonts w:hint="default" w:ascii="Times New Roman" w:hAnsi="Times New Roman" w:eastAsia="宋体" w:cs="Times New Roman"/>
                      <w:color w:val="0000FF"/>
                      <w:spacing w:val="0"/>
                      <w:w w:val="100"/>
                      <w:position w:val="0"/>
                      <w:sz w:val="21"/>
                      <w:szCs w:val="21"/>
                      <w:highlight w:val="none"/>
                      <w:lang w:val="en-US" w:eastAsia="zh-CN"/>
                    </w:rPr>
                    <w:t>118°4′38.780′′</w:t>
                  </w:r>
                  <w:r>
                    <w:rPr>
                      <w:rFonts w:hint="eastAsia" w:ascii="Times New Roman" w:hAnsi="Times New Roman" w:eastAsia="宋体" w:cs="Times New Roman"/>
                      <w:color w:val="0000FF"/>
                      <w:spacing w:val="0"/>
                      <w:w w:val="100"/>
                      <w:position w:val="0"/>
                      <w:sz w:val="21"/>
                      <w:szCs w:val="21"/>
                      <w:highlight w:val="none"/>
                      <w:lang w:val="en-US" w:eastAsia="zh-CN"/>
                    </w:rPr>
                    <w:t>E,</w:t>
                  </w:r>
                  <w:r>
                    <w:rPr>
                      <w:rFonts w:hint="default" w:ascii="Times New Roman" w:hAnsi="Times New Roman" w:eastAsia="宋体" w:cs="Times New Roman"/>
                      <w:color w:val="0000FF"/>
                      <w:spacing w:val="0"/>
                      <w:w w:val="100"/>
                      <w:position w:val="0"/>
                      <w:sz w:val="21"/>
                      <w:szCs w:val="21"/>
                      <w:highlight w:val="none"/>
                      <w:lang w:val="en-US" w:eastAsia="zh-CN"/>
                    </w:rPr>
                    <w:t>36°53′44.496′′</w:t>
                  </w:r>
                  <w:r>
                    <w:rPr>
                      <w:rFonts w:hint="eastAsia" w:ascii="Times New Roman" w:hAnsi="Times New Roman" w:eastAsia="宋体" w:cs="Times New Roman"/>
                      <w:color w:val="0000FF"/>
                      <w:spacing w:val="0"/>
                      <w:w w:val="100"/>
                      <w:position w:val="0"/>
                      <w:sz w:val="21"/>
                      <w:szCs w:val="21"/>
                      <w:highlight w:val="none"/>
                      <w:lang w:val="en-US" w:eastAsia="zh-CN"/>
                    </w:rPr>
                    <w:t>N</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706" w:type="dxa"/>
                  <w:vMerge w:val="continue"/>
                  <w:tcBorders>
                    <w:tl2br w:val="nil"/>
                    <w:tr2bl w:val="nil"/>
                  </w:tcBorders>
                  <w:noWrap w:val="0"/>
                  <w:vAlign w:val="center"/>
                </w:tcPr>
                <w:p>
                  <w:pPr>
                    <w:pStyle w:val="33"/>
                    <w:adjustRightInd w:val="0"/>
                    <w:snapToGrid w:val="0"/>
                    <w:spacing w:before="0" w:line="240" w:lineRule="auto"/>
                    <w:ind w:left="0"/>
                    <w:jc w:val="center"/>
                    <w:rPr>
                      <w:rFonts w:hint="default" w:ascii="Times New Roman" w:hAnsi="Times New Roman" w:eastAsia="宋体" w:cs="Times New Roman"/>
                      <w:color w:val="0000FF"/>
                      <w:spacing w:val="0"/>
                      <w:w w:val="100"/>
                      <w:position w:val="0"/>
                      <w:sz w:val="21"/>
                      <w:szCs w:val="21"/>
                      <w:highlight w:val="none"/>
                    </w:rPr>
                  </w:pPr>
                </w:p>
              </w:tc>
              <w:tc>
                <w:tcPr>
                  <w:tcW w:w="1919" w:type="dxa"/>
                  <w:tcBorders>
                    <w:tl2br w:val="nil"/>
                    <w:tr2bl w:val="nil"/>
                  </w:tcBorders>
                  <w:noWrap w:val="0"/>
                  <w:vAlign w:val="center"/>
                </w:tcPr>
                <w:p>
                  <w:pPr>
                    <w:pStyle w:val="33"/>
                    <w:adjustRightInd w:val="0"/>
                    <w:snapToGrid w:val="0"/>
                    <w:spacing w:before="0" w:line="240" w:lineRule="auto"/>
                    <w:ind w:left="0" w:right="0"/>
                    <w:jc w:val="center"/>
                    <w:rPr>
                      <w:rFonts w:hint="default" w:ascii="Times New Roman" w:hAnsi="Times New Roman" w:eastAsia="宋体" w:cs="Times New Roman"/>
                      <w:color w:val="0000FF"/>
                      <w:spacing w:val="0"/>
                      <w:w w:val="100"/>
                      <w:position w:val="0"/>
                      <w:sz w:val="21"/>
                      <w:szCs w:val="21"/>
                      <w:highlight w:val="none"/>
                    </w:rPr>
                  </w:pPr>
                  <w:r>
                    <w:rPr>
                      <w:rFonts w:hint="default" w:ascii="Times New Roman" w:hAnsi="Times New Roman" w:eastAsia="宋体" w:cs="Times New Roman"/>
                      <w:color w:val="0000FF"/>
                      <w:spacing w:val="0"/>
                      <w:w w:val="100"/>
                      <w:position w:val="0"/>
                      <w:sz w:val="21"/>
                      <w:szCs w:val="21"/>
                      <w:highlight w:val="none"/>
                    </w:rPr>
                    <w:t>排放口类型</w:t>
                  </w:r>
                </w:p>
              </w:tc>
              <w:tc>
                <w:tcPr>
                  <w:tcW w:w="5312" w:type="dxa"/>
                  <w:gridSpan w:val="3"/>
                  <w:tcBorders>
                    <w:tl2br w:val="nil"/>
                    <w:tr2bl w:val="nil"/>
                  </w:tcBorders>
                  <w:noWrap w:val="0"/>
                  <w:vAlign w:val="center"/>
                </w:tcPr>
                <w:p>
                  <w:pPr>
                    <w:pStyle w:val="33"/>
                    <w:adjustRightInd w:val="0"/>
                    <w:snapToGrid w:val="0"/>
                    <w:spacing w:before="0" w:line="240" w:lineRule="auto"/>
                    <w:ind w:left="0" w:right="0"/>
                    <w:jc w:val="center"/>
                    <w:rPr>
                      <w:rFonts w:hint="eastAsia" w:ascii="Times New Roman" w:hAnsi="Times New Roman" w:cs="Times New Roman"/>
                      <w:color w:val="0000FF"/>
                      <w:spacing w:val="0"/>
                      <w:w w:val="100"/>
                      <w:position w:val="0"/>
                      <w:sz w:val="21"/>
                      <w:szCs w:val="21"/>
                      <w:highlight w:val="none"/>
                      <w:lang w:eastAsia="zh-CN"/>
                    </w:rPr>
                  </w:pPr>
                  <w:r>
                    <w:rPr>
                      <w:rFonts w:hint="eastAsia" w:ascii="Times New Roman" w:hAnsi="Times New Roman" w:cs="Times New Roman"/>
                      <w:color w:val="0000FF"/>
                      <w:spacing w:val="0"/>
                      <w:w w:val="100"/>
                      <w:position w:val="0"/>
                      <w:sz w:val="21"/>
                      <w:szCs w:val="21"/>
                      <w:highlight w:val="none"/>
                      <w:lang w:eastAsia="zh-CN"/>
                    </w:rPr>
                    <w:t>主要</w:t>
                  </w:r>
                  <w:r>
                    <w:rPr>
                      <w:rFonts w:hint="default" w:ascii="Times New Roman" w:hAnsi="Times New Roman" w:eastAsia="宋体" w:cs="Times New Roman"/>
                      <w:color w:val="0000FF"/>
                      <w:spacing w:val="0"/>
                      <w:w w:val="100"/>
                      <w:position w:val="0"/>
                      <w:sz w:val="21"/>
                      <w:szCs w:val="21"/>
                      <w:highlight w:val="none"/>
                    </w:rPr>
                    <w:t>排放口</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706" w:type="dxa"/>
                  <w:vMerge w:val="continue"/>
                  <w:tcBorders>
                    <w:tl2br w:val="nil"/>
                    <w:tr2bl w:val="nil"/>
                  </w:tcBorders>
                  <w:noWrap w:val="0"/>
                  <w:vAlign w:val="center"/>
                </w:tcPr>
                <w:p>
                  <w:pPr>
                    <w:pStyle w:val="33"/>
                    <w:adjustRightInd w:val="0"/>
                    <w:snapToGrid w:val="0"/>
                    <w:spacing w:before="0" w:line="240" w:lineRule="auto"/>
                    <w:ind w:left="0"/>
                    <w:jc w:val="center"/>
                    <w:rPr>
                      <w:rFonts w:hint="default" w:ascii="Times New Roman" w:hAnsi="Times New Roman" w:eastAsia="宋体" w:cs="Times New Roman"/>
                      <w:color w:val="0000FF"/>
                      <w:spacing w:val="0"/>
                      <w:w w:val="100"/>
                      <w:position w:val="0"/>
                      <w:sz w:val="21"/>
                      <w:szCs w:val="21"/>
                      <w:highlight w:val="none"/>
                    </w:rPr>
                  </w:pPr>
                </w:p>
              </w:tc>
              <w:tc>
                <w:tcPr>
                  <w:tcW w:w="1919" w:type="dxa"/>
                  <w:tcBorders>
                    <w:tl2br w:val="nil"/>
                    <w:tr2bl w:val="nil"/>
                  </w:tcBorders>
                  <w:noWrap w:val="0"/>
                  <w:vAlign w:val="center"/>
                </w:tcPr>
                <w:p>
                  <w:pPr>
                    <w:pStyle w:val="33"/>
                    <w:adjustRightInd w:val="0"/>
                    <w:snapToGrid w:val="0"/>
                    <w:spacing w:before="0" w:line="240" w:lineRule="auto"/>
                    <w:ind w:left="0" w:right="0"/>
                    <w:jc w:val="center"/>
                    <w:rPr>
                      <w:rFonts w:hint="default" w:ascii="Times New Roman" w:hAnsi="Times New Roman" w:eastAsia="宋体" w:cs="Times New Roman"/>
                      <w:color w:val="0000FF"/>
                      <w:spacing w:val="0"/>
                      <w:w w:val="100"/>
                      <w:position w:val="0"/>
                      <w:sz w:val="21"/>
                      <w:szCs w:val="21"/>
                      <w:highlight w:val="none"/>
                    </w:rPr>
                  </w:pPr>
                  <w:r>
                    <w:rPr>
                      <w:rFonts w:hint="default" w:ascii="Times New Roman" w:hAnsi="Times New Roman" w:eastAsia="宋体" w:cs="Times New Roman"/>
                      <w:color w:val="0000FF"/>
                      <w:spacing w:val="0"/>
                      <w:w w:val="100"/>
                      <w:position w:val="0"/>
                      <w:sz w:val="21"/>
                      <w:szCs w:val="21"/>
                      <w:highlight w:val="none"/>
                    </w:rPr>
                    <w:t>高度m</w:t>
                  </w:r>
                </w:p>
              </w:tc>
              <w:tc>
                <w:tcPr>
                  <w:tcW w:w="5312" w:type="dxa"/>
                  <w:gridSpan w:val="3"/>
                  <w:tcBorders>
                    <w:tl2br w:val="nil"/>
                    <w:tr2bl w:val="nil"/>
                  </w:tcBorders>
                  <w:noWrap w:val="0"/>
                  <w:vAlign w:val="center"/>
                </w:tcPr>
                <w:p>
                  <w:pPr>
                    <w:pStyle w:val="33"/>
                    <w:adjustRightInd w:val="0"/>
                    <w:snapToGrid w:val="0"/>
                    <w:spacing w:before="0" w:line="240" w:lineRule="auto"/>
                    <w:ind w:left="0" w:right="0"/>
                    <w:jc w:val="center"/>
                    <w:rPr>
                      <w:rFonts w:hint="default" w:ascii="Times New Roman" w:hAnsi="Times New Roman" w:eastAsia="宋体" w:cs="Times New Roman"/>
                      <w:color w:val="0000FF"/>
                      <w:spacing w:val="0"/>
                      <w:w w:val="100"/>
                      <w:position w:val="0"/>
                      <w:sz w:val="21"/>
                      <w:szCs w:val="21"/>
                      <w:highlight w:val="none"/>
                      <w:lang w:val="en-US" w:eastAsia="zh-CN"/>
                    </w:rPr>
                  </w:pPr>
                  <w:r>
                    <w:rPr>
                      <w:rFonts w:hint="eastAsia" w:ascii="Times New Roman" w:hAnsi="Times New Roman" w:cs="Times New Roman"/>
                      <w:color w:val="0000FF"/>
                      <w:spacing w:val="0"/>
                      <w:w w:val="100"/>
                      <w:position w:val="0"/>
                      <w:sz w:val="21"/>
                      <w:szCs w:val="21"/>
                      <w:highlight w:val="none"/>
                      <w:lang w:val="en-US" w:eastAsia="zh-CN"/>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706" w:type="dxa"/>
                  <w:vMerge w:val="continue"/>
                  <w:tcBorders>
                    <w:tl2br w:val="nil"/>
                    <w:tr2bl w:val="nil"/>
                  </w:tcBorders>
                  <w:noWrap w:val="0"/>
                  <w:vAlign w:val="center"/>
                </w:tcPr>
                <w:p>
                  <w:pPr>
                    <w:pStyle w:val="33"/>
                    <w:adjustRightInd w:val="0"/>
                    <w:snapToGrid w:val="0"/>
                    <w:spacing w:before="0" w:line="240" w:lineRule="auto"/>
                    <w:ind w:left="0"/>
                    <w:jc w:val="center"/>
                    <w:rPr>
                      <w:rFonts w:hint="default" w:ascii="Times New Roman" w:hAnsi="Times New Roman" w:eastAsia="宋体" w:cs="Times New Roman"/>
                      <w:color w:val="0000FF"/>
                      <w:spacing w:val="0"/>
                      <w:w w:val="100"/>
                      <w:position w:val="0"/>
                      <w:sz w:val="21"/>
                      <w:szCs w:val="21"/>
                      <w:highlight w:val="none"/>
                    </w:rPr>
                  </w:pPr>
                </w:p>
              </w:tc>
              <w:tc>
                <w:tcPr>
                  <w:tcW w:w="1919" w:type="dxa"/>
                  <w:tcBorders>
                    <w:tl2br w:val="nil"/>
                    <w:tr2bl w:val="nil"/>
                  </w:tcBorders>
                  <w:noWrap w:val="0"/>
                  <w:vAlign w:val="center"/>
                </w:tcPr>
                <w:p>
                  <w:pPr>
                    <w:pStyle w:val="33"/>
                    <w:adjustRightInd w:val="0"/>
                    <w:snapToGrid w:val="0"/>
                    <w:spacing w:before="0" w:line="240" w:lineRule="auto"/>
                    <w:ind w:left="0" w:right="0"/>
                    <w:jc w:val="center"/>
                    <w:rPr>
                      <w:rFonts w:hint="default" w:ascii="Times New Roman" w:hAnsi="Times New Roman" w:eastAsia="宋体" w:cs="Times New Roman"/>
                      <w:color w:val="0000FF"/>
                      <w:spacing w:val="0"/>
                      <w:w w:val="100"/>
                      <w:position w:val="0"/>
                      <w:sz w:val="21"/>
                      <w:szCs w:val="21"/>
                      <w:highlight w:val="none"/>
                    </w:rPr>
                  </w:pPr>
                  <w:r>
                    <w:rPr>
                      <w:rFonts w:hint="default" w:ascii="Times New Roman" w:hAnsi="Times New Roman" w:eastAsia="宋体" w:cs="Times New Roman"/>
                      <w:color w:val="0000FF"/>
                      <w:spacing w:val="0"/>
                      <w:w w:val="100"/>
                      <w:position w:val="0"/>
                      <w:sz w:val="21"/>
                      <w:szCs w:val="21"/>
                      <w:highlight w:val="none"/>
                    </w:rPr>
                    <w:t>内径m</w:t>
                  </w:r>
                </w:p>
              </w:tc>
              <w:tc>
                <w:tcPr>
                  <w:tcW w:w="5312" w:type="dxa"/>
                  <w:gridSpan w:val="3"/>
                  <w:tcBorders>
                    <w:tl2br w:val="nil"/>
                    <w:tr2bl w:val="nil"/>
                  </w:tcBorders>
                  <w:noWrap w:val="0"/>
                  <w:vAlign w:val="center"/>
                </w:tcPr>
                <w:p>
                  <w:pPr>
                    <w:adjustRightInd w:val="0"/>
                    <w:snapToGrid w:val="0"/>
                    <w:spacing w:before="0" w:line="240" w:lineRule="auto"/>
                    <w:ind w:left="0" w:right="0"/>
                    <w:jc w:val="center"/>
                    <w:rPr>
                      <w:rFonts w:hint="default" w:ascii="Times New Roman" w:hAnsi="Times New Roman" w:eastAsia="宋体" w:cs="Times New Roman"/>
                      <w:color w:val="0000FF"/>
                      <w:spacing w:val="0"/>
                      <w:position w:val="0"/>
                      <w:sz w:val="21"/>
                      <w:szCs w:val="21"/>
                      <w:lang w:val="en-US" w:eastAsia="zh-CN"/>
                    </w:rPr>
                  </w:pPr>
                  <w:r>
                    <w:rPr>
                      <w:rFonts w:hint="eastAsia" w:cs="Times New Roman"/>
                      <w:color w:val="0000FF"/>
                      <w:spacing w:val="0"/>
                      <w:position w:val="0"/>
                      <w:sz w:val="21"/>
                      <w:szCs w:val="21"/>
                      <w:lang w:val="en-US" w:eastAsia="zh-CN"/>
                    </w:rPr>
                    <w:t>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706" w:type="dxa"/>
                  <w:vMerge w:val="continue"/>
                  <w:tcBorders>
                    <w:tl2br w:val="nil"/>
                    <w:tr2bl w:val="nil"/>
                  </w:tcBorders>
                  <w:noWrap w:val="0"/>
                  <w:vAlign w:val="center"/>
                </w:tcPr>
                <w:p>
                  <w:pPr>
                    <w:pStyle w:val="33"/>
                    <w:adjustRightInd w:val="0"/>
                    <w:snapToGrid w:val="0"/>
                    <w:spacing w:before="0" w:line="240" w:lineRule="auto"/>
                    <w:ind w:left="0"/>
                    <w:jc w:val="center"/>
                    <w:rPr>
                      <w:rFonts w:hint="default" w:ascii="Times New Roman" w:hAnsi="Times New Roman" w:eastAsia="宋体" w:cs="Times New Roman"/>
                      <w:color w:val="0000FF"/>
                      <w:spacing w:val="0"/>
                      <w:w w:val="100"/>
                      <w:position w:val="0"/>
                      <w:sz w:val="21"/>
                      <w:szCs w:val="21"/>
                      <w:highlight w:val="none"/>
                    </w:rPr>
                  </w:pPr>
                </w:p>
              </w:tc>
              <w:tc>
                <w:tcPr>
                  <w:tcW w:w="1919" w:type="dxa"/>
                  <w:tcBorders>
                    <w:tl2br w:val="nil"/>
                    <w:tr2bl w:val="nil"/>
                  </w:tcBorders>
                  <w:noWrap w:val="0"/>
                  <w:vAlign w:val="center"/>
                </w:tcPr>
                <w:p>
                  <w:pPr>
                    <w:pStyle w:val="33"/>
                    <w:adjustRightInd w:val="0"/>
                    <w:snapToGrid w:val="0"/>
                    <w:spacing w:before="0" w:line="240" w:lineRule="auto"/>
                    <w:ind w:left="0" w:right="0"/>
                    <w:jc w:val="center"/>
                    <w:rPr>
                      <w:rFonts w:hint="default" w:ascii="Times New Roman" w:hAnsi="Times New Roman" w:eastAsia="宋体" w:cs="Times New Roman"/>
                      <w:color w:val="0000FF"/>
                      <w:spacing w:val="0"/>
                      <w:w w:val="100"/>
                      <w:position w:val="0"/>
                      <w:sz w:val="21"/>
                      <w:szCs w:val="21"/>
                      <w:highlight w:val="none"/>
                    </w:rPr>
                  </w:pPr>
                  <w:r>
                    <w:rPr>
                      <w:rFonts w:hint="default" w:ascii="Times New Roman" w:hAnsi="Times New Roman" w:eastAsia="宋体" w:cs="Times New Roman"/>
                      <w:color w:val="0000FF"/>
                      <w:spacing w:val="0"/>
                      <w:w w:val="100"/>
                      <w:position w:val="0"/>
                      <w:sz w:val="21"/>
                      <w:szCs w:val="21"/>
                      <w:highlight w:val="none"/>
                    </w:rPr>
                    <w:t>温度℃</w:t>
                  </w:r>
                </w:p>
              </w:tc>
              <w:tc>
                <w:tcPr>
                  <w:tcW w:w="5312" w:type="dxa"/>
                  <w:gridSpan w:val="3"/>
                  <w:tcBorders>
                    <w:tl2br w:val="nil"/>
                    <w:tr2bl w:val="nil"/>
                  </w:tcBorders>
                  <w:noWrap w:val="0"/>
                  <w:vAlign w:val="center"/>
                </w:tcPr>
                <w:p>
                  <w:pPr>
                    <w:adjustRightInd w:val="0"/>
                    <w:snapToGrid w:val="0"/>
                    <w:spacing w:before="0" w:line="240" w:lineRule="auto"/>
                    <w:ind w:left="0" w:right="0"/>
                    <w:jc w:val="center"/>
                    <w:rPr>
                      <w:rFonts w:hint="default" w:ascii="Times New Roman" w:hAnsi="Times New Roman" w:cs="Times New Roman"/>
                      <w:color w:val="0000FF"/>
                      <w:spacing w:val="0"/>
                      <w:w w:val="100"/>
                      <w:position w:val="0"/>
                      <w:sz w:val="21"/>
                      <w:szCs w:val="21"/>
                      <w:highlight w:val="none"/>
                      <w:lang w:val="en-US" w:eastAsia="zh-CN"/>
                    </w:rPr>
                  </w:pPr>
                  <w:r>
                    <w:rPr>
                      <w:rFonts w:hint="eastAsia" w:cs="Times New Roman"/>
                      <w:color w:val="0000FF"/>
                      <w:spacing w:val="0"/>
                      <w:w w:val="100"/>
                      <w:position w:val="0"/>
                      <w:sz w:val="21"/>
                      <w:szCs w:val="21"/>
                      <w:highlight w:val="none"/>
                      <w:lang w:val="en-US" w:eastAsia="zh-CN"/>
                    </w:rPr>
                    <w:t>64</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eastAsia" w:ascii="宋体" w:hAnsi="宋体" w:eastAsia="宋体" w:cs="宋体"/>
                <w:b w:val="0"/>
                <w:bCs w:val="0"/>
                <w:color w:val="0000FF"/>
                <w:sz w:val="24"/>
                <w:szCs w:val="24"/>
                <w:lang w:val="en-US" w:eastAsia="zh-CN"/>
              </w:rPr>
            </w:pPr>
            <w:r>
              <w:rPr>
                <w:rFonts w:hint="eastAsia" w:ascii="宋体" w:hAnsi="宋体" w:eastAsia="宋体" w:cs="宋体"/>
                <w:b w:val="0"/>
                <w:bCs w:val="0"/>
                <w:color w:val="0000FF"/>
                <w:sz w:val="24"/>
                <w:szCs w:val="24"/>
                <w:lang w:val="en-US" w:eastAsia="zh-CN"/>
              </w:rPr>
              <w:t>根据《淄博市污染源自动检测条例》第八条：排污单位有下列情节之一，应当建设安装污染源自动监测设施：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color w:val="0000FF"/>
                <w:sz w:val="24"/>
                <w:szCs w:val="24"/>
                <w:lang w:val="en-US" w:eastAsia="zh-CN"/>
              </w:rPr>
            </w:pPr>
            <w:r>
              <w:rPr>
                <w:rFonts w:hint="eastAsia"/>
                <w:color w:val="0000FF"/>
                <w:sz w:val="24"/>
                <w:szCs w:val="24"/>
                <w:lang w:val="en-US" w:eastAsia="zh-CN"/>
              </w:rPr>
              <w:t>（一）纳入重点排污单位名录的；</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eastAsia"/>
                <w:color w:val="0000FF"/>
                <w:lang w:val="en-US" w:eastAsia="zh-CN"/>
              </w:rPr>
            </w:pPr>
            <w:r>
              <w:rPr>
                <w:rFonts w:hint="eastAsia"/>
                <w:color w:val="0000FF"/>
                <w:sz w:val="24"/>
                <w:szCs w:val="24"/>
                <w:lang w:val="en-US" w:eastAsia="zh-CN"/>
              </w:rPr>
              <w:t>（二）实行排污许可重点管理的；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0000FF"/>
                <w:sz w:val="24"/>
                <w:szCs w:val="24"/>
                <w:lang w:val="en-US" w:eastAsia="zh-CN"/>
              </w:rPr>
            </w:pPr>
            <w:r>
              <w:rPr>
                <w:rFonts w:hint="eastAsia"/>
                <w:color w:val="0000FF"/>
                <w:sz w:val="24"/>
                <w:szCs w:val="24"/>
                <w:lang w:val="en-US" w:eastAsia="zh-CN"/>
              </w:rPr>
              <w:t>（三）其他有关法律、行政法规要求建设安装的。</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eastAsia"/>
                <w:color w:val="0000FF"/>
                <w:sz w:val="24"/>
                <w:szCs w:val="24"/>
                <w:lang w:val="en-US" w:eastAsia="zh-CN"/>
              </w:rPr>
            </w:pPr>
            <w:r>
              <w:rPr>
                <w:rFonts w:hint="eastAsia"/>
                <w:color w:val="0000FF"/>
                <w:sz w:val="24"/>
                <w:szCs w:val="24"/>
                <w:lang w:val="en-US" w:eastAsia="zh-CN"/>
              </w:rPr>
              <w:t>鼓励其他排污单位安装污染源自动监测设施开展污染物排放的自行监测。</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eastAsia"/>
                <w:color w:val="0000FF"/>
                <w:lang w:val="en-US" w:eastAsia="zh-CN"/>
              </w:rPr>
            </w:pPr>
            <w:r>
              <w:rPr>
                <w:rFonts w:hint="eastAsia"/>
                <w:color w:val="0000FF"/>
                <w:sz w:val="24"/>
                <w:szCs w:val="24"/>
                <w:lang w:val="en-US" w:eastAsia="zh-CN"/>
              </w:rPr>
              <w:t>根据淄博市生态环境委员会办公室发布的《关于开展全市纳入排污许可管理企业自动监控设施安装工作的通知》（淄环委办函[2021]45号），本项目锅炉排气筒安装污染源自动监测设施</w:t>
            </w:r>
            <w:r>
              <w:rPr>
                <w:rFonts w:hint="eastAsia"/>
                <w:color w:val="0000FF"/>
                <w:lang w:eastAsia="zh-CN"/>
              </w:rPr>
              <w:t>，可只测氮氧化物及烟气参数</w:t>
            </w:r>
            <w:r>
              <w:rPr>
                <w:rFonts w:hint="eastAsia"/>
                <w:color w:val="0000FF"/>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eastAsia" w:ascii="黑体" w:hAnsi="黑体" w:eastAsia="黑体" w:cs="黑体"/>
                <w:b/>
                <w:bCs w:val="0"/>
                <w:color w:val="auto"/>
                <w:sz w:val="24"/>
                <w:szCs w:val="24"/>
                <w:highlight w:val="none"/>
                <w:lang w:val="en-US" w:eastAsia="zh-CN"/>
              </w:rPr>
            </w:pPr>
            <w:r>
              <w:rPr>
                <w:rFonts w:hint="eastAsia" w:ascii="黑体" w:hAnsi="黑体" w:eastAsia="黑体" w:cs="黑体"/>
                <w:b/>
                <w:bCs w:val="0"/>
                <w:color w:val="auto"/>
                <w:sz w:val="24"/>
                <w:szCs w:val="24"/>
                <w:highlight w:val="none"/>
                <w:lang w:val="en-US" w:eastAsia="zh-CN"/>
              </w:rPr>
              <w:t>2、废气检测要求</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根据《排污单位自行监测技术指南 总则》（HJ 819-2017）以及《排污单位自行监测技术指南</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eastAsia="zh-CN"/>
              </w:rPr>
              <w:t>火力发电及锅炉》（HJ 820-2017），运营期企业自行监测计划见</w:t>
            </w:r>
            <w:r>
              <w:rPr>
                <w:rFonts w:hint="default" w:ascii="Times New Roman" w:hAnsi="Times New Roman" w:eastAsia="宋体" w:cs="Times New Roman"/>
                <w:color w:val="auto"/>
                <w:sz w:val="24"/>
                <w:szCs w:val="24"/>
                <w:highlight w:val="none"/>
                <w:lang w:val="en-US" w:eastAsia="zh-CN"/>
              </w:rPr>
              <w:t>下</w:t>
            </w:r>
            <w:r>
              <w:rPr>
                <w:rFonts w:hint="default" w:ascii="Times New Roman" w:hAnsi="Times New Roman" w:eastAsia="宋体" w:cs="Times New Roman"/>
                <w:color w:val="auto"/>
                <w:sz w:val="24"/>
                <w:szCs w:val="24"/>
                <w:highlight w:val="none"/>
                <w:lang w:eastAsia="zh-CN"/>
              </w:rPr>
              <w:t>表。</w:t>
            </w:r>
          </w:p>
          <w:p>
            <w:pPr>
              <w:pStyle w:val="2"/>
              <w:numPr>
                <w:ilvl w:val="0"/>
                <w:numId w:val="0"/>
              </w:numPr>
              <w:ind w:leftChars="200"/>
              <w:jc w:val="center"/>
              <w:rPr>
                <w:rFonts w:hint="eastAsia" w:ascii="黑体" w:hAnsi="黑体" w:eastAsia="黑体" w:cs="黑体"/>
                <w:b/>
                <w:bCs/>
                <w:color w:val="auto"/>
                <w:lang w:val="en-US" w:eastAsia="zh-CN"/>
              </w:rPr>
            </w:pPr>
            <w:r>
              <w:rPr>
                <w:rFonts w:hint="eastAsia" w:ascii="黑体" w:hAnsi="黑体" w:eastAsia="黑体" w:cs="黑体"/>
                <w:b/>
                <w:bCs/>
                <w:color w:val="auto"/>
                <w:lang w:val="en-US" w:eastAsia="zh-CN"/>
              </w:rPr>
              <w:t>表40 废气监测计划一览表</w:t>
            </w:r>
          </w:p>
          <w:tbl>
            <w:tblPr>
              <w:tblStyle w:val="21"/>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82"/>
              <w:gridCol w:w="1985"/>
              <w:gridCol w:w="1985"/>
              <w:gridCol w:w="19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环境要素</w:t>
                  </w:r>
                </w:p>
              </w:tc>
              <w:tc>
                <w:tcPr>
                  <w:tcW w:w="19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监测位置</w:t>
                  </w:r>
                </w:p>
              </w:tc>
              <w:tc>
                <w:tcPr>
                  <w:tcW w:w="19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监测项目</w:t>
                  </w:r>
                </w:p>
              </w:tc>
              <w:tc>
                <w:tcPr>
                  <w:tcW w:w="19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8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w:t>
                  </w:r>
                  <w:r>
                    <w:rPr>
                      <w:rFonts w:hint="default" w:ascii="Times New Roman" w:hAnsi="Times New Roman" w:cs="Times New Roman"/>
                      <w:color w:val="auto"/>
                      <w:sz w:val="21"/>
                      <w:szCs w:val="21"/>
                      <w:vertAlign w:val="baseline"/>
                      <w:lang w:val="en-US" w:eastAsia="zh-CN"/>
                    </w:rPr>
                    <w:t>气</w:t>
                  </w:r>
                </w:p>
              </w:tc>
              <w:tc>
                <w:tcPr>
                  <w:tcW w:w="198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排气筒DA002</w:t>
                  </w:r>
                </w:p>
              </w:tc>
              <w:tc>
                <w:tcPr>
                  <w:tcW w:w="19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氮氧化物</w:t>
                  </w:r>
                </w:p>
              </w:tc>
              <w:tc>
                <w:tcPr>
                  <w:tcW w:w="19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自动监测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8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vertAlign w:val="baseline"/>
                      <w:lang w:val="en-US" w:eastAsia="zh-CN"/>
                    </w:rPr>
                  </w:pPr>
                </w:p>
              </w:tc>
              <w:tc>
                <w:tcPr>
                  <w:tcW w:w="198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vertAlign w:val="baseline"/>
                      <w:lang w:val="en-US" w:eastAsia="zh-CN"/>
                    </w:rPr>
                  </w:pPr>
                </w:p>
              </w:tc>
              <w:tc>
                <w:tcPr>
                  <w:tcW w:w="19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颗粒物、SO</w:t>
                  </w:r>
                  <w:r>
                    <w:rPr>
                      <w:rFonts w:hint="default" w:ascii="Times New Roman" w:hAnsi="Times New Roman" w:eastAsia="宋体" w:cs="Times New Roman"/>
                      <w:color w:val="auto"/>
                      <w:sz w:val="21"/>
                      <w:szCs w:val="21"/>
                      <w:vertAlign w:val="subscript"/>
                      <w:lang w:val="en-US" w:eastAsia="zh-CN"/>
                    </w:rPr>
                    <w:t>2</w:t>
                  </w:r>
                </w:p>
              </w:tc>
              <w:tc>
                <w:tcPr>
                  <w:tcW w:w="19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每季度监测一次</w:t>
                  </w:r>
                </w:p>
              </w:tc>
            </w:tr>
          </w:tbl>
          <w:p>
            <w:pPr>
              <w:pStyle w:val="18"/>
              <w:keepNext w:val="0"/>
              <w:keepLines w:val="0"/>
              <w:pageBreakBefore w:val="0"/>
              <w:widowControl w:val="0"/>
              <w:tabs>
                <w:tab w:val="left" w:pos="1470"/>
              </w:tabs>
              <w:kinsoku/>
              <w:wordWrap/>
              <w:overflowPunct/>
              <w:topLinePunct w:val="0"/>
              <w:autoSpaceDE/>
              <w:autoSpaceDN/>
              <w:bidi w:val="0"/>
              <w:adjustRightInd w:val="0"/>
              <w:snapToGrid w:val="0"/>
              <w:spacing w:beforeLines="0" w:afterLines="0" w:line="360" w:lineRule="auto"/>
              <w:ind w:firstLine="0" w:firstLineChars="0"/>
              <w:jc w:val="left"/>
              <w:textAlignment w:val="auto"/>
              <w:rPr>
                <w:rFonts w:hint="eastAsia" w:ascii="黑体" w:hAnsi="黑体" w:eastAsia="黑体" w:cs="黑体"/>
                <w:b/>
                <w:bCs w:val="0"/>
                <w:color w:val="auto"/>
                <w:kern w:val="24"/>
                <w:sz w:val="24"/>
                <w:szCs w:val="24"/>
                <w:lang w:val="en-US" w:eastAsia="zh-CN"/>
              </w:rPr>
            </w:pPr>
            <w:r>
              <w:rPr>
                <w:rFonts w:hint="eastAsia" w:ascii="黑体" w:hAnsi="黑体" w:eastAsia="黑体" w:cs="黑体"/>
                <w:b/>
                <w:bCs w:val="0"/>
                <w:color w:val="auto"/>
                <w:kern w:val="24"/>
                <w:sz w:val="24"/>
                <w:szCs w:val="24"/>
                <w:lang w:val="en-US" w:eastAsia="zh-CN"/>
              </w:rPr>
              <w:t>4.2废水</w:t>
            </w:r>
          </w:p>
          <w:p>
            <w:pPr>
              <w:pStyle w:val="18"/>
              <w:keepNext w:val="0"/>
              <w:keepLines w:val="0"/>
              <w:pageBreakBefore w:val="0"/>
              <w:tabs>
                <w:tab w:val="left" w:pos="1470"/>
              </w:tabs>
              <w:kinsoku/>
              <w:wordWrap/>
              <w:overflowPunct/>
              <w:topLinePunct w:val="0"/>
              <w:autoSpaceDE/>
              <w:autoSpaceDN/>
              <w:bidi w:val="0"/>
              <w:spacing w:beforeLines="0" w:afterLines="0" w:line="360" w:lineRule="auto"/>
              <w:ind w:firstLine="480" w:firstLineChars="200"/>
              <w:jc w:val="left"/>
              <w:rPr>
                <w:rFonts w:hint="default" w:ascii="Times New Roman" w:hAnsi="Times New Roman" w:eastAsia="宋体" w:cs="Times New Roman"/>
                <w:bCs/>
                <w:color w:val="auto"/>
                <w:kern w:val="24"/>
                <w:sz w:val="24"/>
                <w:szCs w:val="24"/>
                <w:lang w:val="en-US" w:eastAsia="zh-CN"/>
              </w:rPr>
            </w:pPr>
            <w:r>
              <w:rPr>
                <w:rFonts w:hint="eastAsia" w:cs="Times New Roman"/>
                <w:bCs/>
                <w:color w:val="auto"/>
                <w:kern w:val="24"/>
                <w:sz w:val="24"/>
                <w:szCs w:val="24"/>
                <w:lang w:val="en-US" w:eastAsia="zh-CN"/>
              </w:rPr>
              <w:t>(1)</w:t>
            </w:r>
            <w:r>
              <w:rPr>
                <w:rFonts w:hint="default" w:ascii="Times New Roman" w:hAnsi="Times New Roman" w:eastAsia="宋体" w:cs="Times New Roman"/>
                <w:bCs/>
                <w:color w:val="auto"/>
                <w:kern w:val="24"/>
                <w:sz w:val="24"/>
                <w:szCs w:val="24"/>
                <w:lang w:val="en-US" w:eastAsia="zh-CN"/>
              </w:rPr>
              <w:t>废水源强：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zh-CN" w:eastAsia="zh-CN"/>
              </w:rPr>
              <w:t>本项目废水主要为</w:t>
            </w:r>
            <w:r>
              <w:rPr>
                <w:rFonts w:hint="default" w:ascii="Times New Roman" w:hAnsi="Times New Roman" w:eastAsia="宋体" w:cs="Times New Roman"/>
                <w:color w:val="auto"/>
                <w:sz w:val="24"/>
                <w:szCs w:val="24"/>
                <w:lang w:val="en-US" w:eastAsia="zh-CN"/>
              </w:rPr>
              <w:t>软化水制备废水、锅炉定期排水、以及职工生活废水，其中软化水制备废水为</w:t>
            </w:r>
            <w:r>
              <w:rPr>
                <w:rFonts w:hint="eastAsia" w:cs="Times New Roman"/>
                <w:color w:val="0000FF"/>
                <w:sz w:val="24"/>
                <w:szCs w:val="24"/>
                <w:lang w:val="en-US" w:eastAsia="zh-CN"/>
              </w:rPr>
              <w:t>9071.9</w:t>
            </w:r>
            <w:r>
              <w:rPr>
                <w:rFonts w:hint="default" w:ascii="Times New Roman" w:hAnsi="Times New Roman" w:eastAsia="宋体" w:cs="Times New Roman"/>
                <w:color w:val="0000FF"/>
                <w:sz w:val="24"/>
                <w:szCs w:val="24"/>
                <w:lang w:val="en-US" w:eastAsia="zh-CN"/>
              </w:rPr>
              <w:t>m</w:t>
            </w:r>
            <w:r>
              <w:rPr>
                <w:rFonts w:hint="default" w:ascii="Times New Roman" w:hAnsi="Times New Roman" w:eastAsia="宋体" w:cs="Times New Roman"/>
                <w:color w:val="0000FF"/>
                <w:sz w:val="24"/>
                <w:szCs w:val="24"/>
                <w:vertAlign w:val="superscript"/>
                <w:lang w:val="en-US" w:eastAsia="zh-CN"/>
              </w:rPr>
              <w:t>3</w:t>
            </w:r>
            <w:r>
              <w:rPr>
                <w:rFonts w:hint="default" w:ascii="Times New Roman" w:hAnsi="Times New Roman" w:eastAsia="宋体" w:cs="Times New Roman"/>
                <w:color w:val="0000FF"/>
                <w:sz w:val="24"/>
                <w:szCs w:val="24"/>
                <w:lang w:val="en-US" w:eastAsia="zh-CN"/>
              </w:rPr>
              <w:t>/a</w:t>
            </w:r>
            <w:r>
              <w:rPr>
                <w:rFonts w:hint="default" w:ascii="Times New Roman" w:hAnsi="Times New Roman" w:eastAsia="宋体" w:cs="Times New Roman"/>
                <w:color w:val="auto"/>
                <w:sz w:val="24"/>
                <w:szCs w:val="24"/>
                <w:lang w:val="en-US" w:eastAsia="zh-CN"/>
              </w:rPr>
              <w:t>，锅炉定期排水量为</w:t>
            </w:r>
            <w:r>
              <w:rPr>
                <w:rFonts w:hint="eastAsia" w:cs="Times New Roman"/>
                <w:color w:val="0000FF"/>
                <w:sz w:val="24"/>
                <w:szCs w:val="24"/>
                <w:lang w:val="en-US" w:eastAsia="zh-CN"/>
              </w:rPr>
              <w:t>1315.7</w:t>
            </w:r>
            <w:r>
              <w:rPr>
                <w:rFonts w:hint="default" w:ascii="Times New Roman" w:hAnsi="Times New Roman" w:eastAsia="宋体" w:cs="Times New Roman"/>
                <w:color w:val="0000FF"/>
                <w:sz w:val="24"/>
                <w:szCs w:val="24"/>
                <w:lang w:val="en-US" w:eastAsia="zh-CN"/>
              </w:rPr>
              <w:t>m</w:t>
            </w:r>
            <w:r>
              <w:rPr>
                <w:rFonts w:hint="default" w:ascii="Times New Roman" w:hAnsi="Times New Roman" w:eastAsia="宋体" w:cs="Times New Roman"/>
                <w:color w:val="0000FF"/>
                <w:sz w:val="24"/>
                <w:szCs w:val="24"/>
                <w:vertAlign w:val="superscript"/>
                <w:lang w:val="en-US" w:eastAsia="zh-CN"/>
              </w:rPr>
              <w:t>3</w:t>
            </w:r>
            <w:r>
              <w:rPr>
                <w:rFonts w:hint="default" w:ascii="Times New Roman" w:hAnsi="Times New Roman" w:eastAsia="宋体" w:cs="Times New Roman"/>
                <w:color w:val="0000FF"/>
                <w:sz w:val="24"/>
                <w:szCs w:val="24"/>
                <w:lang w:val="en-US" w:eastAsia="zh-CN"/>
              </w:rPr>
              <w:t>/a</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职工生活用水产生废水为</w:t>
            </w:r>
            <w:r>
              <w:rPr>
                <w:rFonts w:hint="eastAsia" w:cs="Times New Roman"/>
                <w:color w:val="0000FF"/>
                <w:sz w:val="24"/>
                <w:szCs w:val="24"/>
                <w:lang w:val="en-US" w:eastAsia="zh-CN"/>
              </w:rPr>
              <w:t>48</w:t>
            </w:r>
            <w:r>
              <w:rPr>
                <w:rFonts w:hint="default" w:ascii="Times New Roman" w:hAnsi="Times New Roman" w:eastAsia="宋体" w:cs="Times New Roman"/>
                <w:color w:val="0000FF"/>
                <w:sz w:val="24"/>
                <w:szCs w:val="24"/>
                <w:lang w:val="en-US" w:eastAsia="zh-CN"/>
              </w:rPr>
              <w:t>m</w:t>
            </w:r>
            <w:r>
              <w:rPr>
                <w:rFonts w:hint="default" w:ascii="Times New Roman" w:hAnsi="Times New Roman" w:eastAsia="宋体" w:cs="Times New Roman"/>
                <w:color w:val="0000FF"/>
                <w:sz w:val="24"/>
                <w:szCs w:val="24"/>
                <w:vertAlign w:val="superscript"/>
                <w:lang w:val="en-US" w:eastAsia="zh-CN"/>
              </w:rPr>
              <w:t>3</w:t>
            </w:r>
            <w:r>
              <w:rPr>
                <w:rFonts w:hint="default" w:ascii="Times New Roman" w:hAnsi="Times New Roman" w:eastAsia="宋体" w:cs="Times New Roman"/>
                <w:color w:val="0000FF"/>
                <w:sz w:val="24"/>
                <w:szCs w:val="24"/>
                <w:lang w:val="en-US" w:eastAsia="zh-CN"/>
              </w:rPr>
              <w:t>/a</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left"/>
              <w:textAlignment w:val="auto"/>
              <w:rPr>
                <w:rFonts w:hint="default"/>
                <w:lang w:eastAsia="zh-CN"/>
              </w:rPr>
            </w:pPr>
            <w:r>
              <w:rPr>
                <w:rFonts w:hint="default" w:ascii="Times New Roman" w:hAnsi="Times New Roman" w:eastAsia="宋体" w:cs="Times New Roman"/>
                <w:color w:val="auto"/>
                <w:sz w:val="24"/>
                <w:szCs w:val="24"/>
                <w:lang w:val="en-US" w:eastAsia="zh-CN"/>
              </w:rPr>
              <w:t>综上，本项目废水总排量为</w:t>
            </w:r>
            <w:r>
              <w:rPr>
                <w:rFonts w:hint="eastAsia" w:cs="Times New Roman"/>
                <w:color w:val="0000FF"/>
                <w:sz w:val="24"/>
                <w:szCs w:val="24"/>
                <w:lang w:val="en-US" w:eastAsia="zh-CN"/>
              </w:rPr>
              <w:t>10435.6</w:t>
            </w:r>
            <w:r>
              <w:rPr>
                <w:rFonts w:hint="default" w:ascii="Times New Roman" w:hAnsi="Times New Roman" w:eastAsia="宋体" w:cs="Times New Roman"/>
                <w:color w:val="0000FF"/>
                <w:sz w:val="24"/>
                <w:szCs w:val="24"/>
                <w:lang w:val="en-US" w:eastAsia="zh-CN"/>
              </w:rPr>
              <w:t>m</w:t>
            </w:r>
            <w:r>
              <w:rPr>
                <w:rFonts w:hint="default" w:ascii="Times New Roman" w:hAnsi="Times New Roman" w:eastAsia="宋体" w:cs="Times New Roman"/>
                <w:color w:val="0000FF"/>
                <w:sz w:val="24"/>
                <w:szCs w:val="24"/>
                <w:vertAlign w:val="superscript"/>
                <w:lang w:val="en-US" w:eastAsia="zh-CN"/>
              </w:rPr>
              <w:t>3</w:t>
            </w:r>
            <w:r>
              <w:rPr>
                <w:rFonts w:hint="default" w:ascii="Times New Roman" w:hAnsi="Times New Roman" w:eastAsia="宋体" w:cs="Times New Roman"/>
                <w:color w:val="0000FF"/>
                <w:sz w:val="24"/>
                <w:szCs w:val="24"/>
                <w:lang w:val="en-US" w:eastAsia="zh-CN"/>
              </w:rPr>
              <w:t>/a</w:t>
            </w:r>
            <w:r>
              <w:rPr>
                <w:rFonts w:hint="default" w:ascii="Times New Roman" w:hAnsi="Times New Roman" w:eastAsia="宋体" w:cs="Times New Roman"/>
                <w:color w:val="auto"/>
                <w:sz w:val="24"/>
                <w:szCs w:val="24"/>
                <w:lang w:val="en-US" w:eastAsia="zh-CN"/>
              </w:rPr>
              <w:t>，集中收集排入山东海奥斯厂区污水处理站处理后，通过市政污水管网排入</w:t>
            </w:r>
            <w:r>
              <w:rPr>
                <w:rFonts w:hint="default" w:ascii="Times New Roman" w:hAnsi="Times New Roman" w:eastAsia="宋体" w:cs="Times New Roman"/>
                <w:color w:val="auto"/>
                <w:sz w:val="24"/>
                <w:szCs w:val="24"/>
              </w:rPr>
              <w:t>光大水务水质净化三分厂</w:t>
            </w:r>
            <w:r>
              <w:rPr>
                <w:rFonts w:hint="default" w:ascii="Times New Roman" w:hAnsi="Times New Roman" w:eastAsia="宋体" w:cs="Times New Roman"/>
                <w:color w:val="auto"/>
                <w:sz w:val="24"/>
                <w:szCs w:val="24"/>
                <w:lang w:val="en-US" w:eastAsia="zh-CN"/>
              </w:rPr>
              <w:t>处理。</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0" w:firstLineChars="0"/>
              <w:jc w:val="center"/>
              <w:textAlignment w:val="auto"/>
              <w:rPr>
                <w:rFonts w:hint="default" w:ascii="Times New Roman" w:hAnsi="Times New Roman" w:eastAsia="黑体" w:cs="Times New Roman"/>
                <w:b/>
                <w:bCs/>
                <w:color w:val="auto"/>
                <w:sz w:val="24"/>
                <w:szCs w:val="24"/>
                <w:highlight w:val="none"/>
                <w:lang w:eastAsia="zh-CN"/>
              </w:rPr>
            </w:pPr>
            <w:r>
              <w:rPr>
                <w:rFonts w:hint="default" w:ascii="Times New Roman" w:hAnsi="Times New Roman" w:eastAsia="黑体" w:cs="Times New Roman"/>
                <w:b/>
                <w:bCs/>
                <w:color w:val="auto"/>
                <w:sz w:val="24"/>
                <w:szCs w:val="24"/>
                <w:highlight w:val="none"/>
                <w:lang w:eastAsia="zh-CN"/>
              </w:rPr>
              <w:t>表</w:t>
            </w:r>
            <w:r>
              <w:rPr>
                <w:rFonts w:hint="eastAsia" w:eastAsia="黑体" w:cs="Times New Roman"/>
                <w:b/>
                <w:bCs/>
                <w:color w:val="auto"/>
                <w:sz w:val="24"/>
                <w:szCs w:val="24"/>
                <w:highlight w:val="none"/>
                <w:lang w:val="en-US" w:eastAsia="zh-CN"/>
              </w:rPr>
              <w:t>41</w:t>
            </w:r>
            <w:r>
              <w:rPr>
                <w:rFonts w:hint="default" w:ascii="Times New Roman" w:hAnsi="Times New Roman" w:eastAsia="黑体" w:cs="Times New Roman"/>
                <w:b/>
                <w:bCs/>
                <w:color w:val="auto"/>
                <w:sz w:val="24"/>
                <w:szCs w:val="24"/>
                <w:highlight w:val="none"/>
                <w:lang w:eastAsia="zh-CN"/>
              </w:rPr>
              <w:t xml:space="preserve"> 废水主要污染物、排放浓度、产生量和排放量一览表</w:t>
            </w:r>
          </w:p>
          <w:tbl>
            <w:tblPr>
              <w:tblStyle w:val="21"/>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1"/>
              <w:gridCol w:w="667"/>
              <w:gridCol w:w="1009"/>
              <w:gridCol w:w="675"/>
              <w:gridCol w:w="772"/>
              <w:gridCol w:w="923"/>
              <w:gridCol w:w="519"/>
              <w:gridCol w:w="716"/>
              <w:gridCol w:w="750"/>
              <w:gridCol w:w="796"/>
              <w:gridCol w:w="4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6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产污环节</w:t>
                  </w:r>
                </w:p>
              </w:tc>
              <w:tc>
                <w:tcPr>
                  <w:tcW w:w="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类别</w:t>
                  </w:r>
                </w:p>
              </w:tc>
              <w:tc>
                <w:tcPr>
                  <w:tcW w:w="100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废水量</w:t>
                  </w:r>
                  <w:r>
                    <w:rPr>
                      <w:rFonts w:hint="default" w:ascii="Times New Roman" w:hAnsi="Times New Roman" w:eastAsia="宋体" w:cs="Times New Roman"/>
                      <w:b/>
                      <w:bCs/>
                      <w:color w:val="auto"/>
                      <w:sz w:val="21"/>
                      <w:szCs w:val="21"/>
                      <w:highlight w:val="none"/>
                      <w:lang w:val="en-US" w:eastAsia="zh-CN"/>
                    </w:rPr>
                    <w:t>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/a</w:t>
                  </w:r>
                </w:p>
              </w:tc>
              <w:tc>
                <w:tcPr>
                  <w:tcW w:w="6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主要污染物</w:t>
                  </w:r>
                </w:p>
              </w:tc>
              <w:tc>
                <w:tcPr>
                  <w:tcW w:w="7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产生浓度</w:t>
                  </w:r>
                  <w:r>
                    <w:rPr>
                      <w:rFonts w:hint="default" w:ascii="Times New Roman" w:hAnsi="Times New Roman" w:eastAsia="宋体" w:cs="Times New Roman"/>
                      <w:b/>
                      <w:bCs/>
                      <w:color w:val="auto"/>
                      <w:sz w:val="21"/>
                      <w:szCs w:val="21"/>
                      <w:highlight w:val="none"/>
                      <w:lang w:eastAsia="zh-CN"/>
                    </w:rPr>
                    <w:t>mg/L</w:t>
                  </w:r>
                </w:p>
              </w:tc>
              <w:tc>
                <w:tcPr>
                  <w:tcW w:w="9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产生量t/a</w:t>
                  </w:r>
                </w:p>
              </w:tc>
              <w:tc>
                <w:tcPr>
                  <w:tcW w:w="5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治理设施</w:t>
                  </w:r>
                </w:p>
              </w:tc>
              <w:tc>
                <w:tcPr>
                  <w:tcW w:w="7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排入管网浓度</w:t>
                  </w:r>
                  <w:r>
                    <w:rPr>
                      <w:rFonts w:hint="default" w:ascii="Times New Roman" w:hAnsi="Times New Roman" w:eastAsia="宋体" w:cs="Times New Roman"/>
                      <w:b/>
                      <w:bCs/>
                      <w:color w:val="auto"/>
                      <w:sz w:val="21"/>
                      <w:szCs w:val="21"/>
                      <w:highlight w:val="none"/>
                      <w:lang w:eastAsia="zh-CN"/>
                    </w:rPr>
                    <w:t>mg/L</w:t>
                  </w:r>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排放量t/a</w:t>
                  </w:r>
                </w:p>
              </w:tc>
              <w:tc>
                <w:tcPr>
                  <w:tcW w:w="7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排放浓度标准限值</w:t>
                  </w:r>
                  <w:r>
                    <w:rPr>
                      <w:rFonts w:hint="default" w:ascii="Times New Roman" w:hAnsi="Times New Roman" w:eastAsia="宋体" w:cs="Times New Roman"/>
                      <w:b/>
                      <w:bCs/>
                      <w:color w:val="auto"/>
                      <w:sz w:val="21"/>
                      <w:szCs w:val="21"/>
                      <w:highlight w:val="none"/>
                      <w:lang w:eastAsia="zh-CN"/>
                    </w:rPr>
                    <w:t>mg/L</w:t>
                  </w:r>
                </w:p>
              </w:tc>
              <w:tc>
                <w:tcPr>
                  <w:tcW w:w="4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是否达标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软化水制备</w:t>
                  </w:r>
                </w:p>
              </w:tc>
              <w:tc>
                <w:tcPr>
                  <w:tcW w:w="66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生产废水</w:t>
                  </w:r>
                </w:p>
              </w:tc>
              <w:tc>
                <w:tcPr>
                  <w:tcW w:w="100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sz w:val="21"/>
                      <w:szCs w:val="21"/>
                      <w:highlight w:val="none"/>
                      <w:vertAlign w:val="baseline"/>
                      <w:lang w:val="en-US" w:eastAsia="zh-CN"/>
                    </w:rPr>
                  </w:pPr>
                  <w:r>
                    <w:rPr>
                      <w:rFonts w:hint="eastAsia" w:cs="Times New Roman"/>
                      <w:color w:val="0000FF"/>
                      <w:sz w:val="21"/>
                      <w:szCs w:val="21"/>
                      <w:highlight w:val="none"/>
                      <w:vertAlign w:val="baseline"/>
                      <w:lang w:val="en-US" w:eastAsia="zh-CN"/>
                    </w:rPr>
                    <w:t>9071.9</w:t>
                  </w:r>
                </w:p>
              </w:tc>
              <w:tc>
                <w:tcPr>
                  <w:tcW w:w="6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COD</w:t>
                  </w:r>
                </w:p>
              </w:tc>
              <w:tc>
                <w:tcPr>
                  <w:tcW w:w="7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60</w:t>
                  </w:r>
                </w:p>
              </w:tc>
              <w:tc>
                <w:tcPr>
                  <w:tcW w:w="9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sz w:val="21"/>
                      <w:szCs w:val="21"/>
                      <w:highlight w:val="none"/>
                      <w:vertAlign w:val="baseline"/>
                      <w:lang w:val="en-US" w:eastAsia="zh-CN"/>
                    </w:rPr>
                  </w:pPr>
                  <w:r>
                    <w:rPr>
                      <w:rFonts w:hint="eastAsia" w:cs="Times New Roman"/>
                      <w:color w:val="0000FF"/>
                      <w:sz w:val="21"/>
                      <w:szCs w:val="21"/>
                      <w:highlight w:val="none"/>
                      <w:vertAlign w:val="baseline"/>
                      <w:lang w:val="en-US" w:eastAsia="zh-CN"/>
                    </w:rPr>
                    <w:t>0.544</w:t>
                  </w:r>
                </w:p>
              </w:tc>
              <w:tc>
                <w:tcPr>
                  <w:tcW w:w="51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7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60</w:t>
                  </w:r>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kern w:val="2"/>
                      <w:sz w:val="21"/>
                      <w:szCs w:val="21"/>
                      <w:highlight w:val="none"/>
                      <w:vertAlign w:val="baseline"/>
                      <w:lang w:val="en-US" w:eastAsia="zh-CN" w:bidi="ar-SA"/>
                    </w:rPr>
                  </w:pPr>
                  <w:r>
                    <w:rPr>
                      <w:rFonts w:hint="eastAsia" w:cs="Times New Roman"/>
                      <w:color w:val="0000FF"/>
                      <w:sz w:val="21"/>
                      <w:szCs w:val="21"/>
                      <w:highlight w:val="none"/>
                      <w:vertAlign w:val="baseline"/>
                      <w:lang w:val="en-US" w:eastAsia="zh-CN"/>
                    </w:rPr>
                    <w:t>0.544</w:t>
                  </w:r>
                </w:p>
              </w:tc>
              <w:tc>
                <w:tcPr>
                  <w:tcW w:w="7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500</w:t>
                  </w:r>
                </w:p>
              </w:tc>
              <w:tc>
                <w:tcPr>
                  <w:tcW w:w="4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66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eastAsia="zh-CN"/>
                    </w:rPr>
                  </w:pPr>
                </w:p>
              </w:tc>
              <w:tc>
                <w:tcPr>
                  <w:tcW w:w="100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sz w:val="21"/>
                      <w:szCs w:val="21"/>
                      <w:highlight w:val="none"/>
                      <w:vertAlign w:val="baseline"/>
                      <w:lang w:eastAsia="zh-CN"/>
                    </w:rPr>
                  </w:pPr>
                </w:p>
              </w:tc>
              <w:tc>
                <w:tcPr>
                  <w:tcW w:w="6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氨氮</w:t>
                  </w:r>
                </w:p>
              </w:tc>
              <w:tc>
                <w:tcPr>
                  <w:tcW w:w="7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8</w:t>
                  </w:r>
                </w:p>
              </w:tc>
              <w:tc>
                <w:tcPr>
                  <w:tcW w:w="9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sz w:val="21"/>
                      <w:szCs w:val="21"/>
                      <w:highlight w:val="none"/>
                      <w:vertAlign w:val="baseline"/>
                      <w:lang w:val="en-US" w:eastAsia="zh-CN"/>
                    </w:rPr>
                  </w:pPr>
                  <w:r>
                    <w:rPr>
                      <w:rFonts w:hint="eastAsia" w:cs="Times New Roman"/>
                      <w:color w:val="0000FF"/>
                      <w:sz w:val="21"/>
                      <w:szCs w:val="21"/>
                      <w:highlight w:val="none"/>
                      <w:vertAlign w:val="baseline"/>
                      <w:lang w:val="en-US" w:eastAsia="zh-CN"/>
                    </w:rPr>
                    <w:t>0.073</w:t>
                  </w:r>
                </w:p>
              </w:tc>
              <w:tc>
                <w:tcPr>
                  <w:tcW w:w="51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eastAsia="zh-CN"/>
                    </w:rPr>
                  </w:pPr>
                </w:p>
              </w:tc>
              <w:tc>
                <w:tcPr>
                  <w:tcW w:w="7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8</w:t>
                  </w:r>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kern w:val="2"/>
                      <w:sz w:val="21"/>
                      <w:szCs w:val="21"/>
                      <w:highlight w:val="none"/>
                      <w:vertAlign w:val="baseline"/>
                      <w:lang w:val="en-US" w:eastAsia="zh-CN" w:bidi="ar-SA"/>
                    </w:rPr>
                  </w:pPr>
                  <w:r>
                    <w:rPr>
                      <w:rFonts w:hint="eastAsia" w:cs="Times New Roman"/>
                      <w:color w:val="0000FF"/>
                      <w:sz w:val="21"/>
                      <w:szCs w:val="21"/>
                      <w:highlight w:val="none"/>
                      <w:vertAlign w:val="baseline"/>
                      <w:lang w:val="en-US" w:eastAsia="zh-CN"/>
                    </w:rPr>
                    <w:t>0.073</w:t>
                  </w:r>
                </w:p>
              </w:tc>
              <w:tc>
                <w:tcPr>
                  <w:tcW w:w="7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45</w:t>
                  </w:r>
                </w:p>
              </w:tc>
              <w:tc>
                <w:tcPr>
                  <w:tcW w:w="4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66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eastAsia="zh-CN"/>
                    </w:rPr>
                  </w:pPr>
                </w:p>
              </w:tc>
              <w:tc>
                <w:tcPr>
                  <w:tcW w:w="100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sz w:val="21"/>
                      <w:szCs w:val="21"/>
                      <w:highlight w:val="none"/>
                      <w:vertAlign w:val="baseline"/>
                      <w:lang w:eastAsia="zh-CN"/>
                    </w:rPr>
                  </w:pPr>
                </w:p>
              </w:tc>
              <w:tc>
                <w:tcPr>
                  <w:tcW w:w="6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SS</w:t>
                  </w:r>
                </w:p>
              </w:tc>
              <w:tc>
                <w:tcPr>
                  <w:tcW w:w="7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50</w:t>
                  </w:r>
                </w:p>
              </w:tc>
              <w:tc>
                <w:tcPr>
                  <w:tcW w:w="9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sz w:val="21"/>
                      <w:szCs w:val="21"/>
                      <w:highlight w:val="none"/>
                      <w:vertAlign w:val="baseline"/>
                      <w:lang w:val="en-US" w:eastAsia="zh-CN"/>
                    </w:rPr>
                  </w:pPr>
                  <w:r>
                    <w:rPr>
                      <w:rFonts w:hint="eastAsia" w:cs="Times New Roman"/>
                      <w:color w:val="0000FF"/>
                      <w:sz w:val="21"/>
                      <w:szCs w:val="21"/>
                      <w:highlight w:val="none"/>
                      <w:vertAlign w:val="baseline"/>
                      <w:lang w:val="en-US" w:eastAsia="zh-CN"/>
                    </w:rPr>
                    <w:t>0.454</w:t>
                  </w:r>
                </w:p>
              </w:tc>
              <w:tc>
                <w:tcPr>
                  <w:tcW w:w="51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eastAsia="zh-CN"/>
                    </w:rPr>
                  </w:pPr>
                </w:p>
              </w:tc>
              <w:tc>
                <w:tcPr>
                  <w:tcW w:w="7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50</w:t>
                  </w:r>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kern w:val="2"/>
                      <w:sz w:val="21"/>
                      <w:szCs w:val="21"/>
                      <w:highlight w:val="none"/>
                      <w:vertAlign w:val="baseline"/>
                      <w:lang w:val="en-US" w:eastAsia="zh-CN" w:bidi="ar-SA"/>
                    </w:rPr>
                  </w:pPr>
                  <w:r>
                    <w:rPr>
                      <w:rFonts w:hint="eastAsia" w:cs="Times New Roman"/>
                      <w:color w:val="0000FF"/>
                      <w:sz w:val="21"/>
                      <w:szCs w:val="21"/>
                      <w:highlight w:val="none"/>
                      <w:vertAlign w:val="baseline"/>
                      <w:lang w:val="en-US" w:eastAsia="zh-CN"/>
                    </w:rPr>
                    <w:t>0.454</w:t>
                  </w:r>
                </w:p>
              </w:tc>
              <w:tc>
                <w:tcPr>
                  <w:tcW w:w="7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400</w:t>
                  </w:r>
                </w:p>
              </w:tc>
              <w:tc>
                <w:tcPr>
                  <w:tcW w:w="4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燃气锅炉</w:t>
                  </w:r>
                </w:p>
              </w:tc>
              <w:tc>
                <w:tcPr>
                  <w:tcW w:w="66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生产废水</w:t>
                  </w:r>
                </w:p>
              </w:tc>
              <w:tc>
                <w:tcPr>
                  <w:tcW w:w="100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kern w:val="2"/>
                      <w:sz w:val="21"/>
                      <w:szCs w:val="21"/>
                      <w:highlight w:val="none"/>
                      <w:vertAlign w:val="baseline"/>
                      <w:lang w:val="en-US" w:eastAsia="zh-CN" w:bidi="ar-SA"/>
                    </w:rPr>
                  </w:pPr>
                  <w:r>
                    <w:rPr>
                      <w:rFonts w:hint="eastAsia" w:cs="Times New Roman"/>
                      <w:color w:val="0000FF"/>
                      <w:kern w:val="2"/>
                      <w:sz w:val="21"/>
                      <w:szCs w:val="21"/>
                      <w:highlight w:val="none"/>
                      <w:vertAlign w:val="baseline"/>
                      <w:lang w:val="en-US" w:eastAsia="zh-CN" w:bidi="ar-SA"/>
                    </w:rPr>
                    <w:t>1315.7</w:t>
                  </w:r>
                </w:p>
              </w:tc>
              <w:tc>
                <w:tcPr>
                  <w:tcW w:w="6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COD</w:t>
                  </w:r>
                </w:p>
              </w:tc>
              <w:tc>
                <w:tcPr>
                  <w:tcW w:w="7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60</w:t>
                  </w:r>
                </w:p>
              </w:tc>
              <w:tc>
                <w:tcPr>
                  <w:tcW w:w="9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sz w:val="21"/>
                      <w:szCs w:val="21"/>
                      <w:highlight w:val="none"/>
                      <w:vertAlign w:val="baseline"/>
                      <w:lang w:val="en-US" w:eastAsia="zh-CN"/>
                    </w:rPr>
                  </w:pPr>
                  <w:r>
                    <w:rPr>
                      <w:rFonts w:hint="eastAsia" w:cs="Times New Roman"/>
                      <w:color w:val="0000FF"/>
                      <w:sz w:val="21"/>
                      <w:szCs w:val="21"/>
                      <w:highlight w:val="none"/>
                      <w:vertAlign w:val="baseline"/>
                      <w:lang w:val="en-US" w:eastAsia="zh-CN"/>
                    </w:rPr>
                    <w:t>0.079</w:t>
                  </w:r>
                </w:p>
              </w:tc>
              <w:tc>
                <w:tcPr>
                  <w:tcW w:w="51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7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60</w:t>
                  </w:r>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kern w:val="2"/>
                      <w:sz w:val="21"/>
                      <w:szCs w:val="21"/>
                      <w:highlight w:val="none"/>
                      <w:vertAlign w:val="baseline"/>
                      <w:lang w:val="en-US" w:eastAsia="zh-CN" w:bidi="ar-SA"/>
                    </w:rPr>
                  </w:pPr>
                  <w:r>
                    <w:rPr>
                      <w:rFonts w:hint="eastAsia" w:cs="Times New Roman"/>
                      <w:color w:val="0000FF"/>
                      <w:sz w:val="21"/>
                      <w:szCs w:val="21"/>
                      <w:highlight w:val="none"/>
                      <w:vertAlign w:val="baseline"/>
                      <w:lang w:val="en-US" w:eastAsia="zh-CN"/>
                    </w:rPr>
                    <w:t>0.079</w:t>
                  </w:r>
                </w:p>
              </w:tc>
              <w:tc>
                <w:tcPr>
                  <w:tcW w:w="7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val="en-US" w:eastAsia="zh-CN"/>
                    </w:rPr>
                    <w:t>500</w:t>
                  </w:r>
                </w:p>
              </w:tc>
              <w:tc>
                <w:tcPr>
                  <w:tcW w:w="4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6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00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6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氨氮</w:t>
                  </w:r>
                </w:p>
              </w:tc>
              <w:tc>
                <w:tcPr>
                  <w:tcW w:w="7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8</w:t>
                  </w:r>
                </w:p>
              </w:tc>
              <w:tc>
                <w:tcPr>
                  <w:tcW w:w="9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sz w:val="21"/>
                      <w:szCs w:val="21"/>
                      <w:highlight w:val="none"/>
                      <w:vertAlign w:val="baseline"/>
                      <w:lang w:val="en-US" w:eastAsia="zh-CN"/>
                    </w:rPr>
                  </w:pPr>
                  <w:r>
                    <w:rPr>
                      <w:rFonts w:hint="eastAsia" w:cs="Times New Roman"/>
                      <w:color w:val="0000FF"/>
                      <w:sz w:val="21"/>
                      <w:szCs w:val="21"/>
                      <w:highlight w:val="none"/>
                      <w:vertAlign w:val="baseline"/>
                      <w:lang w:val="en-US" w:eastAsia="zh-CN"/>
                    </w:rPr>
                    <w:t>0.011</w:t>
                  </w:r>
                </w:p>
              </w:tc>
              <w:tc>
                <w:tcPr>
                  <w:tcW w:w="51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eastAsia="zh-CN"/>
                    </w:rPr>
                  </w:pPr>
                </w:p>
              </w:tc>
              <w:tc>
                <w:tcPr>
                  <w:tcW w:w="7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8</w:t>
                  </w:r>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kern w:val="2"/>
                      <w:sz w:val="21"/>
                      <w:szCs w:val="21"/>
                      <w:highlight w:val="none"/>
                      <w:vertAlign w:val="baseline"/>
                      <w:lang w:val="en-US" w:eastAsia="zh-CN" w:bidi="ar-SA"/>
                    </w:rPr>
                  </w:pPr>
                  <w:r>
                    <w:rPr>
                      <w:rFonts w:hint="eastAsia" w:cs="Times New Roman"/>
                      <w:color w:val="0000FF"/>
                      <w:sz w:val="21"/>
                      <w:szCs w:val="21"/>
                      <w:highlight w:val="none"/>
                      <w:vertAlign w:val="baseline"/>
                      <w:lang w:val="en-US" w:eastAsia="zh-CN"/>
                    </w:rPr>
                    <w:t>0.011</w:t>
                  </w:r>
                </w:p>
              </w:tc>
              <w:tc>
                <w:tcPr>
                  <w:tcW w:w="7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val="en-US" w:eastAsia="zh-CN"/>
                    </w:rPr>
                    <w:t>45</w:t>
                  </w:r>
                </w:p>
              </w:tc>
              <w:tc>
                <w:tcPr>
                  <w:tcW w:w="4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6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66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eastAsia="zh-CN"/>
                    </w:rPr>
                  </w:pPr>
                </w:p>
              </w:tc>
              <w:tc>
                <w:tcPr>
                  <w:tcW w:w="100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eastAsia="zh-CN"/>
                    </w:rPr>
                  </w:pPr>
                </w:p>
              </w:tc>
              <w:tc>
                <w:tcPr>
                  <w:tcW w:w="6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SS</w:t>
                  </w:r>
                </w:p>
              </w:tc>
              <w:tc>
                <w:tcPr>
                  <w:tcW w:w="7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50</w:t>
                  </w:r>
                </w:p>
              </w:tc>
              <w:tc>
                <w:tcPr>
                  <w:tcW w:w="9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sz w:val="21"/>
                      <w:szCs w:val="21"/>
                      <w:highlight w:val="none"/>
                      <w:vertAlign w:val="baseline"/>
                      <w:lang w:val="en-US" w:eastAsia="zh-CN"/>
                    </w:rPr>
                  </w:pPr>
                  <w:r>
                    <w:rPr>
                      <w:rFonts w:hint="eastAsia" w:cs="Times New Roman"/>
                      <w:color w:val="0000FF"/>
                      <w:sz w:val="21"/>
                      <w:szCs w:val="21"/>
                      <w:highlight w:val="none"/>
                      <w:vertAlign w:val="baseline"/>
                      <w:lang w:val="en-US" w:eastAsia="zh-CN"/>
                    </w:rPr>
                    <w:t>0.066</w:t>
                  </w:r>
                </w:p>
              </w:tc>
              <w:tc>
                <w:tcPr>
                  <w:tcW w:w="51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eastAsia="zh-CN"/>
                    </w:rPr>
                  </w:pPr>
                </w:p>
              </w:tc>
              <w:tc>
                <w:tcPr>
                  <w:tcW w:w="7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50</w:t>
                  </w:r>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kern w:val="2"/>
                      <w:sz w:val="21"/>
                      <w:szCs w:val="21"/>
                      <w:highlight w:val="none"/>
                      <w:vertAlign w:val="baseline"/>
                      <w:lang w:val="en-US" w:eastAsia="zh-CN" w:bidi="ar-SA"/>
                    </w:rPr>
                  </w:pPr>
                  <w:r>
                    <w:rPr>
                      <w:rFonts w:hint="eastAsia" w:cs="Times New Roman"/>
                      <w:color w:val="0000FF"/>
                      <w:sz w:val="21"/>
                      <w:szCs w:val="21"/>
                      <w:highlight w:val="none"/>
                      <w:vertAlign w:val="baseline"/>
                      <w:lang w:val="en-US" w:eastAsia="zh-CN"/>
                    </w:rPr>
                    <w:t>0.066</w:t>
                  </w:r>
                </w:p>
              </w:tc>
              <w:tc>
                <w:tcPr>
                  <w:tcW w:w="7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val="en-US" w:eastAsia="zh-CN"/>
                    </w:rPr>
                    <w:t>400</w:t>
                  </w:r>
                </w:p>
              </w:tc>
              <w:tc>
                <w:tcPr>
                  <w:tcW w:w="4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6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生活用水</w:t>
                  </w:r>
                </w:p>
              </w:tc>
              <w:tc>
                <w:tcPr>
                  <w:tcW w:w="66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eastAsia" w:cs="Times New Roman"/>
                      <w:color w:val="auto"/>
                      <w:sz w:val="21"/>
                      <w:szCs w:val="21"/>
                      <w:highlight w:val="none"/>
                      <w:vertAlign w:val="baseline"/>
                      <w:lang w:eastAsia="zh-CN"/>
                    </w:rPr>
                    <w:t>生活废水</w:t>
                  </w:r>
                </w:p>
              </w:tc>
              <w:tc>
                <w:tcPr>
                  <w:tcW w:w="100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sz w:val="21"/>
                      <w:szCs w:val="21"/>
                      <w:highlight w:val="none"/>
                      <w:vertAlign w:val="baseline"/>
                      <w:lang w:val="en-US" w:eastAsia="zh-CN"/>
                    </w:rPr>
                  </w:pPr>
                  <w:r>
                    <w:rPr>
                      <w:rFonts w:hint="eastAsia" w:cs="Times New Roman"/>
                      <w:color w:val="0000FF"/>
                      <w:sz w:val="21"/>
                      <w:szCs w:val="21"/>
                      <w:highlight w:val="none"/>
                      <w:vertAlign w:val="baseline"/>
                      <w:lang w:val="en-US" w:eastAsia="zh-CN"/>
                    </w:rPr>
                    <w:t>48</w:t>
                  </w:r>
                </w:p>
              </w:tc>
              <w:tc>
                <w:tcPr>
                  <w:tcW w:w="6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COD</w:t>
                  </w:r>
                </w:p>
              </w:tc>
              <w:tc>
                <w:tcPr>
                  <w:tcW w:w="7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150</w:t>
                  </w:r>
                </w:p>
              </w:tc>
              <w:tc>
                <w:tcPr>
                  <w:tcW w:w="9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sz w:val="21"/>
                      <w:szCs w:val="21"/>
                      <w:highlight w:val="none"/>
                      <w:vertAlign w:val="baseline"/>
                      <w:lang w:val="en-US" w:eastAsia="zh-CN"/>
                    </w:rPr>
                  </w:pPr>
                  <w:r>
                    <w:rPr>
                      <w:rFonts w:hint="eastAsia" w:cs="Times New Roman"/>
                      <w:color w:val="0000FF"/>
                      <w:sz w:val="21"/>
                      <w:szCs w:val="21"/>
                      <w:highlight w:val="none"/>
                      <w:vertAlign w:val="baseline"/>
                      <w:lang w:val="en-US" w:eastAsia="zh-CN"/>
                    </w:rPr>
                    <w:t>0.007</w:t>
                  </w:r>
                </w:p>
              </w:tc>
              <w:tc>
                <w:tcPr>
                  <w:tcW w:w="51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w:t>
                  </w:r>
                </w:p>
              </w:tc>
              <w:tc>
                <w:tcPr>
                  <w:tcW w:w="7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60.25</w:t>
                  </w:r>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sz w:val="21"/>
                      <w:szCs w:val="21"/>
                      <w:highlight w:val="none"/>
                      <w:vertAlign w:val="baseline"/>
                      <w:lang w:val="en-US" w:eastAsia="zh-CN"/>
                    </w:rPr>
                  </w:pPr>
                  <w:r>
                    <w:rPr>
                      <w:rFonts w:hint="eastAsia" w:cs="Times New Roman"/>
                      <w:color w:val="0000FF"/>
                      <w:sz w:val="21"/>
                      <w:szCs w:val="21"/>
                      <w:highlight w:val="none"/>
                      <w:vertAlign w:val="baseline"/>
                      <w:lang w:val="en-US" w:eastAsia="zh-CN"/>
                    </w:rPr>
                    <w:t>0.003</w:t>
                  </w:r>
                </w:p>
              </w:tc>
              <w:tc>
                <w:tcPr>
                  <w:tcW w:w="7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500</w:t>
                  </w:r>
                </w:p>
              </w:tc>
              <w:tc>
                <w:tcPr>
                  <w:tcW w:w="4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66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66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eastAsia="zh-CN"/>
                    </w:rPr>
                  </w:pPr>
                </w:p>
              </w:tc>
              <w:tc>
                <w:tcPr>
                  <w:tcW w:w="100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sz w:val="21"/>
                      <w:szCs w:val="21"/>
                      <w:highlight w:val="none"/>
                      <w:vertAlign w:val="baseline"/>
                      <w:lang w:eastAsia="zh-CN"/>
                    </w:rPr>
                  </w:pPr>
                </w:p>
              </w:tc>
              <w:tc>
                <w:tcPr>
                  <w:tcW w:w="6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氨氮</w:t>
                  </w:r>
                </w:p>
              </w:tc>
              <w:tc>
                <w:tcPr>
                  <w:tcW w:w="7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35</w:t>
                  </w:r>
                </w:p>
              </w:tc>
              <w:tc>
                <w:tcPr>
                  <w:tcW w:w="9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sz w:val="21"/>
                      <w:szCs w:val="21"/>
                      <w:highlight w:val="none"/>
                      <w:vertAlign w:val="baseline"/>
                      <w:lang w:val="en-US" w:eastAsia="zh-CN"/>
                    </w:rPr>
                  </w:pPr>
                  <w:r>
                    <w:rPr>
                      <w:rFonts w:hint="eastAsia" w:cs="Times New Roman"/>
                      <w:color w:val="0000FF"/>
                      <w:sz w:val="21"/>
                      <w:szCs w:val="21"/>
                      <w:highlight w:val="none"/>
                      <w:vertAlign w:val="baseline"/>
                      <w:lang w:val="en-US" w:eastAsia="zh-CN"/>
                    </w:rPr>
                    <w:t>0.002</w:t>
                  </w:r>
                </w:p>
              </w:tc>
              <w:tc>
                <w:tcPr>
                  <w:tcW w:w="51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eastAsia="zh-CN"/>
                    </w:rPr>
                  </w:pPr>
                </w:p>
              </w:tc>
              <w:tc>
                <w:tcPr>
                  <w:tcW w:w="7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8.62</w:t>
                  </w:r>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sz w:val="21"/>
                      <w:szCs w:val="21"/>
                      <w:highlight w:val="none"/>
                      <w:vertAlign w:val="baseline"/>
                      <w:lang w:val="en-US" w:eastAsia="zh-CN"/>
                    </w:rPr>
                  </w:pPr>
                  <w:r>
                    <w:rPr>
                      <w:rFonts w:hint="eastAsia" w:cs="Times New Roman"/>
                      <w:color w:val="0000FF"/>
                      <w:sz w:val="21"/>
                      <w:szCs w:val="21"/>
                      <w:highlight w:val="none"/>
                      <w:vertAlign w:val="baseline"/>
                      <w:lang w:val="en-US" w:eastAsia="zh-CN"/>
                    </w:rPr>
                    <w:t>0.001</w:t>
                  </w:r>
                </w:p>
              </w:tc>
              <w:tc>
                <w:tcPr>
                  <w:tcW w:w="7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45</w:t>
                  </w:r>
                </w:p>
              </w:tc>
              <w:tc>
                <w:tcPr>
                  <w:tcW w:w="4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66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66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eastAsia="zh-CN"/>
                    </w:rPr>
                  </w:pPr>
                </w:p>
              </w:tc>
              <w:tc>
                <w:tcPr>
                  <w:tcW w:w="100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sz w:val="21"/>
                      <w:szCs w:val="21"/>
                      <w:highlight w:val="none"/>
                      <w:vertAlign w:val="baseline"/>
                      <w:lang w:eastAsia="zh-CN"/>
                    </w:rPr>
                  </w:pPr>
                </w:p>
              </w:tc>
              <w:tc>
                <w:tcPr>
                  <w:tcW w:w="6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SS</w:t>
                  </w:r>
                </w:p>
              </w:tc>
              <w:tc>
                <w:tcPr>
                  <w:tcW w:w="7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300</w:t>
                  </w:r>
                </w:p>
              </w:tc>
              <w:tc>
                <w:tcPr>
                  <w:tcW w:w="9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sz w:val="21"/>
                      <w:szCs w:val="21"/>
                      <w:highlight w:val="none"/>
                      <w:vertAlign w:val="baseline"/>
                      <w:lang w:val="en-US" w:eastAsia="zh-CN"/>
                    </w:rPr>
                  </w:pPr>
                  <w:r>
                    <w:rPr>
                      <w:rFonts w:hint="eastAsia" w:cs="Times New Roman"/>
                      <w:color w:val="0000FF"/>
                      <w:sz w:val="21"/>
                      <w:szCs w:val="21"/>
                      <w:highlight w:val="none"/>
                      <w:vertAlign w:val="baseline"/>
                      <w:lang w:val="en-US" w:eastAsia="zh-CN"/>
                    </w:rPr>
                    <w:t>0.014</w:t>
                  </w:r>
                </w:p>
              </w:tc>
              <w:tc>
                <w:tcPr>
                  <w:tcW w:w="51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eastAsia="zh-CN"/>
                    </w:rPr>
                  </w:pPr>
                </w:p>
              </w:tc>
              <w:tc>
                <w:tcPr>
                  <w:tcW w:w="7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9.63</w:t>
                  </w:r>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sz w:val="21"/>
                      <w:szCs w:val="21"/>
                      <w:highlight w:val="none"/>
                      <w:vertAlign w:val="baseline"/>
                      <w:lang w:val="en-US" w:eastAsia="zh-CN"/>
                    </w:rPr>
                  </w:pPr>
                  <w:r>
                    <w:rPr>
                      <w:rFonts w:hint="eastAsia" w:cs="Times New Roman"/>
                      <w:color w:val="0000FF"/>
                      <w:sz w:val="21"/>
                      <w:szCs w:val="21"/>
                      <w:highlight w:val="none"/>
                      <w:vertAlign w:val="baseline"/>
                      <w:lang w:val="en-US" w:eastAsia="zh-CN"/>
                    </w:rPr>
                    <w:t>0.001</w:t>
                  </w:r>
                </w:p>
              </w:tc>
              <w:tc>
                <w:tcPr>
                  <w:tcW w:w="7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400</w:t>
                  </w:r>
                </w:p>
              </w:tc>
              <w:tc>
                <w:tcPr>
                  <w:tcW w:w="4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328" w:type="dxa"/>
                  <w:gridSpan w:val="2"/>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val="en-US" w:eastAsia="zh-CN"/>
                    </w:rPr>
                    <w:t>合计</w:t>
                  </w:r>
                </w:p>
              </w:tc>
              <w:tc>
                <w:tcPr>
                  <w:tcW w:w="100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sz w:val="21"/>
                      <w:szCs w:val="21"/>
                      <w:highlight w:val="none"/>
                      <w:vertAlign w:val="baseline"/>
                      <w:lang w:val="en-US" w:eastAsia="zh-CN"/>
                    </w:rPr>
                  </w:pPr>
                  <w:r>
                    <w:rPr>
                      <w:rFonts w:hint="eastAsia" w:cs="Times New Roman"/>
                      <w:color w:val="0000FF"/>
                      <w:sz w:val="21"/>
                      <w:szCs w:val="21"/>
                      <w:highlight w:val="none"/>
                      <w:vertAlign w:val="baseline"/>
                      <w:lang w:val="en-US" w:eastAsia="zh-CN"/>
                    </w:rPr>
                    <w:t>10435.6</w:t>
                  </w:r>
                </w:p>
              </w:tc>
              <w:tc>
                <w:tcPr>
                  <w:tcW w:w="6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sz w:val="21"/>
                      <w:szCs w:val="21"/>
                      <w:highlight w:val="none"/>
                      <w:vertAlign w:val="baseline"/>
                      <w:lang w:eastAsia="zh-CN"/>
                    </w:rPr>
                  </w:pPr>
                  <w:r>
                    <w:rPr>
                      <w:rFonts w:hint="default" w:ascii="Times New Roman" w:hAnsi="Times New Roman" w:eastAsia="宋体" w:cs="Times New Roman"/>
                      <w:color w:val="0000FF"/>
                      <w:sz w:val="21"/>
                      <w:szCs w:val="21"/>
                      <w:highlight w:val="none"/>
                      <w:vertAlign w:val="baseline"/>
                      <w:lang w:val="en-US" w:eastAsia="zh-CN"/>
                    </w:rPr>
                    <w:t>COD</w:t>
                  </w:r>
                </w:p>
              </w:tc>
              <w:tc>
                <w:tcPr>
                  <w:tcW w:w="7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kern w:val="2"/>
                      <w:sz w:val="21"/>
                      <w:szCs w:val="21"/>
                      <w:highlight w:val="none"/>
                      <w:vertAlign w:val="baseline"/>
                      <w:lang w:val="en-US" w:eastAsia="zh-CN" w:bidi="ar-SA"/>
                    </w:rPr>
                  </w:pPr>
                  <w:r>
                    <w:rPr>
                      <w:rFonts w:hint="eastAsia" w:cs="Times New Roman"/>
                      <w:color w:val="0000FF"/>
                      <w:kern w:val="2"/>
                      <w:sz w:val="21"/>
                      <w:szCs w:val="21"/>
                      <w:highlight w:val="none"/>
                      <w:vertAlign w:val="baseline"/>
                      <w:lang w:val="en-US" w:eastAsia="zh-CN" w:bidi="ar-SA"/>
                    </w:rPr>
                    <w:t>60.37</w:t>
                  </w:r>
                </w:p>
              </w:tc>
              <w:tc>
                <w:tcPr>
                  <w:tcW w:w="9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kern w:val="2"/>
                      <w:sz w:val="21"/>
                      <w:szCs w:val="21"/>
                      <w:highlight w:val="none"/>
                      <w:vertAlign w:val="baseline"/>
                      <w:lang w:val="en-US" w:eastAsia="zh-CN" w:bidi="ar-SA"/>
                    </w:rPr>
                  </w:pPr>
                  <w:r>
                    <w:rPr>
                      <w:rFonts w:hint="eastAsia" w:cs="Times New Roman"/>
                      <w:color w:val="0000FF"/>
                      <w:kern w:val="2"/>
                      <w:sz w:val="21"/>
                      <w:szCs w:val="21"/>
                      <w:highlight w:val="none"/>
                      <w:vertAlign w:val="baseline"/>
                      <w:lang w:val="en-US" w:eastAsia="zh-CN" w:bidi="ar-SA"/>
                    </w:rPr>
                    <w:t>0.630</w:t>
                  </w:r>
                </w:p>
              </w:tc>
              <w:tc>
                <w:tcPr>
                  <w:tcW w:w="51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sz w:val="21"/>
                      <w:szCs w:val="21"/>
                      <w:highlight w:val="none"/>
                      <w:vertAlign w:val="baseline"/>
                      <w:lang w:val="en-US" w:eastAsia="zh-CN"/>
                    </w:rPr>
                  </w:pPr>
                  <w:r>
                    <w:rPr>
                      <w:rFonts w:hint="eastAsia" w:cs="Times New Roman"/>
                      <w:color w:val="0000FF"/>
                      <w:sz w:val="21"/>
                      <w:szCs w:val="21"/>
                      <w:highlight w:val="none"/>
                      <w:vertAlign w:val="baseline"/>
                      <w:lang w:val="en-US" w:eastAsia="zh-CN"/>
                    </w:rPr>
                    <w:t>/</w:t>
                  </w:r>
                </w:p>
              </w:tc>
              <w:tc>
                <w:tcPr>
                  <w:tcW w:w="7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kern w:val="2"/>
                      <w:sz w:val="21"/>
                      <w:szCs w:val="21"/>
                      <w:highlight w:val="none"/>
                      <w:vertAlign w:val="baseline"/>
                      <w:lang w:val="en-US" w:eastAsia="zh-CN" w:bidi="ar-SA"/>
                    </w:rPr>
                  </w:pPr>
                  <w:r>
                    <w:rPr>
                      <w:rFonts w:hint="eastAsia" w:cs="Times New Roman"/>
                      <w:color w:val="0000FF"/>
                      <w:kern w:val="2"/>
                      <w:sz w:val="21"/>
                      <w:szCs w:val="21"/>
                      <w:highlight w:val="none"/>
                      <w:vertAlign w:val="baseline"/>
                      <w:lang w:val="en-US" w:eastAsia="zh-CN" w:bidi="ar-SA"/>
                    </w:rPr>
                    <w:t>59.99</w:t>
                  </w:r>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kern w:val="2"/>
                      <w:sz w:val="21"/>
                      <w:szCs w:val="21"/>
                      <w:highlight w:val="none"/>
                      <w:vertAlign w:val="baseline"/>
                      <w:lang w:val="en-US" w:eastAsia="zh-CN" w:bidi="ar-SA"/>
                    </w:rPr>
                  </w:pPr>
                  <w:r>
                    <w:rPr>
                      <w:rFonts w:hint="eastAsia" w:cs="Times New Roman"/>
                      <w:color w:val="0000FF"/>
                      <w:kern w:val="2"/>
                      <w:sz w:val="21"/>
                      <w:szCs w:val="21"/>
                      <w:highlight w:val="none"/>
                      <w:vertAlign w:val="baseline"/>
                      <w:lang w:val="en-US" w:eastAsia="zh-CN" w:bidi="ar-SA"/>
                    </w:rPr>
                    <w:t>0.626</w:t>
                  </w:r>
                </w:p>
              </w:tc>
              <w:tc>
                <w:tcPr>
                  <w:tcW w:w="7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500</w:t>
                  </w:r>
                </w:p>
              </w:tc>
              <w:tc>
                <w:tcPr>
                  <w:tcW w:w="4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328"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eastAsia="zh-CN"/>
                    </w:rPr>
                  </w:pPr>
                </w:p>
              </w:tc>
              <w:tc>
                <w:tcPr>
                  <w:tcW w:w="100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sz w:val="21"/>
                      <w:szCs w:val="21"/>
                      <w:highlight w:val="none"/>
                      <w:vertAlign w:val="baseline"/>
                      <w:lang w:val="en-US" w:eastAsia="zh-CN"/>
                    </w:rPr>
                  </w:pPr>
                </w:p>
              </w:tc>
              <w:tc>
                <w:tcPr>
                  <w:tcW w:w="6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sz w:val="21"/>
                      <w:szCs w:val="21"/>
                      <w:highlight w:val="none"/>
                      <w:vertAlign w:val="baseline"/>
                      <w:lang w:eastAsia="zh-CN"/>
                    </w:rPr>
                  </w:pPr>
                  <w:r>
                    <w:rPr>
                      <w:rFonts w:hint="default" w:ascii="Times New Roman" w:hAnsi="Times New Roman" w:eastAsia="宋体" w:cs="Times New Roman"/>
                      <w:color w:val="0000FF"/>
                      <w:sz w:val="21"/>
                      <w:szCs w:val="21"/>
                      <w:highlight w:val="none"/>
                      <w:vertAlign w:val="baseline"/>
                      <w:lang w:val="en-US" w:eastAsia="zh-CN"/>
                    </w:rPr>
                    <w:t>氨氮</w:t>
                  </w:r>
                </w:p>
              </w:tc>
              <w:tc>
                <w:tcPr>
                  <w:tcW w:w="7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kern w:val="2"/>
                      <w:sz w:val="21"/>
                      <w:szCs w:val="21"/>
                      <w:highlight w:val="none"/>
                      <w:vertAlign w:val="baseline"/>
                      <w:lang w:val="en-US" w:eastAsia="zh-CN" w:bidi="ar-SA"/>
                    </w:rPr>
                  </w:pPr>
                  <w:r>
                    <w:rPr>
                      <w:rFonts w:hint="eastAsia" w:cs="Times New Roman"/>
                      <w:color w:val="0000FF"/>
                      <w:kern w:val="2"/>
                      <w:sz w:val="21"/>
                      <w:szCs w:val="21"/>
                      <w:highlight w:val="none"/>
                      <w:vertAlign w:val="baseline"/>
                      <w:lang w:val="en-US" w:eastAsia="zh-CN" w:bidi="ar-SA"/>
                    </w:rPr>
                    <w:t>8.24</w:t>
                  </w:r>
                </w:p>
              </w:tc>
              <w:tc>
                <w:tcPr>
                  <w:tcW w:w="9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kern w:val="2"/>
                      <w:sz w:val="21"/>
                      <w:szCs w:val="21"/>
                      <w:highlight w:val="none"/>
                      <w:vertAlign w:val="baseline"/>
                      <w:lang w:val="en-US" w:eastAsia="zh-CN" w:bidi="ar-SA"/>
                    </w:rPr>
                  </w:pPr>
                  <w:r>
                    <w:rPr>
                      <w:rFonts w:hint="eastAsia" w:cs="Times New Roman"/>
                      <w:color w:val="0000FF"/>
                      <w:kern w:val="2"/>
                      <w:sz w:val="21"/>
                      <w:szCs w:val="21"/>
                      <w:highlight w:val="none"/>
                      <w:vertAlign w:val="baseline"/>
                      <w:lang w:val="en-US" w:eastAsia="zh-CN" w:bidi="ar-SA"/>
                    </w:rPr>
                    <w:t>0.086</w:t>
                  </w:r>
                </w:p>
              </w:tc>
              <w:tc>
                <w:tcPr>
                  <w:tcW w:w="51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sz w:val="21"/>
                      <w:szCs w:val="21"/>
                      <w:highlight w:val="none"/>
                      <w:vertAlign w:val="baseline"/>
                      <w:lang w:eastAsia="zh-CN"/>
                    </w:rPr>
                  </w:pPr>
                </w:p>
              </w:tc>
              <w:tc>
                <w:tcPr>
                  <w:tcW w:w="7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kern w:val="2"/>
                      <w:sz w:val="21"/>
                      <w:szCs w:val="21"/>
                      <w:highlight w:val="none"/>
                      <w:vertAlign w:val="baseline"/>
                      <w:lang w:val="en-US" w:eastAsia="zh-CN" w:bidi="ar-SA"/>
                    </w:rPr>
                  </w:pPr>
                  <w:r>
                    <w:rPr>
                      <w:rFonts w:hint="eastAsia" w:cs="Times New Roman"/>
                      <w:color w:val="0000FF"/>
                      <w:kern w:val="2"/>
                      <w:sz w:val="21"/>
                      <w:szCs w:val="21"/>
                      <w:highlight w:val="none"/>
                      <w:vertAlign w:val="baseline"/>
                      <w:lang w:val="en-US" w:eastAsia="zh-CN" w:bidi="ar-SA"/>
                    </w:rPr>
                    <w:t>8.15</w:t>
                  </w:r>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kern w:val="2"/>
                      <w:sz w:val="21"/>
                      <w:szCs w:val="21"/>
                      <w:highlight w:val="none"/>
                      <w:vertAlign w:val="baseline"/>
                      <w:lang w:val="en-US" w:eastAsia="zh-CN" w:bidi="ar-SA"/>
                    </w:rPr>
                  </w:pPr>
                  <w:r>
                    <w:rPr>
                      <w:rFonts w:hint="eastAsia" w:cs="Times New Roman"/>
                      <w:color w:val="0000FF"/>
                      <w:kern w:val="2"/>
                      <w:sz w:val="21"/>
                      <w:szCs w:val="21"/>
                      <w:highlight w:val="none"/>
                      <w:vertAlign w:val="baseline"/>
                      <w:lang w:val="en-US" w:eastAsia="zh-CN" w:bidi="ar-SA"/>
                    </w:rPr>
                    <w:t>0.085</w:t>
                  </w:r>
                </w:p>
              </w:tc>
              <w:tc>
                <w:tcPr>
                  <w:tcW w:w="7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45</w:t>
                  </w:r>
                </w:p>
              </w:tc>
              <w:tc>
                <w:tcPr>
                  <w:tcW w:w="4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1328"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eastAsia="zh-CN"/>
                    </w:rPr>
                  </w:pPr>
                </w:p>
              </w:tc>
              <w:tc>
                <w:tcPr>
                  <w:tcW w:w="100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sz w:val="21"/>
                      <w:szCs w:val="21"/>
                      <w:highlight w:val="none"/>
                      <w:vertAlign w:val="baseline"/>
                      <w:lang w:val="en-US" w:eastAsia="zh-CN"/>
                    </w:rPr>
                  </w:pPr>
                </w:p>
              </w:tc>
              <w:tc>
                <w:tcPr>
                  <w:tcW w:w="67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sz w:val="21"/>
                      <w:szCs w:val="21"/>
                      <w:highlight w:val="none"/>
                      <w:vertAlign w:val="baseline"/>
                      <w:lang w:eastAsia="zh-CN"/>
                    </w:rPr>
                  </w:pPr>
                  <w:r>
                    <w:rPr>
                      <w:rFonts w:hint="default" w:ascii="Times New Roman" w:hAnsi="Times New Roman" w:eastAsia="宋体" w:cs="Times New Roman"/>
                      <w:color w:val="0000FF"/>
                      <w:sz w:val="21"/>
                      <w:szCs w:val="21"/>
                      <w:highlight w:val="none"/>
                      <w:vertAlign w:val="baseline"/>
                      <w:lang w:val="en-US" w:eastAsia="zh-CN"/>
                    </w:rPr>
                    <w:t>SS</w:t>
                  </w:r>
                </w:p>
              </w:tc>
              <w:tc>
                <w:tcPr>
                  <w:tcW w:w="7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kern w:val="2"/>
                      <w:sz w:val="21"/>
                      <w:szCs w:val="21"/>
                      <w:highlight w:val="none"/>
                      <w:vertAlign w:val="baseline"/>
                      <w:lang w:val="en-US" w:eastAsia="zh-CN" w:bidi="ar-SA"/>
                    </w:rPr>
                  </w:pPr>
                  <w:r>
                    <w:rPr>
                      <w:rFonts w:hint="eastAsia" w:cs="Times New Roman"/>
                      <w:color w:val="0000FF"/>
                      <w:kern w:val="2"/>
                      <w:sz w:val="21"/>
                      <w:szCs w:val="21"/>
                      <w:highlight w:val="none"/>
                      <w:vertAlign w:val="baseline"/>
                      <w:lang w:val="en-US" w:eastAsia="zh-CN" w:bidi="ar-SA"/>
                    </w:rPr>
                    <w:t>51.17</w:t>
                  </w:r>
                </w:p>
              </w:tc>
              <w:tc>
                <w:tcPr>
                  <w:tcW w:w="92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kern w:val="2"/>
                      <w:sz w:val="21"/>
                      <w:szCs w:val="21"/>
                      <w:highlight w:val="none"/>
                      <w:vertAlign w:val="baseline"/>
                      <w:lang w:val="en-US" w:eastAsia="zh-CN" w:bidi="ar-SA"/>
                    </w:rPr>
                  </w:pPr>
                  <w:r>
                    <w:rPr>
                      <w:rFonts w:hint="eastAsia" w:cs="Times New Roman"/>
                      <w:color w:val="0000FF"/>
                      <w:kern w:val="2"/>
                      <w:sz w:val="21"/>
                      <w:szCs w:val="21"/>
                      <w:highlight w:val="none"/>
                      <w:vertAlign w:val="baseline"/>
                      <w:lang w:val="en-US" w:eastAsia="zh-CN" w:bidi="ar-SA"/>
                    </w:rPr>
                    <w:t>0.534</w:t>
                  </w:r>
                </w:p>
              </w:tc>
              <w:tc>
                <w:tcPr>
                  <w:tcW w:w="51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sz w:val="21"/>
                      <w:szCs w:val="21"/>
                      <w:highlight w:val="none"/>
                      <w:vertAlign w:val="baseline"/>
                      <w:lang w:eastAsia="zh-CN"/>
                    </w:rPr>
                  </w:pPr>
                </w:p>
              </w:tc>
              <w:tc>
                <w:tcPr>
                  <w:tcW w:w="7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kern w:val="2"/>
                      <w:sz w:val="21"/>
                      <w:szCs w:val="21"/>
                      <w:highlight w:val="none"/>
                      <w:vertAlign w:val="baseline"/>
                      <w:lang w:val="en-US" w:eastAsia="zh-CN" w:bidi="ar-SA"/>
                    </w:rPr>
                  </w:pPr>
                  <w:r>
                    <w:rPr>
                      <w:rFonts w:hint="eastAsia" w:cs="Times New Roman"/>
                      <w:color w:val="0000FF"/>
                      <w:kern w:val="2"/>
                      <w:sz w:val="21"/>
                      <w:szCs w:val="21"/>
                      <w:highlight w:val="none"/>
                      <w:vertAlign w:val="baseline"/>
                      <w:lang w:val="en-US" w:eastAsia="zh-CN" w:bidi="ar-SA"/>
                    </w:rPr>
                    <w:t>49.93</w:t>
                  </w:r>
                </w:p>
              </w:tc>
              <w:tc>
                <w:tcPr>
                  <w:tcW w:w="7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kern w:val="2"/>
                      <w:sz w:val="21"/>
                      <w:szCs w:val="21"/>
                      <w:highlight w:val="none"/>
                      <w:vertAlign w:val="baseline"/>
                      <w:lang w:val="en-US" w:eastAsia="zh-CN" w:bidi="ar-SA"/>
                    </w:rPr>
                  </w:pPr>
                  <w:r>
                    <w:rPr>
                      <w:rFonts w:hint="eastAsia" w:cs="Times New Roman"/>
                      <w:color w:val="0000FF"/>
                      <w:kern w:val="2"/>
                      <w:sz w:val="21"/>
                      <w:szCs w:val="21"/>
                      <w:highlight w:val="none"/>
                      <w:vertAlign w:val="baseline"/>
                      <w:lang w:val="en-US" w:eastAsia="zh-CN" w:bidi="ar-SA"/>
                    </w:rPr>
                    <w:t>0.521</w:t>
                  </w:r>
                </w:p>
              </w:tc>
              <w:tc>
                <w:tcPr>
                  <w:tcW w:w="7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400</w:t>
                  </w:r>
                </w:p>
              </w:tc>
              <w:tc>
                <w:tcPr>
                  <w:tcW w:w="44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Cs/>
                <w:color w:val="auto"/>
                <w:sz w:val="24"/>
                <w:szCs w:val="24"/>
              </w:rPr>
            </w:pPr>
            <w:r>
              <w:rPr>
                <w:rFonts w:hint="eastAsia"/>
                <w:bCs/>
                <w:color w:val="auto"/>
                <w:sz w:val="24"/>
                <w:szCs w:val="24"/>
              </w:rPr>
              <w:t>（2）依托</w:t>
            </w:r>
            <w:r>
              <w:rPr>
                <w:rFonts w:hint="eastAsia"/>
                <w:bCs/>
                <w:color w:val="auto"/>
                <w:sz w:val="24"/>
                <w:szCs w:val="24"/>
                <w:lang w:eastAsia="zh-CN"/>
              </w:rPr>
              <w:t>海奥斯</w:t>
            </w:r>
            <w:r>
              <w:rPr>
                <w:rFonts w:hint="eastAsia"/>
                <w:bCs/>
                <w:color w:val="auto"/>
                <w:sz w:val="24"/>
                <w:szCs w:val="24"/>
              </w:rPr>
              <w:t>污水处理站的可行性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rPr>
            </w:pPr>
            <w:r>
              <w:rPr>
                <w:rFonts w:hint="eastAsia"/>
                <w:color w:val="auto"/>
                <w:sz w:val="24"/>
                <w:szCs w:val="24"/>
              </w:rPr>
              <w:t>①污水处理站基本情况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Cs/>
                <w:color w:val="auto"/>
                <w:sz w:val="24"/>
                <w:szCs w:val="24"/>
              </w:rPr>
            </w:pPr>
            <w:r>
              <w:rPr>
                <w:rFonts w:hint="eastAsia"/>
                <w:bCs/>
                <w:color w:val="auto"/>
                <w:sz w:val="24"/>
                <w:szCs w:val="24"/>
                <w:lang w:eastAsia="zh-CN"/>
              </w:rPr>
              <w:t>海奥斯</w:t>
            </w:r>
            <w:r>
              <w:rPr>
                <w:rFonts w:hint="eastAsia"/>
                <w:bCs/>
                <w:color w:val="auto"/>
                <w:sz w:val="24"/>
                <w:szCs w:val="24"/>
              </w:rPr>
              <w:t>现有污水处理站设计处理规模1500</w:t>
            </w:r>
            <w:r>
              <w:rPr>
                <w:bCs/>
                <w:color w:val="auto"/>
                <w:sz w:val="24"/>
                <w:szCs w:val="24"/>
              </w:rPr>
              <w:t>m</w:t>
            </w:r>
            <w:r>
              <w:rPr>
                <w:bCs/>
                <w:color w:val="auto"/>
                <w:sz w:val="24"/>
                <w:szCs w:val="24"/>
                <w:vertAlign w:val="superscript"/>
              </w:rPr>
              <w:t>3</w:t>
            </w:r>
            <w:r>
              <w:rPr>
                <w:bCs/>
                <w:color w:val="auto"/>
                <w:sz w:val="24"/>
                <w:szCs w:val="24"/>
              </w:rPr>
              <w:t>/d</w:t>
            </w:r>
            <w:r>
              <w:rPr>
                <w:rFonts w:hint="eastAsia"/>
                <w:bCs/>
                <w:color w:val="auto"/>
                <w:sz w:val="24"/>
                <w:szCs w:val="24"/>
              </w:rPr>
              <w:t>，目前处理规模约</w:t>
            </w:r>
            <w:r>
              <w:rPr>
                <w:rFonts w:hint="eastAsia"/>
                <w:bCs/>
                <w:color w:val="auto"/>
                <w:sz w:val="24"/>
                <w:szCs w:val="24"/>
                <w:lang w:val="en-US" w:eastAsia="zh-CN"/>
              </w:rPr>
              <w:t>900</w:t>
            </w:r>
            <w:r>
              <w:rPr>
                <w:bCs/>
                <w:color w:val="auto"/>
                <w:sz w:val="24"/>
                <w:szCs w:val="24"/>
              </w:rPr>
              <w:t>m</w:t>
            </w:r>
            <w:r>
              <w:rPr>
                <w:bCs/>
                <w:color w:val="auto"/>
                <w:sz w:val="24"/>
                <w:szCs w:val="24"/>
                <w:vertAlign w:val="superscript"/>
              </w:rPr>
              <w:t>3</w:t>
            </w:r>
            <w:r>
              <w:rPr>
                <w:bCs/>
                <w:color w:val="auto"/>
                <w:sz w:val="24"/>
                <w:szCs w:val="24"/>
              </w:rPr>
              <w:t>/d</w:t>
            </w:r>
            <w:r>
              <w:rPr>
                <w:rFonts w:hint="eastAsia"/>
                <w:bCs/>
                <w:color w:val="auto"/>
                <w:sz w:val="24"/>
                <w:szCs w:val="24"/>
              </w:rPr>
              <w:t>，</w:t>
            </w:r>
            <w:r>
              <w:rPr>
                <w:bCs/>
                <w:color w:val="auto"/>
                <w:sz w:val="24"/>
                <w:szCs w:val="24"/>
              </w:rPr>
              <w:t>采用</w:t>
            </w:r>
            <w:r>
              <w:rPr>
                <w:rFonts w:hint="eastAsia"/>
                <w:bCs/>
                <w:color w:val="auto"/>
                <w:sz w:val="24"/>
                <w:szCs w:val="24"/>
              </w:rPr>
              <w:t>“</w:t>
            </w:r>
            <w:r>
              <w:rPr>
                <w:bCs/>
                <w:color w:val="auto"/>
                <w:sz w:val="24"/>
                <w:szCs w:val="24"/>
              </w:rPr>
              <w:t>气浮</w:t>
            </w:r>
            <w:r>
              <w:rPr>
                <w:rFonts w:hint="eastAsia"/>
                <w:bCs/>
                <w:color w:val="auto"/>
                <w:sz w:val="24"/>
                <w:szCs w:val="24"/>
              </w:rPr>
              <w:t>+好氧”的处理工艺</w:t>
            </w:r>
            <w:r>
              <w:rPr>
                <w:bCs/>
                <w:color w:val="auto"/>
                <w:sz w:val="24"/>
                <w:szCs w:val="24"/>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color w:val="auto"/>
                <w:sz w:val="24"/>
                <w:szCs w:val="24"/>
              </w:rPr>
            </w:pPr>
            <w:r>
              <w:rPr>
                <w:rFonts w:hint="eastAsia"/>
                <w:color w:val="auto"/>
                <w:sz w:val="24"/>
                <w:szCs w:val="24"/>
              </w:rPr>
              <w:t>本工艺主要由格栅、酸碱处理、气浮、沉淀、好氧处理、砂滤、二沉池等处理单元组成，污水处理工艺流程见图：</w:t>
            </w:r>
          </w:p>
          <w:p>
            <w:pPr>
              <w:spacing w:line="720" w:lineRule="auto"/>
              <w:jc w:val="center"/>
              <w:rPr>
                <w:rFonts w:hint="eastAsia"/>
                <w:color w:val="auto"/>
              </w:rPr>
            </w:pPr>
            <w:r>
              <w:rPr>
                <w:color w:val="auto"/>
              </w:rPr>
              <w:object>
                <v:shape id="_x0000_i1035" o:spt="75" type="#_x0000_t75" style="height:168.25pt;width:378.8pt;" o:ole="t" filled="f" o:preferrelative="t" stroked="f" coordsize="21600,21600">
                  <v:path/>
                  <v:fill on="f" focussize="0,0"/>
                  <v:stroke on="f"/>
                  <v:imagedata r:id="rId32" o:title=""/>
                  <o:lock v:ext="edit" aspectratio="t"/>
                  <w10:wrap type="none"/>
                  <w10:anchorlock/>
                </v:shape>
                <o:OLEObject Type="Embed" ProgID="Visio.Drawing.11" ShapeID="_x0000_i1035" DrawAspect="Content" ObjectID="_1468075735" r:id="rId31">
                  <o:LockedField>false</o:LockedField>
                </o:OLEObject>
              </w:object>
            </w:r>
          </w:p>
          <w:p>
            <w:pPr>
              <w:spacing w:line="360" w:lineRule="auto"/>
              <w:jc w:val="center"/>
              <w:rPr>
                <w:color w:val="auto"/>
                <w:sz w:val="24"/>
                <w:szCs w:val="24"/>
              </w:rPr>
            </w:pPr>
            <w:r>
              <w:rPr>
                <w:rFonts w:hint="eastAsia" w:ascii="宋体" w:hAnsi="宋体"/>
                <w:b/>
                <w:color w:val="auto"/>
                <w:sz w:val="24"/>
                <w:szCs w:val="24"/>
              </w:rPr>
              <w:t>图</w:t>
            </w:r>
            <w:r>
              <w:rPr>
                <w:rFonts w:hint="eastAsia" w:ascii="宋体" w:hAnsi="宋体"/>
                <w:b/>
                <w:color w:val="auto"/>
                <w:sz w:val="24"/>
                <w:szCs w:val="24"/>
                <w:lang w:val="en-US" w:eastAsia="zh-CN"/>
              </w:rPr>
              <w:t>4-1</w:t>
            </w:r>
            <w:r>
              <w:rPr>
                <w:rFonts w:hint="eastAsia" w:ascii="宋体" w:hAnsi="宋体"/>
                <w:b/>
                <w:color w:val="auto"/>
                <w:sz w:val="24"/>
                <w:szCs w:val="24"/>
              </w:rPr>
              <w:t xml:space="preserve">  污水处理工艺流程图</w:t>
            </w:r>
          </w:p>
          <w:p>
            <w:pPr>
              <w:spacing w:line="360" w:lineRule="auto"/>
              <w:ind w:firstLine="480" w:firstLineChars="200"/>
              <w:rPr>
                <w:color w:val="auto"/>
                <w:sz w:val="24"/>
                <w:szCs w:val="24"/>
              </w:rPr>
            </w:pPr>
            <w:r>
              <w:rPr>
                <w:color w:val="auto"/>
                <w:sz w:val="24"/>
                <w:szCs w:val="24"/>
              </w:rPr>
              <w:t>a</w:t>
            </w:r>
            <w:r>
              <w:rPr>
                <w:rFonts w:hint="eastAsia"/>
                <w:color w:val="auto"/>
                <w:sz w:val="24"/>
                <w:szCs w:val="24"/>
              </w:rPr>
              <w:t>、格栅处理</w:t>
            </w:r>
          </w:p>
          <w:p>
            <w:pPr>
              <w:spacing w:line="360" w:lineRule="auto"/>
              <w:ind w:firstLine="480" w:firstLineChars="200"/>
              <w:rPr>
                <w:color w:val="auto"/>
                <w:sz w:val="24"/>
                <w:szCs w:val="24"/>
              </w:rPr>
            </w:pPr>
            <w:r>
              <w:rPr>
                <w:rFonts w:hint="eastAsia"/>
                <w:color w:val="auto"/>
                <w:sz w:val="24"/>
                <w:szCs w:val="24"/>
              </w:rPr>
              <w:t>通过格栅去除洗皮阶段带过来的碎牛皮等固体颗粒物，去除率96%以上。过滤出来的牛皮被回收至洗皮工序重新处理。</w:t>
            </w:r>
          </w:p>
          <w:p>
            <w:pPr>
              <w:spacing w:line="360" w:lineRule="auto"/>
              <w:ind w:firstLine="480" w:firstLineChars="200"/>
              <w:rPr>
                <w:color w:val="auto"/>
                <w:sz w:val="24"/>
                <w:szCs w:val="24"/>
              </w:rPr>
            </w:pPr>
            <w:r>
              <w:rPr>
                <w:color w:val="auto"/>
                <w:sz w:val="24"/>
                <w:szCs w:val="24"/>
              </w:rPr>
              <w:t>b</w:t>
            </w:r>
            <w:r>
              <w:rPr>
                <w:rFonts w:hint="eastAsia"/>
                <w:color w:val="auto"/>
                <w:sz w:val="24"/>
                <w:szCs w:val="24"/>
              </w:rPr>
              <w:t>、酸洗、碱洗处理</w:t>
            </w:r>
          </w:p>
          <w:p>
            <w:pPr>
              <w:spacing w:line="360" w:lineRule="auto"/>
              <w:ind w:firstLine="480" w:firstLineChars="200"/>
              <w:rPr>
                <w:color w:val="auto"/>
                <w:sz w:val="24"/>
                <w:szCs w:val="24"/>
              </w:rPr>
            </w:pPr>
            <w:r>
              <w:rPr>
                <w:rFonts w:hint="eastAsia"/>
                <w:color w:val="auto"/>
                <w:sz w:val="24"/>
                <w:szCs w:val="24"/>
              </w:rPr>
              <w:t>废水中含有较多的胶原等固体物料，为了后续工序更容易处理，增加污水的生化性能，通过酸洗和碱洗将大部分的胶原物质进行分解，处理后的废水进行中和。在中和池内污水得到匀质。</w:t>
            </w:r>
          </w:p>
          <w:p>
            <w:pPr>
              <w:spacing w:line="360" w:lineRule="auto"/>
              <w:ind w:firstLine="480" w:firstLineChars="200"/>
              <w:rPr>
                <w:color w:val="auto"/>
                <w:sz w:val="24"/>
                <w:szCs w:val="24"/>
              </w:rPr>
            </w:pPr>
            <w:r>
              <w:rPr>
                <w:rFonts w:ascii="宋体" w:hAnsi="宋体"/>
                <w:color w:val="auto"/>
                <w:sz w:val="24"/>
                <w:szCs w:val="24"/>
              </w:rPr>
              <w:t>c</w:t>
            </w:r>
            <w:r>
              <w:rPr>
                <w:rFonts w:hint="eastAsia" w:ascii="宋体" w:hAnsi="宋体"/>
                <w:color w:val="auto"/>
                <w:sz w:val="24"/>
                <w:szCs w:val="24"/>
              </w:rPr>
              <w:t>、</w:t>
            </w:r>
            <w:r>
              <w:rPr>
                <w:rFonts w:hint="eastAsia"/>
                <w:color w:val="auto"/>
                <w:sz w:val="24"/>
                <w:szCs w:val="24"/>
              </w:rPr>
              <w:t>气浮</w:t>
            </w:r>
          </w:p>
          <w:p>
            <w:pPr>
              <w:spacing w:line="360" w:lineRule="auto"/>
              <w:ind w:firstLine="480" w:firstLineChars="200"/>
              <w:rPr>
                <w:color w:val="auto"/>
                <w:sz w:val="24"/>
                <w:szCs w:val="24"/>
              </w:rPr>
            </w:pPr>
            <w:r>
              <w:rPr>
                <w:rFonts w:hint="eastAsia"/>
                <w:color w:val="auto"/>
                <w:sz w:val="24"/>
                <w:szCs w:val="24"/>
              </w:rPr>
              <w:t>酸洗后的污水含有较多的絮凝物，气浮机产生的小气泡在水中分散，通过小气泡将不沉降的絮凝物和熟石灰带至水面，通过气浮机顶部的刮泥片将固形物收集，固形物进入脱泥机后对污泥进一步浓缩，通过脱泥机后的污泥进行自然干燥，污泥装袋后外卖。气浮机底部污水进入下道工序处理。</w:t>
            </w:r>
          </w:p>
          <w:p>
            <w:pPr>
              <w:spacing w:line="360" w:lineRule="auto"/>
              <w:ind w:firstLine="480" w:firstLineChars="200"/>
              <w:rPr>
                <w:color w:val="auto"/>
                <w:sz w:val="24"/>
                <w:szCs w:val="24"/>
              </w:rPr>
            </w:pPr>
            <w:r>
              <w:rPr>
                <w:rFonts w:ascii="宋体" w:hAnsi="宋体"/>
                <w:color w:val="auto"/>
                <w:sz w:val="24"/>
                <w:szCs w:val="24"/>
              </w:rPr>
              <w:t>d</w:t>
            </w:r>
            <w:r>
              <w:rPr>
                <w:rFonts w:hint="eastAsia" w:ascii="宋体" w:hAnsi="宋体"/>
                <w:color w:val="auto"/>
                <w:sz w:val="24"/>
                <w:szCs w:val="24"/>
              </w:rPr>
              <w:t>、</w:t>
            </w:r>
            <w:r>
              <w:rPr>
                <w:rFonts w:hint="eastAsia"/>
                <w:color w:val="auto"/>
                <w:sz w:val="24"/>
                <w:szCs w:val="24"/>
              </w:rPr>
              <w:t>厌氧</w:t>
            </w:r>
          </w:p>
          <w:p>
            <w:pPr>
              <w:spacing w:line="360" w:lineRule="auto"/>
              <w:ind w:firstLine="480" w:firstLineChars="200"/>
              <w:rPr>
                <w:color w:val="auto"/>
                <w:sz w:val="24"/>
                <w:szCs w:val="24"/>
              </w:rPr>
            </w:pPr>
            <w:r>
              <w:rPr>
                <w:rFonts w:hint="eastAsia"/>
                <w:color w:val="auto"/>
                <w:sz w:val="24"/>
                <w:szCs w:val="24"/>
              </w:rPr>
              <w:t>废水进入厌氧池，利用厌氧菌的作用，使有机物发生水解，去除废水中的有机物，并提高污水的可生化性，有利于处理。</w:t>
            </w:r>
          </w:p>
          <w:p>
            <w:pPr>
              <w:spacing w:line="360" w:lineRule="auto"/>
              <w:ind w:firstLine="480" w:firstLineChars="200"/>
              <w:rPr>
                <w:color w:val="auto"/>
                <w:sz w:val="24"/>
                <w:szCs w:val="24"/>
              </w:rPr>
            </w:pPr>
            <w:r>
              <w:rPr>
                <w:rFonts w:ascii="宋体" w:hAnsi="宋体"/>
                <w:color w:val="auto"/>
                <w:sz w:val="24"/>
                <w:szCs w:val="24"/>
              </w:rPr>
              <w:t>e</w:t>
            </w:r>
            <w:r>
              <w:rPr>
                <w:rFonts w:hint="eastAsia" w:ascii="宋体" w:hAnsi="宋体"/>
                <w:color w:val="auto"/>
                <w:sz w:val="24"/>
                <w:szCs w:val="24"/>
              </w:rPr>
              <w:t>、</w:t>
            </w:r>
            <w:r>
              <w:rPr>
                <w:rFonts w:hint="eastAsia"/>
                <w:color w:val="auto"/>
                <w:sz w:val="24"/>
                <w:szCs w:val="24"/>
              </w:rPr>
              <w:t>缺氧</w:t>
            </w:r>
          </w:p>
          <w:p>
            <w:pPr>
              <w:spacing w:line="360" w:lineRule="auto"/>
              <w:ind w:firstLine="480" w:firstLineChars="200"/>
              <w:rPr>
                <w:color w:val="auto"/>
                <w:sz w:val="24"/>
                <w:szCs w:val="24"/>
              </w:rPr>
            </w:pPr>
            <w:r>
              <w:rPr>
                <w:rFonts w:hint="eastAsia"/>
                <w:color w:val="auto"/>
                <w:sz w:val="24"/>
                <w:szCs w:val="24"/>
              </w:rPr>
              <w:t>废水进入缺氧池，进一步处理水中较大的分子的有机物，提高废水的可生化性，有利于好氧处理。</w:t>
            </w:r>
          </w:p>
          <w:p>
            <w:pPr>
              <w:spacing w:line="360" w:lineRule="auto"/>
              <w:ind w:firstLine="480" w:firstLineChars="200"/>
              <w:rPr>
                <w:color w:val="auto"/>
                <w:sz w:val="24"/>
                <w:szCs w:val="24"/>
              </w:rPr>
            </w:pPr>
            <w:r>
              <w:rPr>
                <w:rFonts w:ascii="宋体" w:hAnsi="宋体"/>
                <w:color w:val="auto"/>
                <w:sz w:val="24"/>
                <w:szCs w:val="24"/>
              </w:rPr>
              <w:t>f</w:t>
            </w:r>
            <w:r>
              <w:rPr>
                <w:rFonts w:hint="eastAsia" w:ascii="宋体" w:hAnsi="宋体"/>
                <w:color w:val="auto"/>
                <w:sz w:val="24"/>
                <w:szCs w:val="24"/>
              </w:rPr>
              <w:t>、</w:t>
            </w:r>
            <w:r>
              <w:rPr>
                <w:rFonts w:hint="eastAsia"/>
                <w:color w:val="auto"/>
                <w:sz w:val="24"/>
                <w:szCs w:val="24"/>
              </w:rPr>
              <w:t>好氧处理</w:t>
            </w:r>
          </w:p>
          <w:p>
            <w:pPr>
              <w:spacing w:line="360" w:lineRule="auto"/>
              <w:ind w:firstLine="480" w:firstLineChars="200"/>
              <w:rPr>
                <w:color w:val="auto"/>
                <w:sz w:val="24"/>
                <w:szCs w:val="24"/>
              </w:rPr>
            </w:pPr>
            <w:r>
              <w:rPr>
                <w:rFonts w:hint="eastAsia"/>
                <w:color w:val="auto"/>
                <w:sz w:val="24"/>
                <w:szCs w:val="24"/>
              </w:rPr>
              <w:t>本项目采用接触氧化法，在好氧池内将污水进行充分的曝气处理，池内盛有污泥填料。在好氧池内，COD、BOD</w:t>
            </w:r>
            <w:r>
              <w:rPr>
                <w:rFonts w:hint="eastAsia"/>
                <w:color w:val="auto"/>
                <w:sz w:val="24"/>
                <w:szCs w:val="24"/>
                <w:vertAlign w:val="subscript"/>
              </w:rPr>
              <w:t>5</w:t>
            </w:r>
            <w:r>
              <w:rPr>
                <w:rFonts w:hint="eastAsia"/>
                <w:color w:val="auto"/>
                <w:sz w:val="24"/>
                <w:szCs w:val="24"/>
              </w:rPr>
              <w:t>、氨氮等指标被大幅度降解，好氧出水COD控制在150mg/L以下。</w:t>
            </w:r>
          </w:p>
          <w:p>
            <w:pPr>
              <w:spacing w:line="360" w:lineRule="auto"/>
              <w:ind w:firstLine="480" w:firstLineChars="200"/>
              <w:rPr>
                <w:color w:val="auto"/>
                <w:sz w:val="24"/>
                <w:szCs w:val="24"/>
              </w:rPr>
            </w:pPr>
            <w:r>
              <w:rPr>
                <w:rFonts w:ascii="宋体" w:hAnsi="宋体"/>
                <w:color w:val="auto"/>
                <w:sz w:val="24"/>
                <w:szCs w:val="24"/>
              </w:rPr>
              <w:t>g</w:t>
            </w:r>
            <w:r>
              <w:rPr>
                <w:rFonts w:hint="eastAsia" w:ascii="宋体" w:hAnsi="宋体"/>
                <w:color w:val="auto"/>
                <w:sz w:val="24"/>
                <w:szCs w:val="24"/>
              </w:rPr>
              <w:t>、</w:t>
            </w:r>
            <w:r>
              <w:rPr>
                <w:rFonts w:hint="eastAsia"/>
                <w:color w:val="auto"/>
                <w:sz w:val="24"/>
                <w:szCs w:val="24"/>
              </w:rPr>
              <w:t>沉淀池</w:t>
            </w:r>
          </w:p>
          <w:p>
            <w:pPr>
              <w:spacing w:line="360" w:lineRule="auto"/>
              <w:ind w:firstLine="480" w:firstLineChars="200"/>
              <w:rPr>
                <w:color w:val="auto"/>
                <w:sz w:val="24"/>
                <w:szCs w:val="24"/>
              </w:rPr>
            </w:pPr>
            <w:r>
              <w:rPr>
                <w:rFonts w:hint="eastAsia"/>
                <w:color w:val="auto"/>
                <w:sz w:val="24"/>
                <w:szCs w:val="24"/>
              </w:rPr>
              <w:t>好氧池处理后的污水溢流进入加药池，经处理后的污水含有较多的污泥及絮凝物，通过加入PAM絮凝剂，将污泥进一步浓缩，浓缩后的污泥流入二沉池，在二沉池内污泥絮凝和沉淀。清水从顶部流出进入下道工序，底部的污泥被泵送回好氧池，以补充流失的污泥。</w:t>
            </w:r>
          </w:p>
          <w:p>
            <w:pPr>
              <w:adjustRightInd w:val="0"/>
              <w:snapToGrid w:val="0"/>
              <w:spacing w:line="360" w:lineRule="auto"/>
              <w:ind w:firstLine="480" w:firstLineChars="200"/>
              <w:rPr>
                <w:rFonts w:hint="eastAsia"/>
                <w:color w:val="auto"/>
                <w:sz w:val="24"/>
                <w:szCs w:val="24"/>
              </w:rPr>
            </w:pPr>
            <w:r>
              <w:rPr>
                <w:rFonts w:hint="eastAsia"/>
                <w:color w:val="auto"/>
                <w:sz w:val="24"/>
                <w:szCs w:val="24"/>
              </w:rPr>
              <w:t>②依托污水处理站可行性</w:t>
            </w:r>
          </w:p>
          <w:p>
            <w:pPr>
              <w:adjustRightInd w:val="0"/>
              <w:snapToGrid w:val="0"/>
              <w:spacing w:line="360" w:lineRule="auto"/>
              <w:ind w:firstLine="480" w:firstLineChars="200"/>
              <w:rPr>
                <w:rFonts w:hint="eastAsia"/>
                <w:bCs/>
                <w:color w:val="auto"/>
                <w:sz w:val="24"/>
                <w:szCs w:val="24"/>
              </w:rPr>
            </w:pPr>
            <w:r>
              <w:rPr>
                <w:rFonts w:hint="eastAsia"/>
                <w:color w:val="auto"/>
                <w:sz w:val="24"/>
                <w:szCs w:val="24"/>
              </w:rPr>
              <w:t>根据企业在线监测数据，</w:t>
            </w:r>
            <w:r>
              <w:rPr>
                <w:rFonts w:hint="eastAsia"/>
                <w:color w:val="auto"/>
                <w:sz w:val="24"/>
                <w:szCs w:val="24"/>
                <w:lang w:eastAsia="zh-CN"/>
              </w:rPr>
              <w:t>海奥斯</w:t>
            </w:r>
            <w:r>
              <w:rPr>
                <w:rFonts w:hint="eastAsia"/>
                <w:bCs/>
                <w:color w:val="auto"/>
                <w:sz w:val="24"/>
                <w:szCs w:val="24"/>
              </w:rPr>
              <w:t>现有污水处理站外排废水水质能够满足</w:t>
            </w:r>
            <w:r>
              <w:rPr>
                <w:color w:val="auto"/>
                <w:sz w:val="24"/>
                <w:szCs w:val="24"/>
              </w:rPr>
              <w:t>《污水排入城镇下水道水质标准》（GB/T31962-2015）表1中B等级标准</w:t>
            </w:r>
            <w:r>
              <w:rPr>
                <w:rFonts w:hint="eastAsia"/>
                <w:color w:val="auto"/>
                <w:sz w:val="24"/>
                <w:szCs w:val="24"/>
              </w:rPr>
              <w:t>，项目产生的废水水质与厂区现有废水水质一致，可以满足污水处理站的设计进水要求，不会对污水处理厂的工艺负荷造成冲击；本项目废水排污为</w:t>
            </w:r>
            <w:r>
              <w:rPr>
                <w:rFonts w:hint="eastAsia"/>
                <w:color w:val="0000FF"/>
                <w:sz w:val="24"/>
                <w:szCs w:val="24"/>
                <w:lang w:val="en-US" w:eastAsia="zh-CN"/>
              </w:rPr>
              <w:t>34.79</w:t>
            </w:r>
            <w:r>
              <w:rPr>
                <w:rFonts w:hint="eastAsia"/>
                <w:color w:val="auto"/>
                <w:sz w:val="24"/>
                <w:szCs w:val="24"/>
              </w:rPr>
              <w:t>m</w:t>
            </w:r>
            <w:r>
              <w:rPr>
                <w:rFonts w:hint="eastAsia"/>
                <w:color w:val="auto"/>
                <w:sz w:val="24"/>
                <w:szCs w:val="24"/>
                <w:vertAlign w:val="superscript"/>
              </w:rPr>
              <w:t>3</w:t>
            </w:r>
            <w:r>
              <w:rPr>
                <w:rFonts w:hint="eastAsia"/>
                <w:color w:val="auto"/>
                <w:sz w:val="24"/>
                <w:szCs w:val="24"/>
              </w:rPr>
              <w:t>/d，污水处理站尚有</w:t>
            </w:r>
            <w:r>
              <w:rPr>
                <w:rFonts w:hint="eastAsia"/>
                <w:color w:val="auto"/>
                <w:sz w:val="24"/>
                <w:szCs w:val="24"/>
                <w:lang w:val="en-US" w:eastAsia="zh-CN"/>
              </w:rPr>
              <w:t>600</w:t>
            </w:r>
            <w:r>
              <w:rPr>
                <w:rFonts w:hint="eastAsia"/>
                <w:color w:val="auto"/>
                <w:sz w:val="24"/>
                <w:szCs w:val="24"/>
              </w:rPr>
              <w:t>m</w:t>
            </w:r>
            <w:r>
              <w:rPr>
                <w:rFonts w:hint="eastAsia"/>
                <w:color w:val="auto"/>
                <w:sz w:val="24"/>
                <w:szCs w:val="24"/>
                <w:vertAlign w:val="superscript"/>
              </w:rPr>
              <w:t>3</w:t>
            </w:r>
            <w:r>
              <w:rPr>
                <w:rFonts w:hint="eastAsia"/>
                <w:color w:val="auto"/>
                <w:sz w:val="24"/>
                <w:szCs w:val="24"/>
              </w:rPr>
              <w:t>/d的处理余量，完全可以接纳本项目产生的废水。</w:t>
            </w:r>
          </w:p>
          <w:p>
            <w:pPr>
              <w:adjustRightInd w:val="0"/>
              <w:snapToGrid w:val="0"/>
              <w:spacing w:line="360" w:lineRule="auto"/>
              <w:ind w:firstLine="480" w:firstLineChars="200"/>
              <w:rPr>
                <w:rFonts w:hint="eastAsia"/>
                <w:bCs/>
                <w:color w:val="auto"/>
                <w:sz w:val="24"/>
                <w:szCs w:val="24"/>
              </w:rPr>
            </w:pPr>
            <w:r>
              <w:rPr>
                <w:rFonts w:hint="eastAsia"/>
                <w:bCs/>
                <w:color w:val="auto"/>
                <w:sz w:val="24"/>
                <w:szCs w:val="24"/>
              </w:rPr>
              <w:t>（3）依托开发区污水处理厂的可行性</w:t>
            </w:r>
          </w:p>
          <w:p>
            <w:pPr>
              <w:pStyle w:val="44"/>
              <w:spacing w:line="360" w:lineRule="auto"/>
              <w:ind w:firstLine="440"/>
              <w:rPr>
                <w:rFonts w:hint="eastAsia"/>
                <w:color w:val="auto"/>
                <w:sz w:val="24"/>
                <w:szCs w:val="24"/>
                <w:lang w:val="en-US" w:eastAsia="zh-CN"/>
              </w:rPr>
            </w:pPr>
            <w:r>
              <w:rPr>
                <w:rFonts w:hint="eastAsia"/>
                <w:color w:val="auto"/>
                <w:sz w:val="24"/>
                <w:szCs w:val="24"/>
                <w:lang w:val="en-US" w:eastAsia="zh-CN"/>
              </w:rPr>
              <w:t>光大水务（淄博）有限公司水质净化三分厂是以BOT形式承建的，位于淄博市高新区罗斜村西北，猪龙河东岸，占地面积12公顷，总投资17062.64万元。于2006年10月11日开工建设，2007年3月31日正式通水，2008年4月底通过环保验收，该污水厂采用改良的A</w:t>
            </w:r>
            <w:r>
              <w:rPr>
                <w:rFonts w:hint="eastAsia"/>
                <w:color w:val="auto"/>
                <w:sz w:val="24"/>
                <w:szCs w:val="24"/>
                <w:vertAlign w:val="superscript"/>
                <w:lang w:val="en-US" w:eastAsia="zh-CN"/>
              </w:rPr>
              <w:t>2</w:t>
            </w:r>
            <w:r>
              <w:rPr>
                <w:rFonts w:hint="eastAsia"/>
                <w:color w:val="auto"/>
                <w:sz w:val="24"/>
                <w:szCs w:val="24"/>
                <w:lang w:val="en-US" w:eastAsia="zh-CN"/>
              </w:rPr>
              <w:t>O处理工艺，出水执行《城镇污水处理厂污染物排放标准》（GB18918-2002）一级A标准，</w:t>
            </w:r>
            <w:r>
              <w:rPr>
                <w:color w:val="auto"/>
                <w:sz w:val="24"/>
                <w:szCs w:val="24"/>
                <w:lang w:val="en-US" w:eastAsia="zh-CN"/>
              </w:rPr>
              <w:t>目前排水水质远远优于一级A标准</w:t>
            </w:r>
            <w:r>
              <w:rPr>
                <w:rFonts w:hint="eastAsia"/>
                <w:color w:val="auto"/>
                <w:sz w:val="24"/>
                <w:szCs w:val="24"/>
                <w:lang w:val="en-US" w:eastAsia="zh-CN"/>
              </w:rPr>
              <w:t>，处理淄博高新区部分废水和桓台经济开发区废水</w:t>
            </w:r>
            <w:r>
              <w:rPr>
                <w:rFonts w:hint="eastAsia"/>
                <w:color w:val="auto"/>
                <w:sz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b/>
                <w:color w:val="auto"/>
                <w:kern w:val="0"/>
                <w:sz w:val="24"/>
                <w:szCs w:val="24"/>
              </w:rPr>
            </w:pPr>
            <w:r>
              <w:rPr>
                <w:b/>
                <w:color w:val="auto"/>
                <w:kern w:val="0"/>
                <w:sz w:val="24"/>
                <w:szCs w:val="24"/>
              </w:rPr>
              <w:t>表</w:t>
            </w:r>
            <w:r>
              <w:rPr>
                <w:rFonts w:hint="eastAsia"/>
                <w:b/>
                <w:color w:val="auto"/>
                <w:kern w:val="0"/>
                <w:sz w:val="24"/>
                <w:szCs w:val="24"/>
                <w:lang w:val="en-US" w:eastAsia="zh-CN"/>
              </w:rPr>
              <w:t>42</w:t>
            </w:r>
            <w:r>
              <w:rPr>
                <w:b/>
                <w:color w:val="auto"/>
                <w:kern w:val="0"/>
                <w:sz w:val="24"/>
                <w:szCs w:val="24"/>
              </w:rPr>
              <w:t xml:space="preserve"> </w:t>
            </w:r>
            <w:r>
              <w:rPr>
                <w:rFonts w:hint="eastAsia"/>
                <w:b/>
                <w:color w:val="auto"/>
                <w:kern w:val="0"/>
                <w:sz w:val="24"/>
                <w:szCs w:val="24"/>
              </w:rPr>
              <w:t>光大水务</w:t>
            </w:r>
            <w:r>
              <w:rPr>
                <w:b/>
                <w:color w:val="auto"/>
                <w:kern w:val="0"/>
                <w:sz w:val="24"/>
                <w:szCs w:val="24"/>
              </w:rPr>
              <w:t>在线监测数据</w:t>
            </w:r>
          </w:p>
          <w:tbl>
            <w:tblPr>
              <w:tblStyle w:val="20"/>
              <w:tblW w:w="793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350"/>
              <w:gridCol w:w="1119"/>
              <w:gridCol w:w="1119"/>
              <w:gridCol w:w="1"/>
              <w:gridCol w:w="1118"/>
              <w:gridCol w:w="1122"/>
              <w:gridCol w:w="1054"/>
              <w:gridCol w:w="105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135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tLeast"/>
                    <w:jc w:val="center"/>
                    <w:textAlignment w:val="auto"/>
                    <w:rPr>
                      <w:color w:val="auto"/>
                      <w:kern w:val="0"/>
                      <w:sz w:val="21"/>
                      <w:szCs w:val="21"/>
                    </w:rPr>
                  </w:pPr>
                  <w:r>
                    <w:rPr>
                      <w:color w:val="auto"/>
                      <w:kern w:val="0"/>
                      <w:sz w:val="21"/>
                      <w:szCs w:val="21"/>
                    </w:rPr>
                    <w:t>时间</w:t>
                  </w:r>
                </w:p>
              </w:tc>
              <w:tc>
                <w:tcPr>
                  <w:tcW w:w="2239"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tLeast"/>
                    <w:jc w:val="center"/>
                    <w:textAlignment w:val="auto"/>
                    <w:rPr>
                      <w:color w:val="auto"/>
                      <w:kern w:val="0"/>
                      <w:sz w:val="21"/>
                      <w:szCs w:val="21"/>
                    </w:rPr>
                  </w:pPr>
                  <w:r>
                    <w:rPr>
                      <w:color w:val="auto"/>
                      <w:kern w:val="0"/>
                      <w:sz w:val="21"/>
                      <w:szCs w:val="21"/>
                    </w:rPr>
                    <w:t>化学需氧量</w:t>
                  </w:r>
                </w:p>
              </w:tc>
              <w:tc>
                <w:tcPr>
                  <w:tcW w:w="2240"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tLeast"/>
                    <w:jc w:val="center"/>
                    <w:textAlignment w:val="auto"/>
                    <w:rPr>
                      <w:color w:val="auto"/>
                      <w:kern w:val="0"/>
                      <w:sz w:val="21"/>
                      <w:szCs w:val="21"/>
                    </w:rPr>
                  </w:pPr>
                  <w:r>
                    <w:rPr>
                      <w:color w:val="auto"/>
                      <w:kern w:val="0"/>
                      <w:sz w:val="21"/>
                      <w:szCs w:val="21"/>
                    </w:rPr>
                    <w:t>氨氮</w:t>
                  </w:r>
                </w:p>
              </w:tc>
              <w:tc>
                <w:tcPr>
                  <w:tcW w:w="105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tLeast"/>
                    <w:jc w:val="center"/>
                    <w:textAlignment w:val="auto"/>
                    <w:rPr>
                      <w:color w:val="auto"/>
                      <w:kern w:val="0"/>
                      <w:sz w:val="21"/>
                      <w:szCs w:val="21"/>
                    </w:rPr>
                  </w:pPr>
                  <w:r>
                    <w:rPr>
                      <w:color w:val="auto"/>
                      <w:kern w:val="0"/>
                      <w:sz w:val="21"/>
                      <w:szCs w:val="21"/>
                    </w:rPr>
                    <w:t>总磷(mg/L)</w:t>
                  </w:r>
                </w:p>
              </w:tc>
              <w:tc>
                <w:tcPr>
                  <w:tcW w:w="105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tLeast"/>
                    <w:jc w:val="center"/>
                    <w:textAlignment w:val="auto"/>
                    <w:rPr>
                      <w:color w:val="auto"/>
                      <w:kern w:val="0"/>
                      <w:sz w:val="21"/>
                      <w:szCs w:val="21"/>
                    </w:rPr>
                  </w:pPr>
                  <w:r>
                    <w:rPr>
                      <w:color w:val="auto"/>
                      <w:kern w:val="0"/>
                      <w:sz w:val="21"/>
                      <w:szCs w:val="21"/>
                    </w:rPr>
                    <w:t>总氮(mg/L)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135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tLeast"/>
                    <w:jc w:val="left"/>
                    <w:textAlignment w:val="auto"/>
                    <w:rPr>
                      <w:color w:val="auto"/>
                      <w:kern w:val="0"/>
                      <w:sz w:val="21"/>
                      <w:szCs w:val="21"/>
                    </w:rPr>
                  </w:pPr>
                </w:p>
              </w:tc>
              <w:tc>
                <w:tcPr>
                  <w:tcW w:w="11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tLeast"/>
                    <w:jc w:val="center"/>
                    <w:textAlignment w:val="auto"/>
                    <w:rPr>
                      <w:color w:val="auto"/>
                      <w:kern w:val="0"/>
                      <w:sz w:val="21"/>
                      <w:szCs w:val="21"/>
                    </w:rPr>
                  </w:pPr>
                  <w:r>
                    <w:rPr>
                      <w:color w:val="auto"/>
                      <w:kern w:val="0"/>
                      <w:sz w:val="21"/>
                      <w:szCs w:val="21"/>
                    </w:rPr>
                    <w:t>浓度</w:t>
                  </w:r>
                </w:p>
              </w:tc>
              <w:tc>
                <w:tcPr>
                  <w:tcW w:w="11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tLeast"/>
                    <w:jc w:val="center"/>
                    <w:textAlignment w:val="auto"/>
                    <w:rPr>
                      <w:color w:val="auto"/>
                      <w:kern w:val="0"/>
                      <w:sz w:val="21"/>
                      <w:szCs w:val="21"/>
                    </w:rPr>
                  </w:pPr>
                  <w:r>
                    <w:rPr>
                      <w:color w:val="auto"/>
                      <w:kern w:val="0"/>
                      <w:sz w:val="21"/>
                      <w:szCs w:val="21"/>
                    </w:rPr>
                    <w:t>排放量</w:t>
                  </w:r>
                </w:p>
              </w:tc>
              <w:tc>
                <w:tcPr>
                  <w:tcW w:w="111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tLeast"/>
                    <w:jc w:val="center"/>
                    <w:textAlignment w:val="auto"/>
                    <w:rPr>
                      <w:color w:val="auto"/>
                      <w:kern w:val="0"/>
                      <w:sz w:val="21"/>
                      <w:szCs w:val="21"/>
                    </w:rPr>
                  </w:pPr>
                  <w:r>
                    <w:rPr>
                      <w:color w:val="auto"/>
                      <w:kern w:val="0"/>
                      <w:sz w:val="21"/>
                      <w:szCs w:val="21"/>
                    </w:rPr>
                    <w:t>浓度</w:t>
                  </w:r>
                </w:p>
              </w:tc>
              <w:tc>
                <w:tcPr>
                  <w:tcW w:w="11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tLeast"/>
                    <w:jc w:val="center"/>
                    <w:textAlignment w:val="auto"/>
                    <w:rPr>
                      <w:color w:val="auto"/>
                      <w:kern w:val="0"/>
                      <w:sz w:val="21"/>
                      <w:szCs w:val="21"/>
                    </w:rPr>
                  </w:pPr>
                  <w:r>
                    <w:rPr>
                      <w:color w:val="auto"/>
                      <w:kern w:val="0"/>
                      <w:sz w:val="21"/>
                      <w:szCs w:val="21"/>
                    </w:rPr>
                    <w:t>排放量</w:t>
                  </w:r>
                </w:p>
              </w:tc>
              <w:tc>
                <w:tcPr>
                  <w:tcW w:w="105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tLeast"/>
                    <w:jc w:val="left"/>
                    <w:textAlignment w:val="auto"/>
                    <w:rPr>
                      <w:color w:val="auto"/>
                      <w:kern w:val="0"/>
                      <w:sz w:val="21"/>
                      <w:szCs w:val="21"/>
                    </w:rPr>
                  </w:pPr>
                </w:p>
              </w:tc>
              <w:tc>
                <w:tcPr>
                  <w:tcW w:w="105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tLeast"/>
                    <w:jc w:val="left"/>
                    <w:textAlignment w:val="auto"/>
                    <w:rPr>
                      <w:color w:val="auto"/>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135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tLeast"/>
                    <w:jc w:val="left"/>
                    <w:textAlignment w:val="auto"/>
                    <w:rPr>
                      <w:color w:val="auto"/>
                      <w:kern w:val="0"/>
                      <w:sz w:val="21"/>
                      <w:szCs w:val="21"/>
                    </w:rPr>
                  </w:pPr>
                </w:p>
              </w:tc>
              <w:tc>
                <w:tcPr>
                  <w:tcW w:w="11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tLeast"/>
                    <w:jc w:val="center"/>
                    <w:textAlignment w:val="auto"/>
                    <w:rPr>
                      <w:color w:val="auto"/>
                      <w:kern w:val="0"/>
                      <w:sz w:val="21"/>
                      <w:szCs w:val="21"/>
                    </w:rPr>
                  </w:pPr>
                  <w:r>
                    <w:rPr>
                      <w:color w:val="auto"/>
                      <w:kern w:val="0"/>
                      <w:sz w:val="21"/>
                      <w:szCs w:val="21"/>
                    </w:rPr>
                    <w:t>(mg/L)</w:t>
                  </w:r>
                </w:p>
              </w:tc>
              <w:tc>
                <w:tcPr>
                  <w:tcW w:w="11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tLeast"/>
                    <w:jc w:val="center"/>
                    <w:textAlignment w:val="auto"/>
                    <w:rPr>
                      <w:color w:val="auto"/>
                      <w:kern w:val="0"/>
                      <w:sz w:val="21"/>
                      <w:szCs w:val="21"/>
                    </w:rPr>
                  </w:pPr>
                  <w:r>
                    <w:rPr>
                      <w:color w:val="auto"/>
                      <w:kern w:val="0"/>
                      <w:sz w:val="21"/>
                      <w:szCs w:val="21"/>
                    </w:rPr>
                    <w:t>(t)</w:t>
                  </w:r>
                </w:p>
              </w:tc>
              <w:tc>
                <w:tcPr>
                  <w:tcW w:w="111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tLeast"/>
                    <w:jc w:val="center"/>
                    <w:textAlignment w:val="auto"/>
                    <w:rPr>
                      <w:color w:val="auto"/>
                      <w:kern w:val="0"/>
                      <w:sz w:val="21"/>
                      <w:szCs w:val="21"/>
                    </w:rPr>
                  </w:pPr>
                  <w:r>
                    <w:rPr>
                      <w:color w:val="auto"/>
                      <w:kern w:val="0"/>
                      <w:sz w:val="21"/>
                      <w:szCs w:val="21"/>
                    </w:rPr>
                    <w:t>(mg/L)</w:t>
                  </w:r>
                </w:p>
              </w:tc>
              <w:tc>
                <w:tcPr>
                  <w:tcW w:w="11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tLeast"/>
                    <w:jc w:val="center"/>
                    <w:textAlignment w:val="auto"/>
                    <w:rPr>
                      <w:color w:val="auto"/>
                      <w:kern w:val="0"/>
                      <w:sz w:val="21"/>
                      <w:szCs w:val="21"/>
                    </w:rPr>
                  </w:pPr>
                  <w:r>
                    <w:rPr>
                      <w:color w:val="auto"/>
                      <w:kern w:val="0"/>
                      <w:sz w:val="21"/>
                      <w:szCs w:val="21"/>
                    </w:rPr>
                    <w:t>(t)</w:t>
                  </w:r>
                </w:p>
              </w:tc>
              <w:tc>
                <w:tcPr>
                  <w:tcW w:w="105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tLeast"/>
                    <w:jc w:val="left"/>
                    <w:textAlignment w:val="auto"/>
                    <w:rPr>
                      <w:color w:val="auto"/>
                      <w:kern w:val="0"/>
                      <w:sz w:val="21"/>
                      <w:szCs w:val="21"/>
                    </w:rPr>
                  </w:pPr>
                </w:p>
              </w:tc>
              <w:tc>
                <w:tcPr>
                  <w:tcW w:w="105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tLeast"/>
                    <w:jc w:val="left"/>
                    <w:textAlignment w:val="auto"/>
                    <w:rPr>
                      <w:color w:val="auto"/>
                      <w:kern w:val="0"/>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13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tLeast"/>
                    <w:jc w:val="center"/>
                    <w:textAlignment w:val="auto"/>
                    <w:rPr>
                      <w:color w:val="auto"/>
                      <w:kern w:val="0"/>
                      <w:sz w:val="21"/>
                      <w:szCs w:val="21"/>
                    </w:rPr>
                  </w:pPr>
                  <w:r>
                    <w:rPr>
                      <w:color w:val="auto"/>
                      <w:kern w:val="0"/>
                      <w:sz w:val="21"/>
                      <w:szCs w:val="21"/>
                    </w:rPr>
                    <w:t>2021-01</w:t>
                  </w:r>
                </w:p>
              </w:tc>
              <w:tc>
                <w:tcPr>
                  <w:tcW w:w="111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18.4</w:t>
                  </w:r>
                </w:p>
              </w:tc>
              <w:tc>
                <w:tcPr>
                  <w:tcW w:w="111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65.8</w:t>
                  </w:r>
                </w:p>
              </w:tc>
              <w:tc>
                <w:tcPr>
                  <w:tcW w:w="1119"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0.0297</w:t>
                  </w:r>
                </w:p>
              </w:tc>
              <w:tc>
                <w:tcPr>
                  <w:tcW w:w="11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0.106</w:t>
                  </w:r>
                </w:p>
              </w:tc>
              <w:tc>
                <w:tcPr>
                  <w:tcW w:w="105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0.027</w:t>
                  </w:r>
                </w:p>
              </w:tc>
              <w:tc>
                <w:tcPr>
                  <w:tcW w:w="105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10.9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13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tLeast"/>
                    <w:jc w:val="center"/>
                    <w:textAlignment w:val="auto"/>
                    <w:rPr>
                      <w:color w:val="auto"/>
                      <w:kern w:val="0"/>
                      <w:sz w:val="21"/>
                      <w:szCs w:val="21"/>
                    </w:rPr>
                  </w:pPr>
                  <w:r>
                    <w:rPr>
                      <w:color w:val="auto"/>
                      <w:kern w:val="0"/>
                      <w:sz w:val="21"/>
                      <w:szCs w:val="21"/>
                    </w:rPr>
                    <w:t>2021-02</w:t>
                  </w:r>
                </w:p>
              </w:tc>
              <w:tc>
                <w:tcPr>
                  <w:tcW w:w="111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16.5</w:t>
                  </w:r>
                </w:p>
              </w:tc>
              <w:tc>
                <w:tcPr>
                  <w:tcW w:w="111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49.1</w:t>
                  </w:r>
                </w:p>
              </w:tc>
              <w:tc>
                <w:tcPr>
                  <w:tcW w:w="1119"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0.0339</w:t>
                  </w:r>
                </w:p>
              </w:tc>
              <w:tc>
                <w:tcPr>
                  <w:tcW w:w="11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0.102</w:t>
                  </w:r>
                </w:p>
              </w:tc>
              <w:tc>
                <w:tcPr>
                  <w:tcW w:w="105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0.03</w:t>
                  </w:r>
                </w:p>
              </w:tc>
              <w:tc>
                <w:tcPr>
                  <w:tcW w:w="105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11.6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13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tLeast"/>
                    <w:jc w:val="center"/>
                    <w:textAlignment w:val="auto"/>
                    <w:rPr>
                      <w:color w:val="auto"/>
                      <w:kern w:val="0"/>
                      <w:sz w:val="21"/>
                      <w:szCs w:val="21"/>
                    </w:rPr>
                  </w:pPr>
                  <w:r>
                    <w:rPr>
                      <w:color w:val="auto"/>
                      <w:kern w:val="0"/>
                      <w:sz w:val="21"/>
                      <w:szCs w:val="21"/>
                    </w:rPr>
                    <w:t>2021-03</w:t>
                  </w:r>
                </w:p>
              </w:tc>
              <w:tc>
                <w:tcPr>
                  <w:tcW w:w="111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18</w:t>
                  </w:r>
                </w:p>
              </w:tc>
              <w:tc>
                <w:tcPr>
                  <w:tcW w:w="111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59.7</w:t>
                  </w:r>
                </w:p>
              </w:tc>
              <w:tc>
                <w:tcPr>
                  <w:tcW w:w="1119"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0.0367</w:t>
                  </w:r>
                </w:p>
              </w:tc>
              <w:tc>
                <w:tcPr>
                  <w:tcW w:w="11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0.119</w:t>
                  </w:r>
                </w:p>
              </w:tc>
              <w:tc>
                <w:tcPr>
                  <w:tcW w:w="105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0.0361</w:t>
                  </w:r>
                </w:p>
              </w:tc>
              <w:tc>
                <w:tcPr>
                  <w:tcW w:w="105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11.9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13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tLeast"/>
                    <w:jc w:val="center"/>
                    <w:textAlignment w:val="auto"/>
                    <w:rPr>
                      <w:color w:val="auto"/>
                      <w:kern w:val="0"/>
                      <w:sz w:val="21"/>
                      <w:szCs w:val="21"/>
                    </w:rPr>
                  </w:pPr>
                  <w:r>
                    <w:rPr>
                      <w:color w:val="auto"/>
                      <w:kern w:val="0"/>
                      <w:sz w:val="21"/>
                      <w:szCs w:val="21"/>
                    </w:rPr>
                    <w:t>2021-04</w:t>
                  </w:r>
                </w:p>
              </w:tc>
              <w:tc>
                <w:tcPr>
                  <w:tcW w:w="111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17.9</w:t>
                  </w:r>
                </w:p>
              </w:tc>
              <w:tc>
                <w:tcPr>
                  <w:tcW w:w="111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51.7</w:t>
                  </w:r>
                </w:p>
              </w:tc>
              <w:tc>
                <w:tcPr>
                  <w:tcW w:w="1119"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0.0261</w:t>
                  </w:r>
                </w:p>
              </w:tc>
              <w:tc>
                <w:tcPr>
                  <w:tcW w:w="11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0.0768</w:t>
                  </w:r>
                </w:p>
              </w:tc>
              <w:tc>
                <w:tcPr>
                  <w:tcW w:w="105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0.0315</w:t>
                  </w:r>
                </w:p>
              </w:tc>
              <w:tc>
                <w:tcPr>
                  <w:tcW w:w="105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11.6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13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tLeast"/>
                    <w:jc w:val="center"/>
                    <w:textAlignment w:val="auto"/>
                    <w:rPr>
                      <w:color w:val="auto"/>
                      <w:kern w:val="0"/>
                      <w:sz w:val="21"/>
                      <w:szCs w:val="21"/>
                    </w:rPr>
                  </w:pPr>
                  <w:r>
                    <w:rPr>
                      <w:color w:val="auto"/>
                      <w:kern w:val="0"/>
                      <w:sz w:val="21"/>
                      <w:szCs w:val="21"/>
                    </w:rPr>
                    <w:t>2021-05</w:t>
                  </w:r>
                </w:p>
              </w:tc>
              <w:tc>
                <w:tcPr>
                  <w:tcW w:w="111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19.2</w:t>
                  </w:r>
                </w:p>
              </w:tc>
              <w:tc>
                <w:tcPr>
                  <w:tcW w:w="111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57.2</w:t>
                  </w:r>
                </w:p>
              </w:tc>
              <w:tc>
                <w:tcPr>
                  <w:tcW w:w="1119"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0.0292</w:t>
                  </w:r>
                </w:p>
              </w:tc>
              <w:tc>
                <w:tcPr>
                  <w:tcW w:w="11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0.0873</w:t>
                  </w:r>
                </w:p>
              </w:tc>
              <w:tc>
                <w:tcPr>
                  <w:tcW w:w="105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0.0338</w:t>
                  </w:r>
                </w:p>
              </w:tc>
              <w:tc>
                <w:tcPr>
                  <w:tcW w:w="105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11.3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13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tLeast"/>
                    <w:jc w:val="center"/>
                    <w:textAlignment w:val="auto"/>
                    <w:rPr>
                      <w:color w:val="auto"/>
                      <w:kern w:val="0"/>
                      <w:sz w:val="21"/>
                      <w:szCs w:val="21"/>
                    </w:rPr>
                  </w:pPr>
                  <w:r>
                    <w:rPr>
                      <w:color w:val="auto"/>
                      <w:kern w:val="0"/>
                      <w:sz w:val="21"/>
                      <w:szCs w:val="21"/>
                    </w:rPr>
                    <w:t>2021-0</w:t>
                  </w:r>
                  <w:r>
                    <w:rPr>
                      <w:rFonts w:hint="eastAsia"/>
                      <w:color w:val="auto"/>
                      <w:kern w:val="0"/>
                      <w:sz w:val="21"/>
                      <w:szCs w:val="21"/>
                    </w:rPr>
                    <w:t>6</w:t>
                  </w:r>
                </w:p>
              </w:tc>
              <w:tc>
                <w:tcPr>
                  <w:tcW w:w="111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16.6</w:t>
                  </w:r>
                </w:p>
              </w:tc>
              <w:tc>
                <w:tcPr>
                  <w:tcW w:w="111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41.8</w:t>
                  </w:r>
                </w:p>
              </w:tc>
              <w:tc>
                <w:tcPr>
                  <w:tcW w:w="1119"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0.107</w:t>
                  </w:r>
                </w:p>
              </w:tc>
              <w:tc>
                <w:tcPr>
                  <w:tcW w:w="11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0.269</w:t>
                  </w:r>
                </w:p>
              </w:tc>
              <w:tc>
                <w:tcPr>
                  <w:tcW w:w="105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0.0326</w:t>
                  </w:r>
                </w:p>
              </w:tc>
              <w:tc>
                <w:tcPr>
                  <w:tcW w:w="105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9.54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13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tLeast"/>
                    <w:jc w:val="center"/>
                    <w:textAlignment w:val="auto"/>
                    <w:rPr>
                      <w:color w:val="auto"/>
                      <w:kern w:val="0"/>
                      <w:sz w:val="21"/>
                      <w:szCs w:val="21"/>
                    </w:rPr>
                  </w:pPr>
                  <w:r>
                    <w:rPr>
                      <w:color w:val="auto"/>
                      <w:kern w:val="0"/>
                      <w:sz w:val="21"/>
                      <w:szCs w:val="21"/>
                    </w:rPr>
                    <w:t>2021-0</w:t>
                  </w:r>
                  <w:r>
                    <w:rPr>
                      <w:rFonts w:hint="eastAsia"/>
                      <w:color w:val="auto"/>
                      <w:kern w:val="0"/>
                      <w:sz w:val="21"/>
                      <w:szCs w:val="21"/>
                    </w:rPr>
                    <w:t>7</w:t>
                  </w:r>
                </w:p>
              </w:tc>
              <w:tc>
                <w:tcPr>
                  <w:tcW w:w="111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17.1</w:t>
                  </w:r>
                </w:p>
              </w:tc>
              <w:tc>
                <w:tcPr>
                  <w:tcW w:w="111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51</w:t>
                  </w:r>
                </w:p>
              </w:tc>
              <w:tc>
                <w:tcPr>
                  <w:tcW w:w="1119"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0.065</w:t>
                  </w:r>
                </w:p>
              </w:tc>
              <w:tc>
                <w:tcPr>
                  <w:tcW w:w="11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0.195</w:t>
                  </w:r>
                </w:p>
              </w:tc>
              <w:tc>
                <w:tcPr>
                  <w:tcW w:w="105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0.0299</w:t>
                  </w:r>
                </w:p>
              </w:tc>
              <w:tc>
                <w:tcPr>
                  <w:tcW w:w="105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13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tLeast"/>
                    <w:jc w:val="center"/>
                    <w:textAlignment w:val="auto"/>
                    <w:rPr>
                      <w:color w:val="auto"/>
                      <w:kern w:val="0"/>
                      <w:sz w:val="21"/>
                      <w:szCs w:val="21"/>
                    </w:rPr>
                  </w:pPr>
                  <w:r>
                    <w:rPr>
                      <w:color w:val="auto"/>
                      <w:kern w:val="0"/>
                      <w:sz w:val="21"/>
                      <w:szCs w:val="21"/>
                    </w:rPr>
                    <w:t>2021-0</w:t>
                  </w:r>
                  <w:r>
                    <w:rPr>
                      <w:rFonts w:hint="eastAsia"/>
                      <w:color w:val="auto"/>
                      <w:kern w:val="0"/>
                      <w:sz w:val="21"/>
                      <w:szCs w:val="21"/>
                    </w:rPr>
                    <w:t>8</w:t>
                  </w:r>
                </w:p>
              </w:tc>
              <w:tc>
                <w:tcPr>
                  <w:tcW w:w="111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20.3</w:t>
                  </w:r>
                </w:p>
              </w:tc>
              <w:tc>
                <w:tcPr>
                  <w:tcW w:w="111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51.1</w:t>
                  </w:r>
                </w:p>
              </w:tc>
              <w:tc>
                <w:tcPr>
                  <w:tcW w:w="1119"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0.1</w:t>
                  </w:r>
                </w:p>
              </w:tc>
              <w:tc>
                <w:tcPr>
                  <w:tcW w:w="11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0.256</w:t>
                  </w:r>
                </w:p>
              </w:tc>
              <w:tc>
                <w:tcPr>
                  <w:tcW w:w="105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0.0506</w:t>
                  </w:r>
                </w:p>
              </w:tc>
              <w:tc>
                <w:tcPr>
                  <w:tcW w:w="105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11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13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tLeast"/>
                    <w:jc w:val="center"/>
                    <w:textAlignment w:val="auto"/>
                    <w:rPr>
                      <w:color w:val="auto"/>
                      <w:kern w:val="0"/>
                      <w:sz w:val="21"/>
                      <w:szCs w:val="21"/>
                    </w:rPr>
                  </w:pPr>
                  <w:r>
                    <w:rPr>
                      <w:color w:val="auto"/>
                      <w:kern w:val="0"/>
                      <w:sz w:val="21"/>
                      <w:szCs w:val="21"/>
                    </w:rPr>
                    <w:t>2021-0</w:t>
                  </w:r>
                  <w:r>
                    <w:rPr>
                      <w:rFonts w:hint="eastAsia"/>
                      <w:color w:val="auto"/>
                      <w:kern w:val="0"/>
                      <w:sz w:val="21"/>
                      <w:szCs w:val="21"/>
                    </w:rPr>
                    <w:t>9</w:t>
                  </w:r>
                </w:p>
              </w:tc>
              <w:tc>
                <w:tcPr>
                  <w:tcW w:w="111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16.1</w:t>
                  </w:r>
                </w:p>
              </w:tc>
              <w:tc>
                <w:tcPr>
                  <w:tcW w:w="111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54.2</w:t>
                  </w:r>
                </w:p>
              </w:tc>
              <w:tc>
                <w:tcPr>
                  <w:tcW w:w="1119"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0.0633</w:t>
                  </w:r>
                </w:p>
              </w:tc>
              <w:tc>
                <w:tcPr>
                  <w:tcW w:w="11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0.216</w:t>
                  </w:r>
                </w:p>
              </w:tc>
              <w:tc>
                <w:tcPr>
                  <w:tcW w:w="105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0.0916</w:t>
                  </w:r>
                </w:p>
              </w:tc>
              <w:tc>
                <w:tcPr>
                  <w:tcW w:w="105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10.1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13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60" w:lineRule="atLeast"/>
                    <w:jc w:val="center"/>
                    <w:textAlignment w:val="auto"/>
                    <w:rPr>
                      <w:color w:val="auto"/>
                      <w:kern w:val="0"/>
                      <w:sz w:val="21"/>
                      <w:szCs w:val="21"/>
                    </w:rPr>
                  </w:pPr>
                  <w:r>
                    <w:rPr>
                      <w:color w:val="auto"/>
                      <w:kern w:val="0"/>
                      <w:sz w:val="21"/>
                      <w:szCs w:val="21"/>
                    </w:rPr>
                    <w:t>2021-</w:t>
                  </w:r>
                  <w:r>
                    <w:rPr>
                      <w:rFonts w:hint="eastAsia"/>
                      <w:color w:val="auto"/>
                      <w:kern w:val="0"/>
                      <w:sz w:val="21"/>
                      <w:szCs w:val="21"/>
                    </w:rPr>
                    <w:t>10</w:t>
                  </w:r>
                </w:p>
              </w:tc>
              <w:tc>
                <w:tcPr>
                  <w:tcW w:w="111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17</w:t>
                  </w:r>
                </w:p>
              </w:tc>
              <w:tc>
                <w:tcPr>
                  <w:tcW w:w="111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60.9</w:t>
                  </w:r>
                </w:p>
              </w:tc>
              <w:tc>
                <w:tcPr>
                  <w:tcW w:w="1119"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0.0536</w:t>
                  </w:r>
                </w:p>
              </w:tc>
              <w:tc>
                <w:tcPr>
                  <w:tcW w:w="11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0.195</w:t>
                  </w:r>
                </w:p>
              </w:tc>
              <w:tc>
                <w:tcPr>
                  <w:tcW w:w="105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0.098</w:t>
                  </w:r>
                </w:p>
              </w:tc>
              <w:tc>
                <w:tcPr>
                  <w:tcW w:w="105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atLeast"/>
                    <w:jc w:val="center"/>
                    <w:textAlignment w:val="auto"/>
                    <w:rPr>
                      <w:rFonts w:ascii="宋体" w:hAnsi="宋体" w:cs="宋体"/>
                      <w:color w:val="auto"/>
                      <w:sz w:val="21"/>
                      <w:szCs w:val="21"/>
                    </w:rPr>
                  </w:pPr>
                  <w:r>
                    <w:rPr>
                      <w:rFonts w:hint="eastAsia"/>
                      <w:color w:val="auto"/>
                      <w:sz w:val="21"/>
                      <w:szCs w:val="21"/>
                    </w:rPr>
                    <w:t>9.59</w:t>
                  </w:r>
                </w:p>
              </w:tc>
            </w:tr>
          </w:tbl>
          <w:p>
            <w:pPr>
              <w:adjustRightInd w:val="0"/>
              <w:snapToGrid w:val="0"/>
              <w:spacing w:line="360" w:lineRule="auto"/>
              <w:ind w:firstLine="480" w:firstLineChars="200"/>
              <w:rPr>
                <w:rFonts w:hint="eastAsia"/>
                <w:color w:val="auto"/>
                <w:sz w:val="24"/>
                <w:szCs w:val="24"/>
              </w:rPr>
            </w:pPr>
            <w:r>
              <w:rPr>
                <w:rFonts w:hint="eastAsia"/>
                <w:color w:val="auto"/>
                <w:sz w:val="24"/>
                <w:szCs w:val="24"/>
              </w:rPr>
              <w:t>②依托可行性</w:t>
            </w:r>
          </w:p>
          <w:p>
            <w:pPr>
              <w:adjustRightInd w:val="0"/>
              <w:snapToGrid w:val="0"/>
              <w:spacing w:line="360" w:lineRule="auto"/>
              <w:ind w:firstLine="480" w:firstLineChars="200"/>
              <w:rPr>
                <w:rFonts w:hint="eastAsia"/>
                <w:bCs/>
                <w:color w:val="auto"/>
                <w:sz w:val="24"/>
                <w:szCs w:val="24"/>
              </w:rPr>
            </w:pPr>
            <w:r>
              <w:rPr>
                <w:rFonts w:hint="eastAsia"/>
                <w:color w:val="auto"/>
                <w:sz w:val="24"/>
                <w:szCs w:val="24"/>
              </w:rPr>
              <w:t>项目建设属于光大水务（淄博）有限公司水质净化三分厂的收集范围，项目废水经处理后可以满足污水处理厂的进水要求，不会对污水处理厂的工艺负荷造成冲击；本项目废水排污为</w:t>
            </w:r>
            <w:r>
              <w:rPr>
                <w:rFonts w:hint="eastAsia"/>
                <w:color w:val="0000FF"/>
                <w:sz w:val="24"/>
                <w:szCs w:val="24"/>
                <w:lang w:val="en-US" w:eastAsia="zh-CN"/>
              </w:rPr>
              <w:t>34.79</w:t>
            </w:r>
            <w:r>
              <w:rPr>
                <w:rFonts w:hint="eastAsia"/>
                <w:color w:val="auto"/>
                <w:sz w:val="24"/>
                <w:szCs w:val="24"/>
              </w:rPr>
              <w:t>m</w:t>
            </w:r>
            <w:r>
              <w:rPr>
                <w:rFonts w:hint="eastAsia"/>
                <w:color w:val="auto"/>
                <w:sz w:val="24"/>
                <w:szCs w:val="24"/>
                <w:vertAlign w:val="superscript"/>
              </w:rPr>
              <w:t>3</w:t>
            </w:r>
            <w:r>
              <w:rPr>
                <w:rFonts w:hint="eastAsia"/>
                <w:color w:val="auto"/>
                <w:sz w:val="24"/>
                <w:szCs w:val="24"/>
              </w:rPr>
              <w:t>/d，污水处理厂尚有0.5万m</w:t>
            </w:r>
            <w:r>
              <w:rPr>
                <w:rFonts w:hint="eastAsia"/>
                <w:color w:val="auto"/>
                <w:sz w:val="24"/>
                <w:szCs w:val="24"/>
                <w:vertAlign w:val="superscript"/>
              </w:rPr>
              <w:t>3</w:t>
            </w:r>
            <w:r>
              <w:rPr>
                <w:rFonts w:hint="eastAsia"/>
                <w:color w:val="auto"/>
                <w:sz w:val="24"/>
                <w:szCs w:val="24"/>
              </w:rPr>
              <w:t>/d的处理余量，完全可以接纳本项目产生的废水。</w:t>
            </w:r>
          </w:p>
          <w:p>
            <w:pPr>
              <w:adjustRightInd w:val="0"/>
              <w:snapToGrid w:val="0"/>
              <w:spacing w:line="360" w:lineRule="auto"/>
              <w:ind w:firstLine="480" w:firstLineChars="200"/>
              <w:rPr>
                <w:rFonts w:hint="eastAsia"/>
                <w:bCs/>
                <w:color w:val="auto"/>
                <w:sz w:val="24"/>
                <w:szCs w:val="24"/>
              </w:rPr>
            </w:pPr>
            <w:r>
              <w:rPr>
                <w:rFonts w:hint="eastAsia"/>
                <w:bCs/>
                <w:color w:val="auto"/>
                <w:sz w:val="24"/>
                <w:szCs w:val="24"/>
              </w:rPr>
              <w:t>（</w:t>
            </w:r>
            <w:r>
              <w:rPr>
                <w:rFonts w:hint="eastAsia"/>
                <w:bCs/>
                <w:color w:val="auto"/>
                <w:sz w:val="24"/>
                <w:szCs w:val="24"/>
                <w:lang w:val="en-US" w:eastAsia="zh-CN"/>
              </w:rPr>
              <w:t>4</w:t>
            </w:r>
            <w:r>
              <w:rPr>
                <w:rFonts w:hint="eastAsia"/>
                <w:bCs/>
                <w:color w:val="auto"/>
                <w:sz w:val="24"/>
                <w:szCs w:val="24"/>
              </w:rPr>
              <w:t>）废水排放源强</w:t>
            </w:r>
          </w:p>
          <w:p>
            <w:pPr>
              <w:adjustRightInd w:val="0"/>
              <w:snapToGrid w:val="0"/>
              <w:spacing w:line="360" w:lineRule="auto"/>
              <w:ind w:firstLine="480" w:firstLineChars="200"/>
              <w:rPr>
                <w:rFonts w:hint="eastAsia"/>
                <w:bCs/>
                <w:color w:val="auto"/>
                <w:sz w:val="24"/>
                <w:szCs w:val="24"/>
              </w:rPr>
            </w:pPr>
            <w:r>
              <w:rPr>
                <w:rFonts w:hint="eastAsia"/>
                <w:bCs/>
                <w:color w:val="auto"/>
                <w:sz w:val="24"/>
                <w:szCs w:val="24"/>
              </w:rPr>
              <w:t>项目废水经</w:t>
            </w:r>
            <w:r>
              <w:rPr>
                <w:rFonts w:hint="eastAsia"/>
                <w:bCs/>
                <w:color w:val="auto"/>
                <w:sz w:val="24"/>
                <w:szCs w:val="24"/>
                <w:lang w:eastAsia="zh-CN"/>
              </w:rPr>
              <w:t>海奥斯</w:t>
            </w:r>
            <w:r>
              <w:rPr>
                <w:rFonts w:hint="eastAsia"/>
                <w:bCs/>
                <w:color w:val="auto"/>
                <w:sz w:val="24"/>
                <w:szCs w:val="24"/>
              </w:rPr>
              <w:t>污水处理站处理后排入市政管网，本次环评废水排放水质按照</w:t>
            </w:r>
            <w:r>
              <w:rPr>
                <w:rFonts w:hint="eastAsia"/>
                <w:color w:val="auto"/>
                <w:sz w:val="24"/>
                <w:szCs w:val="24"/>
              </w:rPr>
              <w:t>《污水排入城镇下水道水质标准》（GB/T31962-2015）中B等级标准进行核算，项目外排废水量为</w:t>
            </w:r>
            <w:r>
              <w:rPr>
                <w:rFonts w:hint="eastAsia"/>
                <w:color w:val="0000FF"/>
                <w:sz w:val="24"/>
                <w:szCs w:val="24"/>
                <w:lang w:val="en-US" w:eastAsia="zh-CN"/>
              </w:rPr>
              <w:t>10435.6</w:t>
            </w:r>
            <w:r>
              <w:rPr>
                <w:color w:val="auto"/>
                <w:sz w:val="24"/>
                <w:szCs w:val="24"/>
              </w:rPr>
              <w:t>m</w:t>
            </w:r>
            <w:r>
              <w:rPr>
                <w:color w:val="auto"/>
                <w:sz w:val="24"/>
                <w:szCs w:val="24"/>
                <w:vertAlign w:val="superscript"/>
              </w:rPr>
              <w:t>3</w:t>
            </w:r>
            <w:r>
              <w:rPr>
                <w:color w:val="auto"/>
                <w:sz w:val="24"/>
                <w:szCs w:val="24"/>
              </w:rPr>
              <w:t>/a</w:t>
            </w:r>
            <w:r>
              <w:rPr>
                <w:rFonts w:hint="eastAsia"/>
                <w:color w:val="auto"/>
                <w:sz w:val="24"/>
                <w:szCs w:val="24"/>
              </w:rPr>
              <w:t>，</w:t>
            </w:r>
            <w:r>
              <w:rPr>
                <w:color w:val="auto"/>
                <w:sz w:val="24"/>
                <w:szCs w:val="24"/>
              </w:rPr>
              <w:t>其中</w:t>
            </w:r>
            <w:r>
              <w:rPr>
                <w:rFonts w:hint="eastAsia"/>
                <w:color w:val="auto"/>
                <w:sz w:val="24"/>
                <w:szCs w:val="24"/>
              </w:rPr>
              <w:t>COD排放量为</w:t>
            </w:r>
            <w:r>
              <w:rPr>
                <w:rFonts w:hint="eastAsia"/>
                <w:color w:val="0000FF"/>
                <w:sz w:val="24"/>
                <w:szCs w:val="24"/>
                <w:lang w:val="en-US" w:eastAsia="zh-CN"/>
              </w:rPr>
              <w:t>0.626t</w:t>
            </w:r>
            <w:r>
              <w:rPr>
                <w:rFonts w:hint="eastAsia"/>
                <w:color w:val="auto"/>
                <w:sz w:val="24"/>
                <w:szCs w:val="24"/>
              </w:rPr>
              <w:t>/a、氨氮排放量为</w:t>
            </w:r>
            <w:r>
              <w:rPr>
                <w:rFonts w:hint="eastAsia"/>
                <w:color w:val="0000FF"/>
                <w:sz w:val="24"/>
                <w:szCs w:val="24"/>
                <w:lang w:val="en-US" w:eastAsia="zh-CN"/>
              </w:rPr>
              <w:t>0.085</w:t>
            </w:r>
            <w:r>
              <w:rPr>
                <w:rFonts w:hint="eastAsia"/>
                <w:color w:val="auto"/>
                <w:sz w:val="24"/>
                <w:szCs w:val="24"/>
              </w:rPr>
              <w:t>t/a，进入光大水务(淄博)有限公司水质净化三分厂进一步处理。</w:t>
            </w:r>
          </w:p>
          <w:p>
            <w:pPr>
              <w:adjustRightInd w:val="0"/>
              <w:snapToGrid w:val="0"/>
              <w:spacing w:line="360" w:lineRule="auto"/>
              <w:ind w:firstLine="480" w:firstLineChars="200"/>
              <w:rPr>
                <w:rFonts w:hint="eastAsia"/>
                <w:bCs/>
                <w:color w:val="auto"/>
                <w:sz w:val="24"/>
                <w:szCs w:val="24"/>
              </w:rPr>
            </w:pPr>
            <w:r>
              <w:rPr>
                <w:rFonts w:hint="eastAsia"/>
                <w:bCs/>
                <w:color w:val="auto"/>
                <w:sz w:val="24"/>
                <w:szCs w:val="24"/>
              </w:rPr>
              <w:t>综上所述，</w:t>
            </w:r>
            <w:r>
              <w:rPr>
                <w:rFonts w:hint="eastAsia"/>
                <w:bCs/>
                <w:color w:val="auto"/>
                <w:sz w:val="24"/>
                <w:szCs w:val="24"/>
                <w:lang w:eastAsia="zh-CN"/>
              </w:rPr>
              <w:t>项目废水不会对海奥斯污水处理站造成冲击，同时也不会对光大水务（淄博）有限公司水质净化三分厂造成冲击，</w:t>
            </w:r>
            <w:r>
              <w:rPr>
                <w:rFonts w:hint="eastAsia"/>
                <w:bCs/>
                <w:color w:val="auto"/>
                <w:sz w:val="24"/>
                <w:szCs w:val="24"/>
              </w:rPr>
              <w:t>项目对周边地表水影响较小。</w:t>
            </w:r>
          </w:p>
          <w:p>
            <w:pPr>
              <w:keepNext w:val="0"/>
              <w:keepLines w:val="0"/>
              <w:pageBreakBefore w:val="0"/>
              <w:numPr>
                <w:ilvl w:val="0"/>
                <w:numId w:val="10"/>
              </w:numPr>
              <w:kinsoku/>
              <w:wordWrap/>
              <w:overflowPunct/>
              <w:topLinePunct w:val="0"/>
              <w:autoSpaceDE/>
              <w:autoSpaceDN/>
              <w:bidi w:val="0"/>
              <w:adjustRightInd w:val="0"/>
              <w:snapToGrid w:val="0"/>
              <w:spacing w:beforeLines="0" w:afterLines="0" w:line="360" w:lineRule="auto"/>
              <w:ind w:left="480" w:leftChars="0" w:firstLine="0" w:firstLineChars="0"/>
              <w:jc w:val="left"/>
              <w:rPr>
                <w:rFonts w:hint="eastAsia"/>
                <w:color w:val="auto"/>
                <w:sz w:val="24"/>
                <w:szCs w:val="24"/>
                <w:lang w:val="en-US" w:eastAsia="zh-CN"/>
              </w:rPr>
            </w:pPr>
            <w:r>
              <w:rPr>
                <w:rFonts w:hint="eastAsia"/>
                <w:color w:val="auto"/>
                <w:sz w:val="24"/>
                <w:szCs w:val="24"/>
                <w:lang w:val="en-US" w:eastAsia="zh-CN"/>
              </w:rPr>
              <w:t>检测要求</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根据《排污单位自行监测技术指南 总则》（HJ 819-2017）以及《排污单位自行监测技术指南</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eastAsia="zh-CN"/>
              </w:rPr>
              <w:t>火力发电及锅炉》（HJ 820-2017），运营期企业自行监测计划见</w:t>
            </w:r>
            <w:r>
              <w:rPr>
                <w:rFonts w:hint="default" w:ascii="Times New Roman" w:hAnsi="Times New Roman" w:eastAsia="宋体" w:cs="Times New Roman"/>
                <w:color w:val="auto"/>
                <w:sz w:val="24"/>
                <w:szCs w:val="24"/>
                <w:highlight w:val="none"/>
                <w:lang w:val="en-US" w:eastAsia="zh-CN"/>
              </w:rPr>
              <w:t>下</w:t>
            </w:r>
            <w:r>
              <w:rPr>
                <w:rFonts w:hint="default" w:ascii="Times New Roman" w:hAnsi="Times New Roman" w:eastAsia="宋体" w:cs="Times New Roman"/>
                <w:color w:val="auto"/>
                <w:sz w:val="24"/>
                <w:szCs w:val="24"/>
                <w:highlight w:val="none"/>
                <w:lang w:eastAsia="zh-CN"/>
              </w:rPr>
              <w:t>表。</w:t>
            </w:r>
          </w:p>
          <w:p>
            <w:pPr>
              <w:pStyle w:val="2"/>
              <w:numPr>
                <w:ilvl w:val="0"/>
                <w:numId w:val="0"/>
              </w:numPr>
              <w:ind w:left="480" w:leftChars="0"/>
              <w:jc w:val="center"/>
              <w:rPr>
                <w:rFonts w:hint="default" w:ascii="Times New Roman" w:hAnsi="Times New Roman" w:eastAsia="黑体" w:cs="Times New Roman"/>
                <w:b/>
                <w:bCs/>
                <w:color w:val="auto"/>
              </w:rPr>
            </w:pPr>
            <w:r>
              <w:rPr>
                <w:rFonts w:hint="default" w:ascii="Times New Roman" w:hAnsi="Times New Roman" w:eastAsia="黑体" w:cs="Times New Roman"/>
                <w:b/>
                <w:bCs/>
                <w:color w:val="auto"/>
                <w:lang w:eastAsia="zh-CN"/>
              </w:rPr>
              <w:t>表</w:t>
            </w:r>
            <w:r>
              <w:rPr>
                <w:rFonts w:hint="eastAsia" w:eastAsia="黑体" w:cs="Times New Roman"/>
                <w:b/>
                <w:bCs/>
                <w:color w:val="auto"/>
                <w:lang w:val="en-US" w:eastAsia="zh-CN"/>
              </w:rPr>
              <w:t xml:space="preserve">43 </w:t>
            </w:r>
            <w:r>
              <w:rPr>
                <w:rFonts w:hint="default" w:ascii="Times New Roman" w:hAnsi="Times New Roman" w:eastAsia="黑体" w:cs="Times New Roman"/>
                <w:b/>
                <w:bCs/>
                <w:color w:val="auto"/>
              </w:rPr>
              <w:t>废水监测计划一览表</w:t>
            </w:r>
          </w:p>
          <w:tbl>
            <w:tblPr>
              <w:tblStyle w:val="21"/>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76"/>
              <w:gridCol w:w="1325"/>
              <w:gridCol w:w="3151"/>
              <w:gridCol w:w="19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76" w:type="dxa"/>
                  <w:tcBorders>
                    <w:tl2br w:val="nil"/>
                    <w:tr2bl w:val="nil"/>
                  </w:tcBorders>
                  <w:vAlign w:val="center"/>
                </w:tcPr>
                <w:p>
                  <w:pPr>
                    <w:pStyle w:val="37"/>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环境要素</w:t>
                  </w:r>
                </w:p>
              </w:tc>
              <w:tc>
                <w:tcPr>
                  <w:tcW w:w="1325" w:type="dxa"/>
                  <w:tcBorders>
                    <w:tl2br w:val="nil"/>
                    <w:tr2bl w:val="nil"/>
                  </w:tcBorders>
                  <w:vAlign w:val="center"/>
                </w:tcPr>
                <w:p>
                  <w:pPr>
                    <w:pStyle w:val="37"/>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监测位置</w:t>
                  </w:r>
                </w:p>
              </w:tc>
              <w:tc>
                <w:tcPr>
                  <w:tcW w:w="3151" w:type="dxa"/>
                  <w:tcBorders>
                    <w:tl2br w:val="nil"/>
                    <w:tr2bl w:val="nil"/>
                  </w:tcBorders>
                  <w:vAlign w:val="center"/>
                </w:tcPr>
                <w:p>
                  <w:pPr>
                    <w:pStyle w:val="37"/>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监测项目</w:t>
                  </w:r>
                </w:p>
              </w:tc>
              <w:tc>
                <w:tcPr>
                  <w:tcW w:w="1985" w:type="dxa"/>
                  <w:tcBorders>
                    <w:tl2br w:val="nil"/>
                    <w:tr2bl w:val="nil"/>
                  </w:tcBorders>
                  <w:vAlign w:val="center"/>
                </w:tcPr>
                <w:p>
                  <w:pPr>
                    <w:pStyle w:val="37"/>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76" w:type="dxa"/>
                  <w:tcBorders>
                    <w:tl2br w:val="nil"/>
                    <w:tr2bl w:val="nil"/>
                  </w:tcBorders>
                  <w:vAlign w:val="center"/>
                </w:tcPr>
                <w:p>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废水</w:t>
                  </w:r>
                </w:p>
              </w:tc>
              <w:tc>
                <w:tcPr>
                  <w:tcW w:w="1325" w:type="dxa"/>
                  <w:tcBorders>
                    <w:tl2br w:val="nil"/>
                    <w:tr2bl w:val="nil"/>
                  </w:tcBorders>
                  <w:vAlign w:val="center"/>
                </w:tcPr>
                <w:p>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污水总排口</w:t>
                  </w:r>
                </w:p>
              </w:tc>
              <w:tc>
                <w:tcPr>
                  <w:tcW w:w="3151" w:type="dxa"/>
                  <w:tcBorders>
                    <w:tl2br w:val="nil"/>
                    <w:tr2bl w:val="nil"/>
                  </w:tcBorders>
                  <w:vAlign w:val="center"/>
                </w:tcPr>
                <w:p>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流量、pH、COD、氨氮、SS</w:t>
                  </w:r>
                </w:p>
              </w:tc>
              <w:tc>
                <w:tcPr>
                  <w:tcW w:w="1985" w:type="dxa"/>
                  <w:tcBorders>
                    <w:tl2br w:val="nil"/>
                    <w:tr2bl w:val="nil"/>
                  </w:tcBorders>
                  <w:vAlign w:val="center"/>
                </w:tcPr>
                <w:p>
                  <w:pPr>
                    <w:keepNext w:val="0"/>
                    <w:keepLines w:val="0"/>
                    <w:pageBreakBefore w:val="0"/>
                    <w:widowControl w:val="0"/>
                    <w:kinsoku/>
                    <w:wordWrap/>
                    <w:overflowPunct/>
                    <w:topLinePunct w:val="0"/>
                    <w:autoSpaceDE/>
                    <w:autoSpaceDN/>
                    <w:bidi w:val="0"/>
                    <w:spacing w:line="360" w:lineRule="atLeast"/>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每年检测一次</w:t>
                  </w:r>
                </w:p>
              </w:tc>
            </w:tr>
          </w:tbl>
          <w:p>
            <w:pPr>
              <w:keepNext w:val="0"/>
              <w:keepLines w:val="0"/>
              <w:pageBreakBefore w:val="0"/>
              <w:kinsoku/>
              <w:wordWrap/>
              <w:overflowPunct/>
              <w:topLinePunct w:val="0"/>
              <w:autoSpaceDE/>
              <w:autoSpaceDN/>
              <w:bidi w:val="0"/>
              <w:adjustRightInd w:val="0"/>
              <w:snapToGrid w:val="0"/>
              <w:spacing w:line="360" w:lineRule="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4.3噪声</w:t>
            </w:r>
          </w:p>
          <w:p>
            <w:pPr>
              <w:keepNext w:val="0"/>
              <w:keepLines w:val="0"/>
              <w:pageBreakBefore w:val="0"/>
              <w:kinsoku/>
              <w:wordWrap/>
              <w:overflowPunct/>
              <w:topLinePunct w:val="0"/>
              <w:autoSpaceDE/>
              <w:autoSpaceDN/>
              <w:bidi w:val="0"/>
              <w:adjustRightInd w:val="0"/>
              <w:snapToGrid w:val="0"/>
              <w:spacing w:line="360" w:lineRule="auto"/>
              <w:ind w:firstLine="482" w:firstLineChars="200"/>
              <w:rPr>
                <w:rFonts w:hint="default" w:ascii="Times New Roman" w:hAnsi="Times New Roman" w:eastAsia="宋体" w:cs="Times New Roman"/>
                <w:b/>
                <w:bCs/>
                <w:color w:val="auto"/>
                <w:sz w:val="24"/>
                <w:szCs w:val="24"/>
                <w:lang w:eastAsia="zh-CN"/>
              </w:rPr>
            </w:pPr>
            <w:r>
              <w:rPr>
                <w:rFonts w:hint="eastAsia" w:cs="Times New Roman"/>
                <w:b/>
                <w:bCs/>
                <w:color w:val="auto"/>
                <w:sz w:val="24"/>
                <w:szCs w:val="24"/>
                <w:lang w:val="en-US" w:eastAsia="zh-CN"/>
              </w:rPr>
              <w:t>4.3.1</w:t>
            </w:r>
            <w:r>
              <w:rPr>
                <w:rFonts w:hint="eastAsia" w:ascii="黑体" w:hAnsi="黑体" w:eastAsia="黑体" w:cs="黑体"/>
                <w:b/>
                <w:bCs/>
                <w:color w:val="auto"/>
                <w:sz w:val="24"/>
                <w:szCs w:val="24"/>
              </w:rPr>
              <w:t>噪声</w:t>
            </w:r>
            <w:r>
              <w:rPr>
                <w:rFonts w:hint="eastAsia" w:ascii="黑体" w:hAnsi="黑体" w:eastAsia="黑体" w:cs="黑体"/>
                <w:b/>
                <w:bCs/>
                <w:color w:val="auto"/>
                <w:sz w:val="24"/>
                <w:szCs w:val="24"/>
                <w:lang w:eastAsia="zh-CN"/>
              </w:rPr>
              <w:t>源强分析</w:t>
            </w:r>
          </w:p>
          <w:p>
            <w:pPr>
              <w:keepNext w:val="0"/>
              <w:keepLines w:val="0"/>
              <w:pageBreakBefore w:val="0"/>
              <w:kinsoku/>
              <w:wordWrap/>
              <w:overflowPunct/>
              <w:topLinePunct w:val="0"/>
              <w:autoSpaceDE/>
              <w:autoSpaceDN/>
              <w:bidi w:val="0"/>
              <w:adjustRightInd w:val="0"/>
              <w:snapToGrid w:val="0"/>
              <w:spacing w:beforeLines="0" w:afterLines="0"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本项目主要噪声源为锅炉风机、给水泵等，本项目噪声源主要设备如下表。</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eastAsia="黑体" w:cs="Times New Roman"/>
                <w:b/>
                <w:bCs/>
                <w:color w:val="auto"/>
                <w:sz w:val="24"/>
                <w:szCs w:val="24"/>
                <w:lang w:eastAsia="zh-CN"/>
              </w:rPr>
            </w:pPr>
            <w:r>
              <w:rPr>
                <w:rFonts w:hint="default" w:ascii="Times New Roman" w:hAnsi="Times New Roman" w:eastAsia="黑体" w:cs="Times New Roman"/>
                <w:b/>
                <w:bCs/>
                <w:color w:val="auto"/>
                <w:sz w:val="24"/>
                <w:szCs w:val="24"/>
                <w:lang w:eastAsia="zh-CN"/>
              </w:rPr>
              <w:t>表</w:t>
            </w:r>
            <w:r>
              <w:rPr>
                <w:rFonts w:hint="eastAsia" w:eastAsia="黑体" w:cs="Times New Roman"/>
                <w:b/>
                <w:bCs/>
                <w:color w:val="auto"/>
                <w:sz w:val="24"/>
                <w:szCs w:val="24"/>
                <w:lang w:val="en-US" w:eastAsia="zh-CN"/>
              </w:rPr>
              <w:t>44</w:t>
            </w:r>
            <w:r>
              <w:rPr>
                <w:rFonts w:hint="default" w:ascii="Times New Roman" w:hAnsi="Times New Roman" w:eastAsia="黑体" w:cs="Times New Roman"/>
                <w:b/>
                <w:bCs/>
                <w:color w:val="auto"/>
                <w:sz w:val="24"/>
                <w:szCs w:val="24"/>
                <w:lang w:eastAsia="zh-CN"/>
              </w:rPr>
              <w:t xml:space="preserve"> 本项目新增主要噪声源及降噪措施</w:t>
            </w:r>
          </w:p>
          <w:tbl>
            <w:tblPr>
              <w:tblStyle w:val="21"/>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3"/>
              <w:gridCol w:w="1489"/>
              <w:gridCol w:w="968"/>
              <w:gridCol w:w="1341"/>
              <w:gridCol w:w="2274"/>
              <w:gridCol w:w="11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b/>
                      <w:bCs/>
                      <w:color w:val="0000FF"/>
                      <w:sz w:val="21"/>
                      <w:szCs w:val="21"/>
                      <w:vertAlign w:val="baseline"/>
                      <w:lang w:val="en-US" w:eastAsia="zh-CN"/>
                    </w:rPr>
                  </w:pPr>
                  <w:r>
                    <w:rPr>
                      <w:rFonts w:hint="default" w:ascii="Times New Roman" w:hAnsi="Times New Roman" w:eastAsia="宋体" w:cs="Times New Roman"/>
                      <w:b/>
                      <w:bCs/>
                      <w:color w:val="0000FF"/>
                      <w:sz w:val="21"/>
                      <w:szCs w:val="21"/>
                      <w:vertAlign w:val="baseline"/>
                      <w:lang w:val="en-US" w:eastAsia="zh-CN"/>
                    </w:rPr>
                    <w:t>序号</w:t>
                  </w:r>
                </w:p>
              </w:tc>
              <w:tc>
                <w:tcPr>
                  <w:tcW w:w="14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b/>
                      <w:bCs/>
                      <w:color w:val="0000FF"/>
                      <w:sz w:val="21"/>
                      <w:szCs w:val="21"/>
                      <w:vertAlign w:val="baseline"/>
                      <w:lang w:val="en-US" w:eastAsia="zh-CN"/>
                    </w:rPr>
                  </w:pPr>
                  <w:r>
                    <w:rPr>
                      <w:rFonts w:hint="default" w:ascii="Times New Roman" w:hAnsi="Times New Roman" w:eastAsia="宋体" w:cs="Times New Roman"/>
                      <w:b/>
                      <w:bCs/>
                      <w:color w:val="0000FF"/>
                      <w:sz w:val="21"/>
                      <w:szCs w:val="21"/>
                      <w:vertAlign w:val="baseline"/>
                      <w:lang w:val="en-US" w:eastAsia="zh-CN"/>
                    </w:rPr>
                    <w:t>设备名称</w:t>
                  </w:r>
                </w:p>
              </w:tc>
              <w:tc>
                <w:tcPr>
                  <w:tcW w:w="9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b/>
                      <w:bCs/>
                      <w:color w:val="0000FF"/>
                      <w:sz w:val="21"/>
                      <w:szCs w:val="21"/>
                      <w:vertAlign w:val="baseline"/>
                      <w:lang w:val="en-US" w:eastAsia="zh-CN"/>
                    </w:rPr>
                  </w:pPr>
                  <w:r>
                    <w:rPr>
                      <w:rFonts w:hint="default" w:ascii="Times New Roman" w:hAnsi="Times New Roman" w:eastAsia="宋体" w:cs="Times New Roman"/>
                      <w:b/>
                      <w:bCs/>
                      <w:color w:val="0000FF"/>
                      <w:sz w:val="21"/>
                      <w:szCs w:val="21"/>
                      <w:vertAlign w:val="baseline"/>
                      <w:lang w:val="en-US" w:eastAsia="zh-CN"/>
                    </w:rPr>
                    <w:t>源强</w:t>
                  </w:r>
                </w:p>
              </w:tc>
              <w:tc>
                <w:tcPr>
                  <w:tcW w:w="13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b/>
                      <w:bCs/>
                      <w:color w:val="0000FF"/>
                      <w:sz w:val="21"/>
                      <w:szCs w:val="21"/>
                      <w:vertAlign w:val="baseline"/>
                      <w:lang w:val="en-US" w:eastAsia="zh-CN"/>
                    </w:rPr>
                  </w:pPr>
                  <w:r>
                    <w:rPr>
                      <w:rFonts w:hint="default" w:ascii="Times New Roman" w:hAnsi="Times New Roman" w:cs="Times New Roman"/>
                      <w:b/>
                      <w:bCs/>
                      <w:color w:val="0000FF"/>
                      <w:sz w:val="21"/>
                      <w:szCs w:val="21"/>
                      <w:vertAlign w:val="baseline"/>
                      <w:lang w:val="en-US" w:eastAsia="zh-CN"/>
                    </w:rPr>
                    <w:t>源强个数</w:t>
                  </w:r>
                </w:p>
              </w:tc>
              <w:tc>
                <w:tcPr>
                  <w:tcW w:w="22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b/>
                      <w:bCs/>
                      <w:color w:val="0000FF"/>
                      <w:sz w:val="21"/>
                      <w:szCs w:val="21"/>
                      <w:vertAlign w:val="baseline"/>
                      <w:lang w:val="en-US" w:eastAsia="zh-CN"/>
                    </w:rPr>
                  </w:pPr>
                  <w:r>
                    <w:rPr>
                      <w:rFonts w:hint="default" w:ascii="Times New Roman" w:hAnsi="Times New Roman" w:eastAsia="宋体" w:cs="Times New Roman"/>
                      <w:b/>
                      <w:bCs/>
                      <w:color w:val="0000FF"/>
                      <w:sz w:val="21"/>
                      <w:szCs w:val="21"/>
                      <w:vertAlign w:val="baseline"/>
                      <w:lang w:val="en-US" w:eastAsia="zh-CN"/>
                    </w:rPr>
                    <w:t>降噪措施</w:t>
                  </w:r>
                </w:p>
              </w:tc>
              <w:tc>
                <w:tcPr>
                  <w:tcW w:w="11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b/>
                      <w:bCs/>
                      <w:color w:val="0000FF"/>
                      <w:sz w:val="21"/>
                      <w:szCs w:val="21"/>
                      <w:vertAlign w:val="baseline"/>
                      <w:lang w:val="en-US" w:eastAsia="zh-CN"/>
                    </w:rPr>
                  </w:pPr>
                  <w:r>
                    <w:rPr>
                      <w:rFonts w:hint="default" w:ascii="Times New Roman" w:hAnsi="Times New Roman" w:eastAsia="宋体" w:cs="Times New Roman"/>
                      <w:b/>
                      <w:bCs/>
                      <w:color w:val="0000FF"/>
                      <w:sz w:val="21"/>
                      <w:szCs w:val="21"/>
                      <w:vertAlign w:val="baseline"/>
                      <w:lang w:val="en-US" w:eastAsia="zh-CN"/>
                    </w:rPr>
                    <w:t>排放强度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6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0000FF"/>
                      <w:sz w:val="21"/>
                      <w:szCs w:val="21"/>
                      <w:vertAlign w:val="baseline"/>
                      <w:lang w:val="en-US" w:eastAsia="zh-CN"/>
                    </w:rPr>
                    <w:t>1</w:t>
                  </w:r>
                </w:p>
              </w:tc>
              <w:tc>
                <w:tcPr>
                  <w:tcW w:w="14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0000FF"/>
                      <w:sz w:val="21"/>
                      <w:szCs w:val="21"/>
                      <w:vertAlign w:val="baseline"/>
                      <w:lang w:val="en-US" w:eastAsia="zh-CN"/>
                    </w:rPr>
                    <w:t>锅炉风机</w:t>
                  </w:r>
                </w:p>
              </w:tc>
              <w:tc>
                <w:tcPr>
                  <w:tcW w:w="9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0000FF"/>
                      <w:sz w:val="21"/>
                      <w:szCs w:val="21"/>
                      <w:vertAlign w:val="baseline"/>
                      <w:lang w:val="en-US" w:eastAsia="zh-CN"/>
                    </w:rPr>
                  </w:pPr>
                  <w:r>
                    <w:rPr>
                      <w:rFonts w:hint="eastAsia" w:cs="Times New Roman"/>
                      <w:color w:val="0000FF"/>
                      <w:sz w:val="21"/>
                      <w:szCs w:val="21"/>
                      <w:vertAlign w:val="baseline"/>
                      <w:lang w:val="en-US" w:eastAsia="zh-CN"/>
                    </w:rPr>
                    <w:t>80</w:t>
                  </w:r>
                  <w:r>
                    <w:rPr>
                      <w:rFonts w:hint="default" w:ascii="Times New Roman" w:hAnsi="Times New Roman" w:eastAsia="宋体" w:cs="Times New Roman"/>
                      <w:color w:val="0000FF"/>
                      <w:sz w:val="21"/>
                      <w:szCs w:val="21"/>
                      <w:vertAlign w:val="baseline"/>
                      <w:lang w:val="en-US" w:eastAsia="zh-CN"/>
                    </w:rPr>
                    <w:t>dB(A)</w:t>
                  </w:r>
                </w:p>
              </w:tc>
              <w:tc>
                <w:tcPr>
                  <w:tcW w:w="13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cs="Times New Roman"/>
                      <w:color w:val="0000FF"/>
                      <w:sz w:val="21"/>
                      <w:szCs w:val="21"/>
                      <w:vertAlign w:val="baseline"/>
                      <w:lang w:val="en-US" w:eastAsia="zh-CN"/>
                    </w:rPr>
                    <w:t>1</w:t>
                  </w:r>
                </w:p>
              </w:tc>
              <w:tc>
                <w:tcPr>
                  <w:tcW w:w="227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0000FF"/>
                      <w:sz w:val="21"/>
                      <w:szCs w:val="21"/>
                      <w:vertAlign w:val="baseline"/>
                      <w:lang w:eastAsia="zh-CN"/>
                    </w:rPr>
                  </w:pPr>
                  <w:r>
                    <w:rPr>
                      <w:rFonts w:hint="default" w:ascii="Times New Roman" w:hAnsi="Times New Roman" w:eastAsia="宋体" w:cs="Times New Roman"/>
                      <w:color w:val="0000FF"/>
                      <w:sz w:val="21"/>
                      <w:szCs w:val="21"/>
                      <w:lang w:val="en-US" w:eastAsia="zh-CN"/>
                    </w:rPr>
                    <w:t>基础减振、厂房隔声、建（构）筑物隔声降噪</w:t>
                  </w:r>
                </w:p>
              </w:tc>
              <w:tc>
                <w:tcPr>
                  <w:tcW w:w="11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0000FF"/>
                      <w:sz w:val="21"/>
                      <w:szCs w:val="21"/>
                      <w:vertAlign w:val="baseline"/>
                      <w:lang w:eastAsia="zh-CN"/>
                    </w:rPr>
                  </w:pPr>
                  <w:r>
                    <w:rPr>
                      <w:rFonts w:hint="eastAsia" w:cs="Times New Roman"/>
                      <w:color w:val="0000FF"/>
                      <w:sz w:val="21"/>
                      <w:szCs w:val="21"/>
                      <w:vertAlign w:val="baseline"/>
                      <w:lang w:val="en-US" w:eastAsia="zh-CN"/>
                    </w:rPr>
                    <w:t>60</w:t>
                  </w:r>
                  <w:r>
                    <w:rPr>
                      <w:rFonts w:hint="default" w:ascii="Times New Roman" w:hAnsi="Times New Roman" w:eastAsia="宋体" w:cs="Times New Roman"/>
                      <w:color w:val="0000FF"/>
                      <w:sz w:val="21"/>
                      <w:szCs w:val="21"/>
                      <w:vertAlign w:val="baseline"/>
                      <w:lang w:eastAsia="zh-CN"/>
                    </w:rPr>
                    <w:t>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0000FF"/>
                      <w:sz w:val="21"/>
                      <w:szCs w:val="21"/>
                      <w:vertAlign w:val="baseline"/>
                      <w:lang w:val="en-US" w:eastAsia="zh-CN"/>
                    </w:rPr>
                    <w:t>2</w:t>
                  </w:r>
                </w:p>
              </w:tc>
              <w:tc>
                <w:tcPr>
                  <w:tcW w:w="14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0000FF"/>
                      <w:sz w:val="21"/>
                      <w:szCs w:val="21"/>
                      <w:vertAlign w:val="baseline"/>
                      <w:lang w:val="en-US" w:eastAsia="zh-CN"/>
                    </w:rPr>
                  </w:pPr>
                  <w:r>
                    <w:rPr>
                      <w:rFonts w:hint="default" w:ascii="Times New Roman" w:hAnsi="Times New Roman" w:eastAsia="宋体" w:cs="Times New Roman"/>
                      <w:color w:val="0000FF"/>
                      <w:sz w:val="21"/>
                      <w:szCs w:val="21"/>
                      <w:vertAlign w:val="baseline"/>
                      <w:lang w:val="en-US" w:eastAsia="zh-CN"/>
                    </w:rPr>
                    <w:t>立式泵</w:t>
                  </w:r>
                  <w:r>
                    <w:rPr>
                      <w:rFonts w:hint="eastAsia" w:cs="Times New Roman"/>
                      <w:color w:val="0000FF"/>
                      <w:sz w:val="21"/>
                      <w:szCs w:val="21"/>
                      <w:vertAlign w:val="baseline"/>
                      <w:lang w:val="en-US" w:eastAsia="zh-CN"/>
                    </w:rPr>
                    <w:t>CDMF20-6</w:t>
                  </w:r>
                </w:p>
              </w:tc>
              <w:tc>
                <w:tcPr>
                  <w:tcW w:w="9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0000FF"/>
                      <w:sz w:val="21"/>
                      <w:szCs w:val="21"/>
                      <w:vertAlign w:val="baseline"/>
                      <w:lang w:eastAsia="zh-CN"/>
                    </w:rPr>
                  </w:pPr>
                  <w:r>
                    <w:rPr>
                      <w:rFonts w:hint="default" w:ascii="Times New Roman" w:hAnsi="Times New Roman" w:eastAsia="宋体" w:cs="Times New Roman"/>
                      <w:color w:val="0000FF"/>
                      <w:sz w:val="21"/>
                      <w:szCs w:val="21"/>
                      <w:vertAlign w:val="baseline"/>
                      <w:lang w:val="en-US" w:eastAsia="zh-CN"/>
                    </w:rPr>
                    <w:t>7</w:t>
                  </w:r>
                  <w:r>
                    <w:rPr>
                      <w:rFonts w:hint="eastAsia" w:cs="Times New Roman"/>
                      <w:color w:val="0000FF"/>
                      <w:sz w:val="21"/>
                      <w:szCs w:val="21"/>
                      <w:vertAlign w:val="baseline"/>
                      <w:lang w:val="en-US" w:eastAsia="zh-CN"/>
                    </w:rPr>
                    <w:t>5</w:t>
                  </w:r>
                  <w:r>
                    <w:rPr>
                      <w:rFonts w:hint="default" w:ascii="Times New Roman" w:hAnsi="Times New Roman" w:eastAsia="宋体" w:cs="Times New Roman"/>
                      <w:color w:val="0000FF"/>
                      <w:sz w:val="21"/>
                      <w:szCs w:val="21"/>
                      <w:vertAlign w:val="baseline"/>
                      <w:lang w:val="en-US" w:eastAsia="zh-CN"/>
                    </w:rPr>
                    <w:t>dB(A)</w:t>
                  </w:r>
                </w:p>
              </w:tc>
              <w:tc>
                <w:tcPr>
                  <w:tcW w:w="13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0000FF"/>
                      <w:sz w:val="21"/>
                      <w:szCs w:val="21"/>
                      <w:vertAlign w:val="baseline"/>
                      <w:lang w:val="en-US" w:eastAsia="zh-CN"/>
                    </w:rPr>
                  </w:pPr>
                  <w:r>
                    <w:rPr>
                      <w:rFonts w:hint="eastAsia" w:cs="Times New Roman"/>
                      <w:color w:val="0000FF"/>
                      <w:sz w:val="21"/>
                      <w:szCs w:val="21"/>
                      <w:vertAlign w:val="baseline"/>
                      <w:lang w:val="en-US" w:eastAsia="zh-CN"/>
                    </w:rPr>
                    <w:t>4</w:t>
                  </w:r>
                </w:p>
              </w:tc>
              <w:tc>
                <w:tcPr>
                  <w:tcW w:w="227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0000FF"/>
                      <w:sz w:val="21"/>
                      <w:szCs w:val="21"/>
                      <w:vertAlign w:val="baseline"/>
                      <w:lang w:eastAsia="zh-CN"/>
                    </w:rPr>
                  </w:pPr>
                </w:p>
              </w:tc>
              <w:tc>
                <w:tcPr>
                  <w:tcW w:w="11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0000FF"/>
                      <w:sz w:val="21"/>
                      <w:szCs w:val="21"/>
                      <w:vertAlign w:val="baseline"/>
                      <w:lang w:eastAsia="zh-CN"/>
                    </w:rPr>
                  </w:pPr>
                  <w:r>
                    <w:rPr>
                      <w:rFonts w:hint="default" w:ascii="Times New Roman" w:hAnsi="Times New Roman" w:eastAsia="宋体" w:cs="Times New Roman"/>
                      <w:color w:val="0000FF"/>
                      <w:sz w:val="21"/>
                      <w:szCs w:val="21"/>
                      <w:vertAlign w:val="baseline"/>
                      <w:lang w:eastAsia="zh-CN"/>
                    </w:rPr>
                    <w:t>55dB(A)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0000FF"/>
                      <w:sz w:val="21"/>
                      <w:szCs w:val="21"/>
                      <w:vertAlign w:val="baseline"/>
                      <w:lang w:val="en-US" w:eastAsia="zh-CN"/>
                    </w:rPr>
                  </w:pPr>
                  <w:r>
                    <w:rPr>
                      <w:rFonts w:hint="eastAsia" w:cs="Times New Roman"/>
                      <w:color w:val="0000FF"/>
                      <w:sz w:val="21"/>
                      <w:szCs w:val="21"/>
                      <w:vertAlign w:val="baseline"/>
                      <w:lang w:val="en-US" w:eastAsia="zh-CN"/>
                    </w:rPr>
                    <w:t>3</w:t>
                  </w:r>
                </w:p>
              </w:tc>
              <w:tc>
                <w:tcPr>
                  <w:tcW w:w="14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0000FF"/>
                      <w:sz w:val="21"/>
                      <w:szCs w:val="21"/>
                      <w:vertAlign w:val="baseline"/>
                      <w:lang w:val="en-US" w:eastAsia="zh-CN"/>
                    </w:rPr>
                  </w:pPr>
                  <w:r>
                    <w:rPr>
                      <w:rFonts w:hint="eastAsia" w:cs="Times New Roman"/>
                      <w:color w:val="0000FF"/>
                      <w:sz w:val="21"/>
                      <w:szCs w:val="21"/>
                      <w:vertAlign w:val="baseline"/>
                      <w:lang w:val="en-US" w:eastAsia="zh-CN"/>
                    </w:rPr>
                    <w:t>立式泵CDMF32-12-2</w:t>
                  </w:r>
                </w:p>
              </w:tc>
              <w:tc>
                <w:tcPr>
                  <w:tcW w:w="96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0000FF"/>
                      <w:sz w:val="21"/>
                      <w:szCs w:val="21"/>
                      <w:vertAlign w:val="baseline"/>
                      <w:lang w:val="en-US" w:eastAsia="zh-CN"/>
                    </w:rPr>
                  </w:pPr>
                  <w:r>
                    <w:rPr>
                      <w:rFonts w:hint="eastAsia" w:cs="Times New Roman"/>
                      <w:color w:val="0000FF"/>
                      <w:sz w:val="21"/>
                      <w:szCs w:val="21"/>
                      <w:vertAlign w:val="baseline"/>
                      <w:lang w:val="en-US" w:eastAsia="zh-CN"/>
                    </w:rPr>
                    <w:t>80dB(A)</w:t>
                  </w:r>
                </w:p>
              </w:tc>
              <w:tc>
                <w:tcPr>
                  <w:tcW w:w="13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cs="Times New Roman"/>
                      <w:color w:val="0000FF"/>
                      <w:sz w:val="21"/>
                      <w:szCs w:val="21"/>
                      <w:vertAlign w:val="baseline"/>
                      <w:lang w:val="en-US" w:eastAsia="zh-CN"/>
                    </w:rPr>
                  </w:pPr>
                  <w:r>
                    <w:rPr>
                      <w:rFonts w:hint="eastAsia" w:cs="Times New Roman"/>
                      <w:color w:val="0000FF"/>
                      <w:sz w:val="21"/>
                      <w:szCs w:val="21"/>
                      <w:vertAlign w:val="baseline"/>
                      <w:lang w:val="en-US" w:eastAsia="zh-CN"/>
                    </w:rPr>
                    <w:t>2</w:t>
                  </w:r>
                </w:p>
              </w:tc>
              <w:tc>
                <w:tcPr>
                  <w:tcW w:w="227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0000FF"/>
                      <w:sz w:val="21"/>
                      <w:szCs w:val="21"/>
                      <w:vertAlign w:val="baseline"/>
                      <w:lang w:eastAsia="zh-CN"/>
                    </w:rPr>
                  </w:pPr>
                </w:p>
              </w:tc>
              <w:tc>
                <w:tcPr>
                  <w:tcW w:w="118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0000FF"/>
                      <w:sz w:val="21"/>
                      <w:szCs w:val="21"/>
                      <w:vertAlign w:val="baseline"/>
                      <w:lang w:eastAsia="zh-CN"/>
                    </w:rPr>
                  </w:pPr>
                  <w:r>
                    <w:rPr>
                      <w:rFonts w:hint="eastAsia" w:cs="Times New Roman"/>
                      <w:color w:val="0000FF"/>
                      <w:sz w:val="21"/>
                      <w:szCs w:val="21"/>
                      <w:vertAlign w:val="baseline"/>
                      <w:lang w:val="en-US" w:eastAsia="zh-CN"/>
                    </w:rPr>
                    <w:t>60</w:t>
                  </w:r>
                  <w:r>
                    <w:rPr>
                      <w:rFonts w:hint="default" w:ascii="Times New Roman" w:hAnsi="Times New Roman" w:eastAsia="宋体" w:cs="Times New Roman"/>
                      <w:color w:val="0000FF"/>
                      <w:sz w:val="21"/>
                      <w:szCs w:val="21"/>
                      <w:vertAlign w:val="baseline"/>
                      <w:lang w:eastAsia="zh-CN"/>
                    </w:rPr>
                    <w:t>dB(A)</w:t>
                  </w:r>
                </w:p>
              </w:tc>
            </w:tr>
          </w:tbl>
          <w:p>
            <w:pPr>
              <w:keepNext w:val="0"/>
              <w:keepLines w:val="0"/>
              <w:pageBreakBefore w:val="0"/>
              <w:kinsoku/>
              <w:wordWrap/>
              <w:overflowPunct/>
              <w:topLinePunct w:val="0"/>
              <w:autoSpaceDE/>
              <w:autoSpaceDN/>
              <w:bidi w:val="0"/>
              <w:adjustRightInd w:val="0"/>
              <w:snapToGrid w:val="0"/>
              <w:spacing w:beforeLines="0" w:afterLines="0" w:line="360" w:lineRule="auto"/>
              <w:ind w:firstLine="482" w:firstLineChars="200"/>
              <w:rPr>
                <w:rFonts w:hint="default" w:ascii="Times New Roman" w:hAnsi="Times New Roman" w:eastAsia="宋体" w:cs="Times New Roman"/>
                <w:b/>
                <w:color w:val="auto"/>
                <w:sz w:val="24"/>
                <w:szCs w:val="24"/>
              </w:rPr>
            </w:pPr>
            <w:r>
              <w:rPr>
                <w:rFonts w:hint="eastAsia" w:cs="Times New Roman"/>
                <w:b/>
                <w:color w:val="auto"/>
                <w:sz w:val="24"/>
                <w:szCs w:val="24"/>
                <w:lang w:val="en-US" w:eastAsia="zh-CN"/>
              </w:rPr>
              <w:t>4.3.2</w:t>
            </w:r>
            <w:r>
              <w:rPr>
                <w:rFonts w:hint="eastAsia" w:ascii="黑体" w:hAnsi="黑体" w:eastAsia="黑体" w:cs="黑体"/>
                <w:b/>
                <w:color w:val="auto"/>
                <w:sz w:val="24"/>
                <w:szCs w:val="24"/>
              </w:rPr>
              <w:t>噪声治理措施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为减少噪声源对周围环境的影响，采取锅炉房采用隔声门窗，墙壁采用吸声材料、给水泵采用隔声罩壳等降噪措施。对主要噪声源采取隔声、降噪措施后，本项目主要噪声源产生的噪声经隔声及距离衰减后边界噪声可以满足《工业企业厂界环境噪声排放标准》(GB12348-2008)中 2 类标准要求，对声环境及周边噪声敏感目标影响较小。</w:t>
            </w:r>
          </w:p>
          <w:p>
            <w:pPr>
              <w:keepNext w:val="0"/>
              <w:keepLines w:val="0"/>
              <w:pageBreakBefore w:val="0"/>
              <w:numPr>
                <w:ilvl w:val="0"/>
                <w:numId w:val="0"/>
              </w:numPr>
              <w:kinsoku/>
              <w:wordWrap/>
              <w:overflowPunct/>
              <w:topLinePunct w:val="0"/>
              <w:autoSpaceDE/>
              <w:autoSpaceDN/>
              <w:bidi w:val="0"/>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4.3.3</w:t>
            </w:r>
            <w:r>
              <w:rPr>
                <w:rFonts w:hint="eastAsia" w:ascii="黑体" w:hAnsi="黑体" w:eastAsia="黑体" w:cs="黑体"/>
                <w:b/>
                <w:bCs/>
                <w:color w:val="auto"/>
                <w:sz w:val="24"/>
                <w:szCs w:val="24"/>
                <w:lang w:val="en-US" w:eastAsia="zh-CN"/>
              </w:rPr>
              <w:t>监测要求</w:t>
            </w:r>
          </w:p>
          <w:p>
            <w:pPr>
              <w:keepNext w:val="0"/>
              <w:keepLines w:val="0"/>
              <w:pageBreakBefore w:val="0"/>
              <w:kinsoku/>
              <w:wordWrap/>
              <w:overflowPunct/>
              <w:topLinePunct w:val="0"/>
              <w:autoSpaceDE/>
              <w:autoSpaceDN/>
              <w:bidi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根据《排污单位自行监测技术指南 总则》（HJ 819-2017)的要求，针对拟建项目所排污染物情况，噪声监测计划见下表。</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eastAsia="黑体" w:cs="Times New Roman"/>
                <w:b/>
                <w:caps w:val="0"/>
                <w:color w:val="auto"/>
                <w:kern w:val="16"/>
                <w:sz w:val="24"/>
                <w:szCs w:val="24"/>
                <w:lang w:val="en-US" w:eastAsia="zh-CN" w:bidi="ar-SA"/>
              </w:rPr>
            </w:pPr>
            <w:r>
              <w:rPr>
                <w:rFonts w:hint="default" w:ascii="Times New Roman" w:hAnsi="Times New Roman" w:eastAsia="黑体" w:cs="Times New Roman"/>
                <w:b/>
                <w:caps w:val="0"/>
                <w:color w:val="auto"/>
                <w:kern w:val="16"/>
                <w:sz w:val="24"/>
                <w:szCs w:val="24"/>
                <w:lang w:val="en-US" w:eastAsia="zh-CN" w:bidi="ar-SA"/>
              </w:rPr>
              <w:t>表</w:t>
            </w:r>
            <w:r>
              <w:rPr>
                <w:rFonts w:hint="eastAsia" w:eastAsia="黑体" w:cs="Times New Roman"/>
                <w:b/>
                <w:caps w:val="0"/>
                <w:color w:val="auto"/>
                <w:kern w:val="16"/>
                <w:sz w:val="24"/>
                <w:szCs w:val="24"/>
                <w:lang w:val="en-US" w:eastAsia="zh-CN" w:bidi="ar-SA"/>
              </w:rPr>
              <w:t>45</w:t>
            </w:r>
            <w:r>
              <w:rPr>
                <w:rFonts w:hint="default" w:ascii="Times New Roman" w:hAnsi="Times New Roman" w:eastAsia="黑体" w:cs="Times New Roman"/>
                <w:b/>
                <w:caps w:val="0"/>
                <w:color w:val="auto"/>
                <w:kern w:val="16"/>
                <w:sz w:val="24"/>
                <w:szCs w:val="24"/>
                <w:lang w:val="en-US" w:eastAsia="zh-CN" w:bidi="ar-SA"/>
              </w:rPr>
              <w:t xml:space="preserve"> 项目监测要求一览表</w:t>
            </w:r>
          </w:p>
          <w:tbl>
            <w:tblPr>
              <w:tblStyle w:val="20"/>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1"/>
              <w:gridCol w:w="1303"/>
              <w:gridCol w:w="1100"/>
              <w:gridCol w:w="917"/>
              <w:gridCol w:w="754"/>
              <w:gridCol w:w="1144"/>
              <w:gridCol w:w="19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1" w:type="dxa"/>
                  <w:tcBorders>
                    <w:top w:val="single" w:color="auto" w:sz="12" w:space="0"/>
                    <w:left w:val="single" w:color="auto" w:sz="12" w:space="0"/>
                    <w:bottom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w:t>
                  </w:r>
                </w:p>
                <w:p>
                  <w:pPr>
                    <w:keepNext w:val="0"/>
                    <w:keepLines w:val="0"/>
                    <w:pageBreakBefore w:val="0"/>
                    <w:widowControl/>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内容</w:t>
                  </w:r>
                </w:p>
              </w:tc>
              <w:tc>
                <w:tcPr>
                  <w:tcW w:w="1303" w:type="dxa"/>
                  <w:tcBorders>
                    <w:top w:val="single" w:color="auto" w:sz="12"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污染物名称</w:t>
                  </w:r>
                </w:p>
              </w:tc>
              <w:tc>
                <w:tcPr>
                  <w:tcW w:w="1100" w:type="dxa"/>
                  <w:tcBorders>
                    <w:top w:val="single" w:color="auto" w:sz="12"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监测点位</w:t>
                  </w:r>
                </w:p>
              </w:tc>
              <w:tc>
                <w:tcPr>
                  <w:tcW w:w="917" w:type="dxa"/>
                  <w:tcBorders>
                    <w:top w:val="single" w:color="auto" w:sz="12"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w:t>
                  </w:r>
                </w:p>
                <w:p>
                  <w:pPr>
                    <w:keepNext w:val="0"/>
                    <w:keepLines w:val="0"/>
                    <w:pageBreakBefore w:val="0"/>
                    <w:widowControl/>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设施</w:t>
                  </w:r>
                </w:p>
              </w:tc>
              <w:tc>
                <w:tcPr>
                  <w:tcW w:w="754" w:type="dxa"/>
                  <w:tcBorders>
                    <w:top w:val="single" w:color="auto" w:sz="12"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w:t>
                  </w:r>
                </w:p>
                <w:p>
                  <w:pPr>
                    <w:keepNext w:val="0"/>
                    <w:keepLines w:val="0"/>
                    <w:pageBreakBefore w:val="0"/>
                    <w:widowControl/>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频次</w:t>
                  </w:r>
                </w:p>
              </w:tc>
              <w:tc>
                <w:tcPr>
                  <w:tcW w:w="1144" w:type="dxa"/>
                  <w:tcBorders>
                    <w:top w:val="single" w:color="auto" w:sz="12"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手工监测</w:t>
                  </w:r>
                </w:p>
                <w:p>
                  <w:pPr>
                    <w:keepNext w:val="0"/>
                    <w:keepLines w:val="0"/>
                    <w:pageBreakBefore w:val="0"/>
                    <w:widowControl/>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频次</w:t>
                  </w:r>
                </w:p>
              </w:tc>
              <w:tc>
                <w:tcPr>
                  <w:tcW w:w="1958" w:type="dxa"/>
                  <w:tcBorders>
                    <w:top w:val="single" w:color="auto" w:sz="12" w:space="0"/>
                    <w:left w:val="single" w:color="auto" w:sz="4" w:space="0"/>
                    <w:bottom w:val="single" w:color="auto" w:sz="4" w:space="0"/>
                    <w:right w:val="single" w:color="auto" w:sz="12" w:space="0"/>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手工测定方法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1" w:type="dxa"/>
                  <w:tcBorders>
                    <w:top w:val="single" w:color="auto" w:sz="4" w:space="0"/>
                    <w:left w:val="single" w:color="auto" w:sz="12" w:space="0"/>
                    <w:bottom w:val="single" w:color="auto" w:sz="12"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303" w:type="dxa"/>
                  <w:tcBorders>
                    <w:top w:val="single" w:color="auto" w:sz="4" w:space="0"/>
                    <w:left w:val="single" w:color="auto" w:sz="4" w:space="0"/>
                    <w:bottom w:val="single" w:color="auto" w:sz="12"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Leq（昼）</w:t>
                  </w:r>
                </w:p>
              </w:tc>
              <w:tc>
                <w:tcPr>
                  <w:tcW w:w="1100" w:type="dxa"/>
                  <w:tcBorders>
                    <w:top w:val="single" w:color="auto" w:sz="4" w:space="0"/>
                    <w:left w:val="single" w:color="auto" w:sz="4" w:space="0"/>
                    <w:bottom w:val="single" w:color="auto" w:sz="12"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厂界四周</w:t>
                  </w:r>
                </w:p>
              </w:tc>
              <w:tc>
                <w:tcPr>
                  <w:tcW w:w="917" w:type="dxa"/>
                  <w:tcBorders>
                    <w:top w:val="single" w:color="auto" w:sz="4" w:space="0"/>
                    <w:left w:val="single" w:color="auto" w:sz="4" w:space="0"/>
                    <w:bottom w:val="single" w:color="auto" w:sz="12"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声级计</w:t>
                  </w:r>
                </w:p>
              </w:tc>
              <w:tc>
                <w:tcPr>
                  <w:tcW w:w="754" w:type="dxa"/>
                  <w:tcBorders>
                    <w:top w:val="single" w:color="auto" w:sz="4" w:space="0"/>
                    <w:left w:val="single" w:color="auto" w:sz="4" w:space="0"/>
                    <w:bottom w:val="single" w:color="auto" w:sz="12"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1次/季度</w:t>
                  </w:r>
                </w:p>
              </w:tc>
              <w:tc>
                <w:tcPr>
                  <w:tcW w:w="1144" w:type="dxa"/>
                  <w:tcBorders>
                    <w:top w:val="single" w:color="auto" w:sz="4" w:space="0"/>
                    <w:left w:val="single" w:color="auto" w:sz="4" w:space="0"/>
                    <w:bottom w:val="single" w:color="auto" w:sz="12" w:space="0"/>
                    <w:right w:val="single" w:color="auto" w:sz="4" w:space="0"/>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昼间时段</w:t>
                  </w:r>
                </w:p>
                <w:p>
                  <w:pPr>
                    <w:keepNext w:val="0"/>
                    <w:keepLines w:val="0"/>
                    <w:pageBreakBefore w:val="0"/>
                    <w:widowControl/>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测量</w:t>
                  </w:r>
                </w:p>
              </w:tc>
              <w:tc>
                <w:tcPr>
                  <w:tcW w:w="1958" w:type="dxa"/>
                  <w:tcBorders>
                    <w:top w:val="single" w:color="auto" w:sz="4" w:space="0"/>
                    <w:left w:val="single" w:color="auto" w:sz="4" w:space="0"/>
                    <w:bottom w:val="single" w:color="auto" w:sz="12" w:space="0"/>
                    <w:right w:val="single" w:color="auto" w:sz="12" w:space="0"/>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《工业企业厂界环境噪声排放标准》</w:t>
                  </w:r>
                </w:p>
                <w:p>
                  <w:pPr>
                    <w:keepNext w:val="0"/>
                    <w:keepLines w:val="0"/>
                    <w:pageBreakBefore w:val="0"/>
                    <w:widowControl/>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（GB12348-2008）</w:t>
                  </w:r>
                </w:p>
              </w:tc>
            </w:tr>
          </w:tbl>
          <w:p>
            <w:pPr>
              <w:keepNext w:val="0"/>
              <w:keepLines w:val="0"/>
              <w:pageBreakBefore w:val="0"/>
              <w:numPr>
                <w:ilvl w:val="0"/>
                <w:numId w:val="0"/>
              </w:numPr>
              <w:kinsoku/>
              <w:wordWrap/>
              <w:overflowPunct/>
              <w:topLinePunct w:val="0"/>
              <w:autoSpaceDE/>
              <w:autoSpaceDN/>
              <w:bidi w:val="0"/>
              <w:spacing w:line="360" w:lineRule="auto"/>
              <w:ind w:firstLine="482" w:firstLineChars="200"/>
              <w:rPr>
                <w:rFonts w:hint="eastAsia" w:ascii="黑体" w:hAnsi="黑体" w:eastAsia="黑体" w:cs="黑体"/>
                <w:b/>
                <w:bCs/>
                <w:color w:val="auto"/>
                <w:sz w:val="24"/>
                <w:szCs w:val="24"/>
                <w:lang w:val="en-US" w:eastAsia="zh-CN"/>
              </w:rPr>
            </w:pPr>
            <w:r>
              <w:rPr>
                <w:rFonts w:hint="eastAsia" w:cs="Times New Roman"/>
                <w:b/>
                <w:bCs/>
                <w:color w:val="auto"/>
                <w:sz w:val="24"/>
                <w:szCs w:val="24"/>
                <w:lang w:val="en-US" w:eastAsia="zh-CN"/>
              </w:rPr>
              <w:t>4.3.4</w:t>
            </w:r>
            <w:r>
              <w:rPr>
                <w:rFonts w:hint="eastAsia" w:ascii="黑体" w:hAnsi="黑体" w:eastAsia="黑体" w:cs="黑体"/>
                <w:b/>
                <w:bCs/>
                <w:color w:val="auto"/>
                <w:sz w:val="24"/>
                <w:szCs w:val="24"/>
                <w:lang w:val="en-US" w:eastAsia="zh-CN"/>
              </w:rPr>
              <w:t>预测模式及参数选择</w:t>
            </w:r>
          </w:p>
          <w:p>
            <w:pPr>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根据《环境影响评价技术导则 声环境》（HJ2.4-2009）中的要求，本次评价采取导则推荐模式。</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单个室外的点声源在预测点产生的声级计算基本公式</w:t>
            </w:r>
            <w:r>
              <w:rPr>
                <w:rFonts w:hint="default" w:ascii="Times New Roman" w:hAnsi="Times New Roman" w:eastAsia="宋体" w:cs="Times New Roman"/>
                <w:color w:val="0000FF"/>
                <w:sz w:val="24"/>
                <w:szCs w:val="24"/>
                <w:lang w:eastAsia="zh-CN"/>
              </w:rPr>
              <w:t>，</w:t>
            </w:r>
            <w:r>
              <w:rPr>
                <w:rFonts w:hint="default" w:ascii="Times New Roman" w:hAnsi="Times New Roman" w:eastAsia="宋体" w:cs="Times New Roman"/>
                <w:color w:val="0000FF"/>
                <w:sz w:val="24"/>
                <w:szCs w:val="24"/>
              </w:rPr>
              <w:t>如已知声源的倍频带声功率级（从63Hz到8KHz标称频带中心频率的8个倍频带），预测点位置的倍频带声压级可按以下公式计算：</w:t>
            </w:r>
          </w:p>
          <w:p>
            <w:pPr>
              <w:keepNext w:val="0"/>
              <w:keepLines w:val="0"/>
              <w:pageBreakBefore w:val="0"/>
              <w:widowControl w:val="0"/>
              <w:numPr>
                <w:ilvl w:val="0"/>
                <w:numId w:val="0"/>
              </w:numPr>
              <w:kinsoku/>
              <w:wordWrap/>
              <w:overflowPunct/>
              <w:topLinePunct w:val="0"/>
              <w:autoSpaceDE/>
              <w:autoSpaceDN/>
              <w:bidi w:val="0"/>
              <w:snapToGrid/>
              <w:spacing w:line="440" w:lineRule="exact"/>
              <w:ind w:firstLine="420" w:firstLineChars="20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fldChar w:fldCharType="begin"/>
            </w:r>
            <w:r>
              <w:rPr>
                <w:rFonts w:hint="default" w:ascii="Times New Roman" w:hAnsi="Times New Roman" w:eastAsia="宋体" w:cs="Times New Roman"/>
                <w:color w:val="0000FF"/>
                <w:sz w:val="21"/>
                <w:szCs w:val="21"/>
              </w:rPr>
              <w:instrText xml:space="preserve">INCLUDEPICTURE "file:///F:/2015.12之后环评/2015.12-环评报告/2017年环评报告/2017年2月/寿光市裕鑫化工环评/Application%20Data/Local%20Settings/Temp/4_)47U7OBLFXSWD)67UW%60QH.jpg" \* MERGEFORMATINET </w:instrText>
            </w:r>
            <w:r>
              <w:rPr>
                <w:rFonts w:hint="default" w:ascii="Times New Roman" w:hAnsi="Times New Roman" w:eastAsia="宋体" w:cs="Times New Roman"/>
                <w:color w:val="0000FF"/>
                <w:sz w:val="21"/>
                <w:szCs w:val="21"/>
              </w:rPr>
              <w:fldChar w:fldCharType="separate"/>
            </w:r>
            <w:r>
              <w:rPr>
                <w:rFonts w:hint="default" w:ascii="Times New Roman" w:hAnsi="Times New Roman" w:eastAsia="宋体" w:cs="Times New Roman"/>
                <w:color w:val="0000FF"/>
                <w:sz w:val="21"/>
                <w:szCs w:val="21"/>
              </w:rPr>
              <w:drawing>
                <wp:inline distT="0" distB="0" distL="114300" distR="114300">
                  <wp:extent cx="1276350" cy="228600"/>
                  <wp:effectExtent l="0" t="0" r="0" b="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33"/>
                          <a:stretch>
                            <a:fillRect/>
                          </a:stretch>
                        </pic:blipFill>
                        <pic:spPr>
                          <a:xfrm>
                            <a:off x="0" y="0"/>
                            <a:ext cx="1276350" cy="228600"/>
                          </a:xfrm>
                          <a:prstGeom prst="rect">
                            <a:avLst/>
                          </a:prstGeom>
                          <a:noFill/>
                          <a:ln>
                            <a:noFill/>
                          </a:ln>
                        </pic:spPr>
                      </pic:pic>
                    </a:graphicData>
                  </a:graphic>
                </wp:inline>
              </w:drawing>
            </w:r>
            <w:r>
              <w:rPr>
                <w:rFonts w:hint="default" w:ascii="Times New Roman" w:hAnsi="Times New Roman" w:eastAsia="宋体" w:cs="Times New Roman"/>
                <w:color w:val="0000FF"/>
                <w:sz w:val="21"/>
                <w:szCs w:val="21"/>
              </w:rPr>
              <w:fldChar w:fldCharType="end"/>
            </w:r>
          </w:p>
          <w:p>
            <w:pPr>
              <w:keepNext w:val="0"/>
              <w:keepLines w:val="0"/>
              <w:pageBreakBefore w:val="0"/>
              <w:widowControl w:val="0"/>
              <w:numPr>
                <w:ilvl w:val="0"/>
                <w:numId w:val="0"/>
              </w:numPr>
              <w:kinsoku/>
              <w:wordWrap/>
              <w:overflowPunct/>
              <w:topLinePunct w:val="0"/>
              <w:autoSpaceDE/>
              <w:autoSpaceDN/>
              <w:bidi w:val="0"/>
              <w:snapToGrid/>
              <w:spacing w:line="440" w:lineRule="exact"/>
              <w:ind w:firstLine="420" w:firstLineChars="200"/>
              <w:jc w:val="center"/>
              <w:textAlignment w:val="auto"/>
              <w:rPr>
                <w:rFonts w:hint="default"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rPr>
              <w:fldChar w:fldCharType="begin"/>
            </w:r>
            <w:r>
              <w:rPr>
                <w:rFonts w:hint="default" w:ascii="Times New Roman" w:hAnsi="Times New Roman" w:eastAsia="宋体" w:cs="Times New Roman"/>
                <w:color w:val="0000FF"/>
                <w:sz w:val="21"/>
                <w:szCs w:val="21"/>
              </w:rPr>
              <w:instrText xml:space="preserve">INCLUDEPICTURE "file:///F:/2015.12之后环评/2015.12-环评报告/2017年环评报告/2017年2月/寿光市裕鑫化工环评/Application%20Data/Local%20Settings/Temp/RB@224TJ1J60Y%7bD(301UX2O.jpg" \* MERGEFORMATINET </w:instrText>
            </w:r>
            <w:r>
              <w:rPr>
                <w:rFonts w:hint="default" w:ascii="Times New Roman" w:hAnsi="Times New Roman" w:eastAsia="宋体" w:cs="Times New Roman"/>
                <w:color w:val="0000FF"/>
                <w:sz w:val="21"/>
                <w:szCs w:val="21"/>
              </w:rPr>
              <w:fldChar w:fldCharType="separate"/>
            </w:r>
            <w:r>
              <w:rPr>
                <w:rFonts w:hint="default" w:ascii="Times New Roman" w:hAnsi="Times New Roman" w:eastAsia="宋体" w:cs="Times New Roman"/>
                <w:color w:val="0000FF"/>
                <w:sz w:val="21"/>
                <w:szCs w:val="21"/>
              </w:rPr>
              <w:drawing>
                <wp:inline distT="0" distB="0" distL="114300" distR="114300">
                  <wp:extent cx="2181225" cy="285750"/>
                  <wp:effectExtent l="0" t="0" r="9525" b="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34"/>
                          <a:stretch>
                            <a:fillRect/>
                          </a:stretch>
                        </pic:blipFill>
                        <pic:spPr>
                          <a:xfrm>
                            <a:off x="0" y="0"/>
                            <a:ext cx="2181225" cy="285750"/>
                          </a:xfrm>
                          <a:prstGeom prst="rect">
                            <a:avLst/>
                          </a:prstGeom>
                          <a:noFill/>
                          <a:ln>
                            <a:noFill/>
                          </a:ln>
                        </pic:spPr>
                      </pic:pic>
                    </a:graphicData>
                  </a:graphic>
                </wp:inline>
              </w:drawing>
            </w:r>
            <w:r>
              <w:rPr>
                <w:rFonts w:hint="default" w:ascii="Times New Roman" w:hAnsi="Times New Roman" w:eastAsia="宋体" w:cs="Times New Roman"/>
                <w:color w:val="0000FF"/>
                <w:sz w:val="21"/>
                <w:szCs w:val="21"/>
              </w:rPr>
              <w:fldChar w:fldCharType="end"/>
            </w:r>
          </w:p>
          <w:p>
            <w:pPr>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式中：</w:t>
            </w:r>
          </w:p>
          <w:p>
            <w:pPr>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L—倍频带声功率级，dB；</w:t>
            </w:r>
          </w:p>
          <w:p>
            <w:pPr>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D—指向性校正，dB；它描述点声源的等效连续声压级与产生声功率级的全向点声源在规定方向的级的偏差程度。指向性校正等于点声源的指向性指数DI加上计到小于4π球面度（sr）立体角内的声传播指数DΩ。对辐射到自由空间的全向点声源，Dc=0dB。</w:t>
            </w:r>
          </w:p>
          <w:p>
            <w:pPr>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A — 倍频带衰减，dB；</w:t>
            </w:r>
          </w:p>
          <w:p>
            <w:pPr>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Adiv—几何发散引起的倍频带衰减，dB；</w:t>
            </w:r>
          </w:p>
          <w:p>
            <w:pPr>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Aatm—大气吸收引起的倍频带衰减，dB；</w:t>
            </w:r>
          </w:p>
          <w:p>
            <w:pPr>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Agr—地面效应引起的倍频带衰减，dB；</w:t>
            </w:r>
          </w:p>
          <w:p>
            <w:pPr>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Abar— 声屏障引起的倍频带衰减，dB；</w:t>
            </w:r>
          </w:p>
          <w:p>
            <w:pPr>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Amisc—其他多方面效应引起的倍频带衰减，dB。</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如已知靠近声源处某点的倍频带声压级LP(r0)时，相同方向预测点位置的倍频带声压级LP(r)可按以下公式计算：</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fldChar w:fldCharType="begin"/>
            </w:r>
            <w:r>
              <w:rPr>
                <w:rFonts w:hint="default" w:ascii="Times New Roman" w:hAnsi="Times New Roman" w:eastAsia="宋体" w:cs="Times New Roman"/>
                <w:color w:val="0000FF"/>
                <w:sz w:val="24"/>
                <w:szCs w:val="24"/>
              </w:rPr>
              <w:instrText xml:space="preserve">INCLUDEPICTURE "file:///F:/2015.12之后环评/2015.12-环评报告/2017年环评报告/2017年2月/寿光市裕鑫化工环评/Application%20Data/Local%20Settings/Temp/LF_4%5bL)7QAI$K7$X8PO%60OQP.jpg" \* MERGEFORMATINET </w:instrText>
            </w:r>
            <w:r>
              <w:rPr>
                <w:rFonts w:hint="default" w:ascii="Times New Roman" w:hAnsi="Times New Roman" w:eastAsia="宋体" w:cs="Times New Roman"/>
                <w:color w:val="0000FF"/>
                <w:sz w:val="24"/>
                <w:szCs w:val="24"/>
              </w:rPr>
              <w:fldChar w:fldCharType="separate"/>
            </w:r>
            <w:r>
              <w:rPr>
                <w:rFonts w:hint="default" w:ascii="Times New Roman" w:hAnsi="Times New Roman" w:eastAsia="宋体" w:cs="Times New Roman"/>
                <w:color w:val="0000FF"/>
                <w:sz w:val="24"/>
                <w:szCs w:val="24"/>
              </w:rPr>
              <w:drawing>
                <wp:inline distT="0" distB="0" distL="114300" distR="114300">
                  <wp:extent cx="1343025" cy="248285"/>
                  <wp:effectExtent l="0" t="0" r="9525" b="18415"/>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35"/>
                          <a:stretch>
                            <a:fillRect/>
                          </a:stretch>
                        </pic:blipFill>
                        <pic:spPr>
                          <a:xfrm>
                            <a:off x="0" y="0"/>
                            <a:ext cx="1343025" cy="248285"/>
                          </a:xfrm>
                          <a:prstGeom prst="rect">
                            <a:avLst/>
                          </a:prstGeom>
                          <a:noFill/>
                          <a:ln>
                            <a:noFill/>
                          </a:ln>
                        </pic:spPr>
                      </pic:pic>
                    </a:graphicData>
                  </a:graphic>
                </wp:inline>
              </w:drawing>
            </w:r>
            <w:r>
              <w:rPr>
                <w:rFonts w:hint="default" w:ascii="Times New Roman" w:hAnsi="Times New Roman" w:eastAsia="宋体" w:cs="Times New Roman"/>
                <w:color w:val="0000FF"/>
                <w:sz w:val="24"/>
                <w:szCs w:val="24"/>
              </w:rPr>
              <w:fldChar w:fldCharType="end"/>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预测点的A声级，可利用8个倍频带的声压级LA（r）按公式计算：</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center"/>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lang w:bidi="ar"/>
              </w:rPr>
              <w:fldChar w:fldCharType="begin"/>
            </w:r>
            <w:r>
              <w:rPr>
                <w:rFonts w:hint="default" w:ascii="Times New Roman" w:hAnsi="Times New Roman" w:eastAsia="宋体" w:cs="Times New Roman"/>
                <w:color w:val="0000FF"/>
                <w:sz w:val="24"/>
                <w:szCs w:val="24"/>
                <w:lang w:bidi="ar"/>
              </w:rPr>
              <w:instrText xml:space="preserve">INCLUDEPICTURE "file:///F:/2015.12之后环评/2015.12-环评报告/2017年环评报告/2017年2月/寿光市裕鑫化工环评/Application%20Data/Local%20Settings/Temp/%5dL8XMQ8M9AP7%5d55T(0K(%7dC0.jpg" \* MERGEFORMATINET </w:instrText>
            </w:r>
            <w:r>
              <w:rPr>
                <w:rFonts w:hint="default" w:ascii="Times New Roman" w:hAnsi="Times New Roman" w:eastAsia="宋体" w:cs="Times New Roman"/>
                <w:color w:val="0000FF"/>
                <w:sz w:val="24"/>
                <w:szCs w:val="24"/>
                <w:lang w:bidi="ar"/>
              </w:rPr>
              <w:fldChar w:fldCharType="separate"/>
            </w:r>
            <w:r>
              <w:rPr>
                <w:rFonts w:hint="default" w:ascii="Times New Roman" w:hAnsi="Times New Roman" w:eastAsia="宋体" w:cs="Times New Roman"/>
                <w:color w:val="0000FF"/>
                <w:sz w:val="24"/>
                <w:szCs w:val="24"/>
                <w:lang w:bidi="ar"/>
              </w:rPr>
              <w:drawing>
                <wp:inline distT="0" distB="0" distL="114300" distR="114300">
                  <wp:extent cx="1914525" cy="485775"/>
                  <wp:effectExtent l="0" t="0" r="9525" b="952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36"/>
                          <a:stretch>
                            <a:fillRect/>
                          </a:stretch>
                        </pic:blipFill>
                        <pic:spPr>
                          <a:xfrm>
                            <a:off x="0" y="0"/>
                            <a:ext cx="1914525" cy="485775"/>
                          </a:xfrm>
                          <a:prstGeom prst="rect">
                            <a:avLst/>
                          </a:prstGeom>
                          <a:noFill/>
                          <a:ln>
                            <a:noFill/>
                          </a:ln>
                        </pic:spPr>
                      </pic:pic>
                    </a:graphicData>
                  </a:graphic>
                </wp:inline>
              </w:drawing>
            </w:r>
            <w:r>
              <w:rPr>
                <w:rFonts w:hint="default" w:ascii="Times New Roman" w:hAnsi="Times New Roman" w:eastAsia="宋体" w:cs="Times New Roman"/>
                <w:color w:val="0000FF"/>
                <w:sz w:val="24"/>
                <w:szCs w:val="24"/>
                <w:lang w:bidi="ar"/>
              </w:rPr>
              <w:fldChar w:fldCharType="end"/>
            </w:r>
          </w:p>
          <w:p>
            <w:pPr>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式中：</w:t>
            </w:r>
          </w:p>
          <w:p>
            <w:pPr>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L</w:t>
            </w:r>
            <w:r>
              <w:rPr>
                <w:rFonts w:hint="default" w:ascii="Times New Roman" w:hAnsi="Times New Roman" w:eastAsia="宋体" w:cs="Times New Roman"/>
                <w:color w:val="0000FF"/>
                <w:sz w:val="24"/>
                <w:szCs w:val="24"/>
                <w:vertAlign w:val="subscript"/>
              </w:rPr>
              <w:t xml:space="preserve">Pi </w:t>
            </w:r>
            <w:r>
              <w:rPr>
                <w:rFonts w:hint="default" w:ascii="Times New Roman" w:hAnsi="Times New Roman" w:eastAsia="宋体" w:cs="Times New Roman"/>
                <w:color w:val="0000FF"/>
                <w:sz w:val="24"/>
                <w:szCs w:val="24"/>
              </w:rPr>
              <w:t>(r)—预测点（r）处，第i倍频带声压级，dB；</w:t>
            </w:r>
          </w:p>
          <w:p>
            <w:pPr>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ΔLi —i倍频带A计权网络修正值，dB。</w:t>
            </w:r>
          </w:p>
          <w:p>
            <w:pPr>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0000FF"/>
                <w:sz w:val="24"/>
                <w:szCs w:val="24"/>
                <w:lang w:eastAsia="zh-CN"/>
              </w:rPr>
            </w:pPr>
            <w:r>
              <w:rPr>
                <w:rFonts w:hint="default" w:ascii="Times New Roman" w:hAnsi="Times New Roman" w:eastAsia="宋体" w:cs="Times New Roman"/>
                <w:color w:val="0000FF"/>
                <w:sz w:val="24"/>
                <w:szCs w:val="24"/>
              </w:rPr>
              <w:t>63Hz～16000Hz范围内的A计权网络修正值如下表</w:t>
            </w:r>
            <w:r>
              <w:rPr>
                <w:rFonts w:hint="default" w:ascii="Times New Roman" w:hAnsi="Times New Roman" w:eastAsia="宋体" w:cs="Times New Roman"/>
                <w:color w:val="0000FF"/>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0000FF"/>
                <w:sz w:val="24"/>
                <w:szCs w:val="24"/>
                <w:lang w:val="zh-CN" w:eastAsia="zh-CN"/>
              </w:rPr>
            </w:pPr>
            <w:r>
              <w:rPr>
                <w:rFonts w:hint="default" w:ascii="Times New Roman" w:hAnsi="Times New Roman" w:eastAsia="宋体" w:cs="Times New Roman"/>
                <w:b/>
                <w:bCs/>
                <w:color w:val="0000FF"/>
                <w:sz w:val="24"/>
                <w:szCs w:val="24"/>
                <w:lang w:val="zh-CN" w:eastAsia="zh-CN"/>
              </w:rPr>
              <w:t>表4</w:t>
            </w:r>
            <w:r>
              <w:rPr>
                <w:rFonts w:hint="eastAsia" w:cs="Times New Roman"/>
                <w:b/>
                <w:bCs/>
                <w:color w:val="0000FF"/>
                <w:sz w:val="24"/>
                <w:szCs w:val="24"/>
                <w:lang w:val="en-US" w:eastAsia="zh-CN"/>
              </w:rPr>
              <w:t xml:space="preserve">6 </w:t>
            </w:r>
            <w:r>
              <w:rPr>
                <w:rFonts w:hint="default" w:ascii="Times New Roman" w:hAnsi="Times New Roman" w:eastAsia="宋体" w:cs="Times New Roman"/>
                <w:b/>
                <w:bCs/>
                <w:color w:val="0000FF"/>
                <w:sz w:val="24"/>
                <w:szCs w:val="24"/>
                <w:lang w:val="zh-CN" w:eastAsia="zh-CN"/>
              </w:rPr>
              <w:t>A计权网络修正值</w:t>
            </w:r>
          </w:p>
          <w:tbl>
            <w:tblPr>
              <w:tblStyle w:val="20"/>
              <w:tblW w:w="793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19"/>
              <w:gridCol w:w="699"/>
              <w:gridCol w:w="733"/>
              <w:gridCol w:w="801"/>
              <w:gridCol w:w="801"/>
              <w:gridCol w:w="722"/>
              <w:gridCol w:w="723"/>
              <w:gridCol w:w="636"/>
              <w:gridCol w:w="801"/>
              <w:gridCol w:w="8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19" w:type="dxa"/>
                  <w:tcBorders>
                    <w:top w:val="single" w:color="000000" w:sz="12" w:space="0"/>
                  </w:tcBorders>
                  <w:noWrap w:val="0"/>
                  <w:vAlign w:val="center"/>
                </w:tcPr>
                <w:p>
                  <w:pPr>
                    <w:pStyle w:val="37"/>
                    <w:keepNext w:val="0"/>
                    <w:keepLines w:val="0"/>
                    <w:pageBreakBefore w:val="0"/>
                    <w:widowControl w:val="0"/>
                    <w:kinsoku/>
                    <w:wordWrap/>
                    <w:overflowPunct w:val="0"/>
                    <w:topLinePunct w:val="0"/>
                    <w:autoSpaceDE/>
                    <w:autoSpaceDN/>
                    <w:bidi w:val="0"/>
                    <w:adjustRightInd w:val="0"/>
                    <w:snapToGrid w:val="0"/>
                    <w:spacing w:before="0" w:after="0" w:line="312" w:lineRule="exact"/>
                    <w:ind w:firstLine="0" w:firstLineChars="0"/>
                    <w:jc w:val="center"/>
                    <w:textAlignment w:val="baseline"/>
                    <w:rPr>
                      <w:rFonts w:hint="default" w:ascii="Times New Roman" w:hAnsi="Times New Roman" w:eastAsia="宋体" w:cs="Times New Roman"/>
                      <w:b/>
                      <w:bCs w:val="0"/>
                      <w:color w:val="0000FF"/>
                      <w:sz w:val="21"/>
                      <w:szCs w:val="21"/>
                      <w:lang w:val="en-US" w:eastAsia="zh-CN"/>
                    </w:rPr>
                  </w:pPr>
                  <w:r>
                    <w:rPr>
                      <w:rFonts w:hint="default" w:ascii="Times New Roman" w:hAnsi="Times New Roman" w:eastAsia="宋体" w:cs="Times New Roman"/>
                      <w:b/>
                      <w:bCs w:val="0"/>
                      <w:color w:val="0000FF"/>
                      <w:sz w:val="21"/>
                      <w:szCs w:val="21"/>
                      <w:lang w:val="en-US" w:eastAsia="zh-CN"/>
                    </w:rPr>
                    <w:t>频率（Hz）</w:t>
                  </w:r>
                </w:p>
              </w:tc>
              <w:tc>
                <w:tcPr>
                  <w:tcW w:w="699" w:type="dxa"/>
                  <w:tcBorders>
                    <w:top w:val="single" w:color="000000" w:sz="12" w:space="0"/>
                  </w:tcBorders>
                  <w:noWrap w:val="0"/>
                  <w:vAlign w:val="center"/>
                </w:tcPr>
                <w:p>
                  <w:pPr>
                    <w:pStyle w:val="37"/>
                    <w:keepNext w:val="0"/>
                    <w:keepLines w:val="0"/>
                    <w:pageBreakBefore w:val="0"/>
                    <w:widowControl w:val="0"/>
                    <w:kinsoku/>
                    <w:wordWrap/>
                    <w:overflowPunct w:val="0"/>
                    <w:topLinePunct w:val="0"/>
                    <w:autoSpaceDE/>
                    <w:autoSpaceDN/>
                    <w:bidi w:val="0"/>
                    <w:adjustRightInd w:val="0"/>
                    <w:snapToGrid w:val="0"/>
                    <w:spacing w:before="0" w:after="0" w:line="312" w:lineRule="exact"/>
                    <w:ind w:firstLine="0" w:firstLineChars="0"/>
                    <w:jc w:val="center"/>
                    <w:textAlignment w:val="baseline"/>
                    <w:rPr>
                      <w:rFonts w:hint="default" w:ascii="Times New Roman" w:hAnsi="Times New Roman" w:eastAsia="宋体" w:cs="Times New Roman"/>
                      <w:b/>
                      <w:bCs w:val="0"/>
                      <w:color w:val="0000FF"/>
                      <w:sz w:val="21"/>
                      <w:szCs w:val="21"/>
                      <w:lang w:val="en-US" w:eastAsia="zh-CN"/>
                    </w:rPr>
                  </w:pPr>
                  <w:r>
                    <w:rPr>
                      <w:rFonts w:hint="default" w:ascii="Times New Roman" w:hAnsi="Times New Roman" w:eastAsia="宋体" w:cs="Times New Roman"/>
                      <w:b/>
                      <w:bCs w:val="0"/>
                      <w:color w:val="0000FF"/>
                      <w:sz w:val="21"/>
                      <w:szCs w:val="21"/>
                      <w:lang w:val="en-US" w:eastAsia="zh-CN"/>
                    </w:rPr>
                    <w:t>63</w:t>
                  </w:r>
                </w:p>
              </w:tc>
              <w:tc>
                <w:tcPr>
                  <w:tcW w:w="733" w:type="dxa"/>
                  <w:tcBorders>
                    <w:top w:val="single" w:color="000000" w:sz="12" w:space="0"/>
                  </w:tcBorders>
                  <w:noWrap w:val="0"/>
                  <w:vAlign w:val="center"/>
                </w:tcPr>
                <w:p>
                  <w:pPr>
                    <w:pStyle w:val="37"/>
                    <w:keepNext w:val="0"/>
                    <w:keepLines w:val="0"/>
                    <w:pageBreakBefore w:val="0"/>
                    <w:widowControl w:val="0"/>
                    <w:kinsoku/>
                    <w:wordWrap/>
                    <w:overflowPunct w:val="0"/>
                    <w:topLinePunct w:val="0"/>
                    <w:autoSpaceDE/>
                    <w:autoSpaceDN/>
                    <w:bidi w:val="0"/>
                    <w:adjustRightInd w:val="0"/>
                    <w:snapToGrid w:val="0"/>
                    <w:spacing w:before="0" w:after="0" w:line="312" w:lineRule="exact"/>
                    <w:ind w:firstLine="0" w:firstLineChars="0"/>
                    <w:jc w:val="center"/>
                    <w:textAlignment w:val="baseline"/>
                    <w:rPr>
                      <w:rFonts w:hint="default" w:ascii="Times New Roman" w:hAnsi="Times New Roman" w:eastAsia="宋体" w:cs="Times New Roman"/>
                      <w:b/>
                      <w:bCs w:val="0"/>
                      <w:color w:val="0000FF"/>
                      <w:sz w:val="21"/>
                      <w:szCs w:val="21"/>
                      <w:lang w:val="en-US" w:eastAsia="zh-CN"/>
                    </w:rPr>
                  </w:pPr>
                  <w:r>
                    <w:rPr>
                      <w:rFonts w:hint="default" w:ascii="Times New Roman" w:hAnsi="Times New Roman" w:eastAsia="宋体" w:cs="Times New Roman"/>
                      <w:b/>
                      <w:bCs w:val="0"/>
                      <w:color w:val="0000FF"/>
                      <w:sz w:val="21"/>
                      <w:szCs w:val="21"/>
                      <w:lang w:val="en-US" w:eastAsia="zh-CN"/>
                    </w:rPr>
                    <w:t>125</w:t>
                  </w:r>
                </w:p>
              </w:tc>
              <w:tc>
                <w:tcPr>
                  <w:tcW w:w="801" w:type="dxa"/>
                  <w:tcBorders>
                    <w:top w:val="single" w:color="000000" w:sz="12" w:space="0"/>
                  </w:tcBorders>
                  <w:noWrap w:val="0"/>
                  <w:vAlign w:val="center"/>
                </w:tcPr>
                <w:p>
                  <w:pPr>
                    <w:pStyle w:val="37"/>
                    <w:keepNext w:val="0"/>
                    <w:keepLines w:val="0"/>
                    <w:pageBreakBefore w:val="0"/>
                    <w:widowControl w:val="0"/>
                    <w:kinsoku/>
                    <w:wordWrap/>
                    <w:overflowPunct w:val="0"/>
                    <w:topLinePunct w:val="0"/>
                    <w:autoSpaceDE/>
                    <w:autoSpaceDN/>
                    <w:bidi w:val="0"/>
                    <w:adjustRightInd w:val="0"/>
                    <w:snapToGrid w:val="0"/>
                    <w:spacing w:before="0" w:after="0" w:line="312" w:lineRule="exact"/>
                    <w:ind w:firstLine="0" w:firstLineChars="0"/>
                    <w:jc w:val="center"/>
                    <w:textAlignment w:val="baseline"/>
                    <w:rPr>
                      <w:rFonts w:hint="default" w:ascii="Times New Roman" w:hAnsi="Times New Roman" w:eastAsia="宋体" w:cs="Times New Roman"/>
                      <w:b/>
                      <w:bCs w:val="0"/>
                      <w:color w:val="0000FF"/>
                      <w:sz w:val="21"/>
                      <w:szCs w:val="21"/>
                      <w:lang w:val="en-US" w:eastAsia="zh-CN"/>
                    </w:rPr>
                  </w:pPr>
                  <w:r>
                    <w:rPr>
                      <w:rFonts w:hint="default" w:ascii="Times New Roman" w:hAnsi="Times New Roman" w:eastAsia="宋体" w:cs="Times New Roman"/>
                      <w:b/>
                      <w:bCs w:val="0"/>
                      <w:color w:val="0000FF"/>
                      <w:sz w:val="21"/>
                      <w:szCs w:val="21"/>
                      <w:lang w:val="en-US" w:eastAsia="zh-CN"/>
                    </w:rPr>
                    <w:t>250</w:t>
                  </w:r>
                </w:p>
              </w:tc>
              <w:tc>
                <w:tcPr>
                  <w:tcW w:w="801" w:type="dxa"/>
                  <w:tcBorders>
                    <w:top w:val="single" w:color="000000" w:sz="12" w:space="0"/>
                  </w:tcBorders>
                  <w:noWrap w:val="0"/>
                  <w:vAlign w:val="center"/>
                </w:tcPr>
                <w:p>
                  <w:pPr>
                    <w:pStyle w:val="37"/>
                    <w:keepNext w:val="0"/>
                    <w:keepLines w:val="0"/>
                    <w:pageBreakBefore w:val="0"/>
                    <w:widowControl w:val="0"/>
                    <w:kinsoku/>
                    <w:wordWrap/>
                    <w:overflowPunct w:val="0"/>
                    <w:topLinePunct w:val="0"/>
                    <w:autoSpaceDE/>
                    <w:autoSpaceDN/>
                    <w:bidi w:val="0"/>
                    <w:adjustRightInd w:val="0"/>
                    <w:snapToGrid w:val="0"/>
                    <w:spacing w:before="0" w:after="0" w:line="312" w:lineRule="exact"/>
                    <w:ind w:firstLine="0" w:firstLineChars="0"/>
                    <w:jc w:val="center"/>
                    <w:textAlignment w:val="baseline"/>
                    <w:rPr>
                      <w:rFonts w:hint="default" w:ascii="Times New Roman" w:hAnsi="Times New Roman" w:eastAsia="宋体" w:cs="Times New Roman"/>
                      <w:b/>
                      <w:bCs w:val="0"/>
                      <w:color w:val="0000FF"/>
                      <w:sz w:val="21"/>
                      <w:szCs w:val="21"/>
                      <w:lang w:val="en-US" w:eastAsia="zh-CN"/>
                    </w:rPr>
                  </w:pPr>
                  <w:r>
                    <w:rPr>
                      <w:rFonts w:hint="default" w:ascii="Times New Roman" w:hAnsi="Times New Roman" w:eastAsia="宋体" w:cs="Times New Roman"/>
                      <w:b/>
                      <w:bCs w:val="0"/>
                      <w:color w:val="0000FF"/>
                      <w:sz w:val="21"/>
                      <w:szCs w:val="21"/>
                      <w:lang w:val="en-US" w:eastAsia="zh-CN"/>
                    </w:rPr>
                    <w:t>500</w:t>
                  </w:r>
                </w:p>
              </w:tc>
              <w:tc>
                <w:tcPr>
                  <w:tcW w:w="722" w:type="dxa"/>
                  <w:tcBorders>
                    <w:top w:val="single" w:color="000000" w:sz="12" w:space="0"/>
                  </w:tcBorders>
                  <w:noWrap w:val="0"/>
                  <w:vAlign w:val="center"/>
                </w:tcPr>
                <w:p>
                  <w:pPr>
                    <w:pStyle w:val="37"/>
                    <w:keepNext w:val="0"/>
                    <w:keepLines w:val="0"/>
                    <w:pageBreakBefore w:val="0"/>
                    <w:widowControl w:val="0"/>
                    <w:kinsoku/>
                    <w:wordWrap/>
                    <w:overflowPunct w:val="0"/>
                    <w:topLinePunct w:val="0"/>
                    <w:autoSpaceDE/>
                    <w:autoSpaceDN/>
                    <w:bidi w:val="0"/>
                    <w:adjustRightInd w:val="0"/>
                    <w:snapToGrid w:val="0"/>
                    <w:spacing w:before="0" w:after="0" w:line="312" w:lineRule="exact"/>
                    <w:ind w:firstLine="0" w:firstLineChars="0"/>
                    <w:jc w:val="center"/>
                    <w:textAlignment w:val="baseline"/>
                    <w:rPr>
                      <w:rFonts w:hint="default" w:ascii="Times New Roman" w:hAnsi="Times New Roman" w:eastAsia="宋体" w:cs="Times New Roman"/>
                      <w:b/>
                      <w:bCs w:val="0"/>
                      <w:color w:val="0000FF"/>
                      <w:sz w:val="21"/>
                      <w:szCs w:val="21"/>
                      <w:lang w:val="en-US" w:eastAsia="zh-CN"/>
                    </w:rPr>
                  </w:pPr>
                  <w:r>
                    <w:rPr>
                      <w:rFonts w:hint="default" w:ascii="Times New Roman" w:hAnsi="Times New Roman" w:eastAsia="宋体" w:cs="Times New Roman"/>
                      <w:b/>
                      <w:bCs w:val="0"/>
                      <w:color w:val="0000FF"/>
                      <w:sz w:val="21"/>
                      <w:szCs w:val="21"/>
                      <w:lang w:val="en-US" w:eastAsia="zh-CN"/>
                    </w:rPr>
                    <w:t>1000</w:t>
                  </w:r>
                </w:p>
              </w:tc>
              <w:tc>
                <w:tcPr>
                  <w:tcW w:w="723" w:type="dxa"/>
                  <w:tcBorders>
                    <w:top w:val="single" w:color="000000" w:sz="12" w:space="0"/>
                  </w:tcBorders>
                  <w:noWrap w:val="0"/>
                  <w:vAlign w:val="center"/>
                </w:tcPr>
                <w:p>
                  <w:pPr>
                    <w:pStyle w:val="37"/>
                    <w:keepNext w:val="0"/>
                    <w:keepLines w:val="0"/>
                    <w:pageBreakBefore w:val="0"/>
                    <w:widowControl w:val="0"/>
                    <w:kinsoku/>
                    <w:wordWrap/>
                    <w:overflowPunct w:val="0"/>
                    <w:topLinePunct w:val="0"/>
                    <w:autoSpaceDE/>
                    <w:autoSpaceDN/>
                    <w:bidi w:val="0"/>
                    <w:adjustRightInd w:val="0"/>
                    <w:snapToGrid w:val="0"/>
                    <w:spacing w:before="0" w:after="0" w:line="312" w:lineRule="exact"/>
                    <w:ind w:firstLine="0" w:firstLineChars="0"/>
                    <w:jc w:val="center"/>
                    <w:textAlignment w:val="baseline"/>
                    <w:rPr>
                      <w:rFonts w:hint="default" w:ascii="Times New Roman" w:hAnsi="Times New Roman" w:eastAsia="宋体" w:cs="Times New Roman"/>
                      <w:b/>
                      <w:bCs w:val="0"/>
                      <w:color w:val="0000FF"/>
                      <w:sz w:val="21"/>
                      <w:szCs w:val="21"/>
                      <w:lang w:val="en-US" w:eastAsia="zh-CN"/>
                    </w:rPr>
                  </w:pPr>
                  <w:r>
                    <w:rPr>
                      <w:rFonts w:hint="default" w:ascii="Times New Roman" w:hAnsi="Times New Roman" w:eastAsia="宋体" w:cs="Times New Roman"/>
                      <w:b/>
                      <w:bCs w:val="0"/>
                      <w:color w:val="0000FF"/>
                      <w:sz w:val="21"/>
                      <w:szCs w:val="21"/>
                      <w:lang w:val="en-US" w:eastAsia="zh-CN"/>
                    </w:rPr>
                    <w:t>2000</w:t>
                  </w:r>
                </w:p>
              </w:tc>
              <w:tc>
                <w:tcPr>
                  <w:tcW w:w="636" w:type="dxa"/>
                  <w:tcBorders>
                    <w:top w:val="single" w:color="000000" w:sz="12" w:space="0"/>
                  </w:tcBorders>
                  <w:noWrap w:val="0"/>
                  <w:vAlign w:val="center"/>
                </w:tcPr>
                <w:p>
                  <w:pPr>
                    <w:pStyle w:val="37"/>
                    <w:keepNext w:val="0"/>
                    <w:keepLines w:val="0"/>
                    <w:pageBreakBefore w:val="0"/>
                    <w:widowControl w:val="0"/>
                    <w:kinsoku/>
                    <w:wordWrap/>
                    <w:overflowPunct w:val="0"/>
                    <w:topLinePunct w:val="0"/>
                    <w:autoSpaceDE/>
                    <w:autoSpaceDN/>
                    <w:bidi w:val="0"/>
                    <w:adjustRightInd w:val="0"/>
                    <w:snapToGrid w:val="0"/>
                    <w:spacing w:before="0" w:after="0" w:line="312" w:lineRule="exact"/>
                    <w:ind w:firstLine="0" w:firstLineChars="0"/>
                    <w:jc w:val="center"/>
                    <w:textAlignment w:val="baseline"/>
                    <w:rPr>
                      <w:rFonts w:hint="default" w:ascii="Times New Roman" w:hAnsi="Times New Roman" w:eastAsia="宋体" w:cs="Times New Roman"/>
                      <w:b/>
                      <w:bCs w:val="0"/>
                      <w:color w:val="0000FF"/>
                      <w:sz w:val="21"/>
                      <w:szCs w:val="21"/>
                      <w:lang w:val="en-US" w:eastAsia="zh-CN"/>
                    </w:rPr>
                  </w:pPr>
                  <w:r>
                    <w:rPr>
                      <w:rFonts w:hint="default" w:ascii="Times New Roman" w:hAnsi="Times New Roman" w:eastAsia="宋体" w:cs="Times New Roman"/>
                      <w:b/>
                      <w:bCs w:val="0"/>
                      <w:color w:val="0000FF"/>
                      <w:sz w:val="21"/>
                      <w:szCs w:val="21"/>
                      <w:lang w:val="en-US" w:eastAsia="zh-CN"/>
                    </w:rPr>
                    <w:t>4000</w:t>
                  </w:r>
                </w:p>
              </w:tc>
              <w:tc>
                <w:tcPr>
                  <w:tcW w:w="801" w:type="dxa"/>
                  <w:tcBorders>
                    <w:top w:val="single" w:color="000000" w:sz="12" w:space="0"/>
                  </w:tcBorders>
                  <w:noWrap w:val="0"/>
                  <w:vAlign w:val="center"/>
                </w:tcPr>
                <w:p>
                  <w:pPr>
                    <w:pStyle w:val="37"/>
                    <w:keepNext w:val="0"/>
                    <w:keepLines w:val="0"/>
                    <w:pageBreakBefore w:val="0"/>
                    <w:widowControl w:val="0"/>
                    <w:kinsoku/>
                    <w:wordWrap/>
                    <w:overflowPunct w:val="0"/>
                    <w:topLinePunct w:val="0"/>
                    <w:autoSpaceDE/>
                    <w:autoSpaceDN/>
                    <w:bidi w:val="0"/>
                    <w:adjustRightInd w:val="0"/>
                    <w:snapToGrid w:val="0"/>
                    <w:spacing w:before="0" w:after="0" w:line="312" w:lineRule="exact"/>
                    <w:ind w:firstLine="0" w:firstLineChars="0"/>
                    <w:jc w:val="center"/>
                    <w:textAlignment w:val="baseline"/>
                    <w:rPr>
                      <w:rFonts w:hint="default" w:ascii="Times New Roman" w:hAnsi="Times New Roman" w:eastAsia="宋体" w:cs="Times New Roman"/>
                      <w:b/>
                      <w:bCs w:val="0"/>
                      <w:color w:val="0000FF"/>
                      <w:sz w:val="21"/>
                      <w:szCs w:val="21"/>
                      <w:lang w:val="en-US" w:eastAsia="zh-CN"/>
                    </w:rPr>
                  </w:pPr>
                  <w:r>
                    <w:rPr>
                      <w:rFonts w:hint="default" w:ascii="Times New Roman" w:hAnsi="Times New Roman" w:eastAsia="宋体" w:cs="Times New Roman"/>
                      <w:b/>
                      <w:bCs w:val="0"/>
                      <w:color w:val="0000FF"/>
                      <w:sz w:val="21"/>
                      <w:szCs w:val="21"/>
                      <w:lang w:val="en-US" w:eastAsia="zh-CN"/>
                    </w:rPr>
                    <w:t>8000</w:t>
                  </w:r>
                </w:p>
              </w:tc>
              <w:tc>
                <w:tcPr>
                  <w:tcW w:w="802" w:type="dxa"/>
                  <w:tcBorders>
                    <w:top w:val="single" w:color="000000" w:sz="12" w:space="0"/>
                    <w:right w:val="single" w:color="000000" w:sz="12" w:space="0"/>
                  </w:tcBorders>
                  <w:noWrap w:val="0"/>
                  <w:vAlign w:val="center"/>
                </w:tcPr>
                <w:p>
                  <w:pPr>
                    <w:pStyle w:val="37"/>
                    <w:keepNext w:val="0"/>
                    <w:keepLines w:val="0"/>
                    <w:pageBreakBefore w:val="0"/>
                    <w:widowControl w:val="0"/>
                    <w:kinsoku/>
                    <w:wordWrap/>
                    <w:overflowPunct w:val="0"/>
                    <w:topLinePunct w:val="0"/>
                    <w:autoSpaceDE/>
                    <w:autoSpaceDN/>
                    <w:bidi w:val="0"/>
                    <w:adjustRightInd w:val="0"/>
                    <w:snapToGrid w:val="0"/>
                    <w:spacing w:before="0" w:after="0" w:line="312" w:lineRule="exact"/>
                    <w:ind w:firstLine="0" w:firstLineChars="0"/>
                    <w:jc w:val="center"/>
                    <w:textAlignment w:val="baseline"/>
                    <w:rPr>
                      <w:rFonts w:hint="default" w:ascii="Times New Roman" w:hAnsi="Times New Roman" w:eastAsia="宋体" w:cs="Times New Roman"/>
                      <w:b/>
                      <w:bCs w:val="0"/>
                      <w:color w:val="0000FF"/>
                      <w:sz w:val="21"/>
                      <w:szCs w:val="21"/>
                      <w:lang w:val="en-US" w:eastAsia="zh-CN"/>
                    </w:rPr>
                  </w:pPr>
                  <w:r>
                    <w:rPr>
                      <w:rFonts w:hint="default" w:ascii="Times New Roman" w:hAnsi="Times New Roman" w:eastAsia="宋体" w:cs="Times New Roman"/>
                      <w:b/>
                      <w:bCs w:val="0"/>
                      <w:color w:val="0000FF"/>
                      <w:sz w:val="21"/>
                      <w:szCs w:val="21"/>
                      <w:lang w:val="en-US" w:eastAsia="zh-CN"/>
                    </w:rPr>
                    <w:t>16000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19" w:type="dxa"/>
                  <w:tcBorders>
                    <w:left w:val="single" w:color="000000" w:sz="4" w:space="0"/>
                    <w:bottom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12" w:lineRule="exact"/>
                    <w:ind w:firstLine="0" w:firstLineChars="0"/>
                    <w:jc w:val="center"/>
                    <w:textAlignment w:val="auto"/>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ΔLi（dB）</w:t>
                  </w:r>
                </w:p>
              </w:tc>
              <w:tc>
                <w:tcPr>
                  <w:tcW w:w="699" w:type="dxa"/>
                  <w:tcBorders>
                    <w:bottom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12" w:lineRule="exact"/>
                    <w:ind w:firstLine="0" w:firstLineChars="0"/>
                    <w:jc w:val="center"/>
                    <w:textAlignment w:val="auto"/>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-26.2</w:t>
                  </w:r>
                </w:p>
              </w:tc>
              <w:tc>
                <w:tcPr>
                  <w:tcW w:w="733" w:type="dxa"/>
                  <w:tcBorders>
                    <w:bottom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12" w:lineRule="exact"/>
                    <w:ind w:firstLine="0" w:firstLineChars="0"/>
                    <w:jc w:val="center"/>
                    <w:textAlignment w:val="auto"/>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-16.1</w:t>
                  </w:r>
                </w:p>
              </w:tc>
              <w:tc>
                <w:tcPr>
                  <w:tcW w:w="801" w:type="dxa"/>
                  <w:tcBorders>
                    <w:bottom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12" w:lineRule="exact"/>
                    <w:ind w:firstLine="0" w:firstLineChars="0"/>
                    <w:jc w:val="center"/>
                    <w:textAlignment w:val="auto"/>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-8.6</w:t>
                  </w:r>
                </w:p>
              </w:tc>
              <w:tc>
                <w:tcPr>
                  <w:tcW w:w="801" w:type="dxa"/>
                  <w:tcBorders>
                    <w:bottom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12" w:lineRule="exact"/>
                    <w:ind w:firstLine="0" w:firstLineChars="0"/>
                    <w:jc w:val="center"/>
                    <w:textAlignment w:val="auto"/>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-3.2</w:t>
                  </w:r>
                </w:p>
              </w:tc>
              <w:tc>
                <w:tcPr>
                  <w:tcW w:w="722" w:type="dxa"/>
                  <w:tcBorders>
                    <w:bottom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12" w:lineRule="exact"/>
                    <w:ind w:firstLine="0" w:firstLineChars="0"/>
                    <w:jc w:val="center"/>
                    <w:textAlignment w:val="auto"/>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0</w:t>
                  </w:r>
                </w:p>
              </w:tc>
              <w:tc>
                <w:tcPr>
                  <w:tcW w:w="723" w:type="dxa"/>
                  <w:tcBorders>
                    <w:bottom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12" w:lineRule="exact"/>
                    <w:ind w:firstLine="0" w:firstLineChars="0"/>
                    <w:jc w:val="center"/>
                    <w:textAlignment w:val="auto"/>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1.2</w:t>
                  </w:r>
                </w:p>
              </w:tc>
              <w:tc>
                <w:tcPr>
                  <w:tcW w:w="636" w:type="dxa"/>
                  <w:tcBorders>
                    <w:bottom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12" w:lineRule="exact"/>
                    <w:ind w:firstLine="0" w:firstLineChars="0"/>
                    <w:jc w:val="center"/>
                    <w:textAlignment w:val="auto"/>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1.0</w:t>
                  </w:r>
                </w:p>
              </w:tc>
              <w:tc>
                <w:tcPr>
                  <w:tcW w:w="801" w:type="dxa"/>
                  <w:tcBorders>
                    <w:bottom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12" w:lineRule="exact"/>
                    <w:ind w:firstLine="0" w:firstLineChars="0"/>
                    <w:jc w:val="center"/>
                    <w:textAlignment w:val="auto"/>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-1.1</w:t>
                  </w:r>
                </w:p>
              </w:tc>
              <w:tc>
                <w:tcPr>
                  <w:tcW w:w="802" w:type="dxa"/>
                  <w:tcBorders>
                    <w:bottom w:val="single" w:color="000000" w:sz="12" w:space="0"/>
                    <w:right w:val="single" w:color="000000"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12" w:lineRule="exact"/>
                    <w:ind w:firstLine="0" w:firstLineChars="0"/>
                    <w:jc w:val="center"/>
                    <w:textAlignment w:val="auto"/>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-6.6</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在不能取得声源倍频带声功率级或倍频带声压级，只能获得A声功率级或某点的A声级时，可按以下公式作近似计算：</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fldChar w:fldCharType="begin"/>
            </w:r>
            <w:r>
              <w:rPr>
                <w:rFonts w:hint="default" w:ascii="Times New Roman" w:hAnsi="Times New Roman" w:eastAsia="宋体" w:cs="Times New Roman"/>
                <w:color w:val="0000FF"/>
                <w:sz w:val="24"/>
                <w:szCs w:val="24"/>
              </w:rPr>
              <w:instrText xml:space="preserve">INCLUDEPICTURE "file:///F:/2015.12之后环评/2015.12-环评报告/2017年环评报告/2017年2月/寿光市裕鑫化工环评/Application%20Data/Local%20Settings/Temp/)D(VORGFO~_%7d@DKQ%7d%5b@_B$L.jpg" \* MERGEFORMATINET </w:instrText>
            </w:r>
            <w:r>
              <w:rPr>
                <w:rFonts w:hint="default" w:ascii="Times New Roman" w:hAnsi="Times New Roman" w:eastAsia="宋体" w:cs="Times New Roman"/>
                <w:color w:val="0000FF"/>
                <w:sz w:val="24"/>
                <w:szCs w:val="24"/>
              </w:rPr>
              <w:fldChar w:fldCharType="separate"/>
            </w:r>
            <w:r>
              <w:rPr>
                <w:rFonts w:hint="default" w:ascii="Times New Roman" w:hAnsi="Times New Roman" w:eastAsia="宋体" w:cs="Times New Roman"/>
                <w:color w:val="0000FF"/>
                <w:sz w:val="24"/>
                <w:szCs w:val="24"/>
              </w:rPr>
              <w:drawing>
                <wp:inline distT="0" distB="0" distL="114300" distR="114300">
                  <wp:extent cx="1419225" cy="157480"/>
                  <wp:effectExtent l="0" t="0" r="9525" b="139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7"/>
                          <a:stretch>
                            <a:fillRect/>
                          </a:stretch>
                        </pic:blipFill>
                        <pic:spPr>
                          <a:xfrm>
                            <a:off x="0" y="0"/>
                            <a:ext cx="1419225" cy="157480"/>
                          </a:xfrm>
                          <a:prstGeom prst="rect">
                            <a:avLst/>
                          </a:prstGeom>
                          <a:noFill/>
                          <a:ln>
                            <a:noFill/>
                          </a:ln>
                        </pic:spPr>
                      </pic:pic>
                    </a:graphicData>
                  </a:graphic>
                </wp:inline>
              </w:drawing>
            </w:r>
            <w:r>
              <w:rPr>
                <w:rFonts w:hint="default" w:ascii="Times New Roman" w:hAnsi="Times New Roman" w:eastAsia="宋体" w:cs="Times New Roman"/>
                <w:color w:val="0000FF"/>
                <w:sz w:val="24"/>
                <w:szCs w:val="24"/>
              </w:rPr>
              <w:fldChar w:fldCharType="end"/>
            </w:r>
            <w:r>
              <w:rPr>
                <w:rFonts w:hint="default" w:ascii="Times New Roman" w:hAnsi="Times New Roman" w:eastAsia="宋体" w:cs="Times New Roman"/>
                <w:color w:val="0000FF"/>
                <w:sz w:val="24"/>
                <w:szCs w:val="24"/>
              </w:rPr>
              <w:t>或</w:t>
            </w:r>
            <w:r>
              <w:rPr>
                <w:rFonts w:hint="default" w:ascii="Times New Roman" w:hAnsi="Times New Roman" w:eastAsia="宋体" w:cs="Times New Roman"/>
                <w:color w:val="0000FF"/>
                <w:sz w:val="24"/>
                <w:szCs w:val="24"/>
              </w:rPr>
              <w:fldChar w:fldCharType="begin"/>
            </w:r>
            <w:r>
              <w:rPr>
                <w:rFonts w:hint="default" w:ascii="Times New Roman" w:hAnsi="Times New Roman" w:eastAsia="宋体" w:cs="Times New Roman"/>
                <w:color w:val="0000FF"/>
                <w:sz w:val="24"/>
                <w:szCs w:val="24"/>
              </w:rPr>
              <w:instrText xml:space="preserve">INCLUDEPICTURE "file:///F:/2015.12之后环评/2015.12-环评报告/2017年环评报告/2017年2月/寿光市裕鑫化工环评/Application%20Data/Local%20Settings/Temp/I3EF75F)94LZ8_MV9JA%5dB1B.jpg" \* MERGEFORMATINET </w:instrText>
            </w:r>
            <w:r>
              <w:rPr>
                <w:rFonts w:hint="default" w:ascii="Times New Roman" w:hAnsi="Times New Roman" w:eastAsia="宋体" w:cs="Times New Roman"/>
                <w:color w:val="0000FF"/>
                <w:sz w:val="24"/>
                <w:szCs w:val="24"/>
              </w:rPr>
              <w:fldChar w:fldCharType="separate"/>
            </w:r>
            <w:r>
              <w:rPr>
                <w:rFonts w:hint="default" w:ascii="Times New Roman" w:hAnsi="Times New Roman" w:eastAsia="宋体" w:cs="Times New Roman"/>
                <w:color w:val="0000FF"/>
                <w:sz w:val="24"/>
                <w:szCs w:val="24"/>
              </w:rPr>
              <w:drawing>
                <wp:inline distT="0" distB="0" distL="114300" distR="114300">
                  <wp:extent cx="1276350" cy="175895"/>
                  <wp:effectExtent l="0" t="0" r="0" b="14605"/>
                  <wp:docPr id="1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pic:cNvPicPr>
                            <a:picLocks noChangeAspect="1"/>
                          </pic:cNvPicPr>
                        </pic:nvPicPr>
                        <pic:blipFill>
                          <a:blip r:embed="rId38"/>
                          <a:stretch>
                            <a:fillRect/>
                          </a:stretch>
                        </pic:blipFill>
                        <pic:spPr>
                          <a:xfrm>
                            <a:off x="0" y="0"/>
                            <a:ext cx="1276350" cy="175895"/>
                          </a:xfrm>
                          <a:prstGeom prst="rect">
                            <a:avLst/>
                          </a:prstGeom>
                          <a:noFill/>
                          <a:ln>
                            <a:noFill/>
                          </a:ln>
                        </pic:spPr>
                      </pic:pic>
                    </a:graphicData>
                  </a:graphic>
                </wp:inline>
              </w:drawing>
            </w:r>
            <w:r>
              <w:rPr>
                <w:rFonts w:hint="default" w:ascii="Times New Roman" w:hAnsi="Times New Roman" w:eastAsia="宋体" w:cs="Times New Roman"/>
                <w:color w:val="0000FF"/>
                <w:sz w:val="24"/>
                <w:szCs w:val="24"/>
              </w:rPr>
              <w:fldChar w:fldCharType="end"/>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A可选择对A声级影响最大的倍频带计算，一般可选中心频率为500Hz的倍频带作估算。</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FF"/>
                <w:sz w:val="24"/>
                <w:szCs w:val="24"/>
                <w:lang w:eastAsia="zh-CN"/>
              </w:rPr>
            </w:pPr>
            <w:r>
              <w:rPr>
                <w:rFonts w:hint="default" w:ascii="Times New Roman" w:hAnsi="Times New Roman" w:eastAsia="宋体" w:cs="Times New Roman"/>
                <w:color w:val="0000FF"/>
                <w:sz w:val="24"/>
                <w:szCs w:val="24"/>
              </w:rPr>
              <w:t>室内声源等效室外声源功率级计算</w:t>
            </w:r>
            <w:r>
              <w:rPr>
                <w:rFonts w:hint="default" w:ascii="Times New Roman" w:hAnsi="Times New Roman" w:eastAsia="宋体" w:cs="Times New Roman"/>
                <w:color w:val="0000FF"/>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如图所示，声源位于室内，室内声源可采用等效室外声源声功率级法进行计算。设靠近开口处（或窗户）室内、室外某倍频带的声压级分别为LDA001和LDA002。若声源所在室内声场为近似扩散声场，则室外的倍频带声压级可按以下公式似求出：</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center"/>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fldChar w:fldCharType="begin"/>
            </w:r>
            <w:r>
              <w:rPr>
                <w:rFonts w:hint="default" w:ascii="Times New Roman" w:hAnsi="Times New Roman" w:eastAsia="宋体" w:cs="Times New Roman"/>
                <w:color w:val="0000FF"/>
                <w:sz w:val="24"/>
                <w:szCs w:val="24"/>
              </w:rPr>
              <w:instrText xml:space="preserve">INCLUDEPICTURE "file:///F:/2015.12之后环评/2015.12-环评报告/2017年环评报告/2017年2月/寿光市裕鑫化工环评/Application%20Data/Local%20Settings/Temp/1$)ZN_66L2J~23G@5YOTER2.jpg" \* MERGEFORMATINET </w:instrText>
            </w:r>
            <w:r>
              <w:rPr>
                <w:rFonts w:hint="default" w:ascii="Times New Roman" w:hAnsi="Times New Roman" w:eastAsia="宋体" w:cs="Times New Roman"/>
                <w:color w:val="0000FF"/>
                <w:sz w:val="24"/>
                <w:szCs w:val="24"/>
              </w:rPr>
              <w:fldChar w:fldCharType="separate"/>
            </w:r>
            <w:r>
              <w:rPr>
                <w:rFonts w:hint="default" w:ascii="Times New Roman" w:hAnsi="Times New Roman" w:eastAsia="宋体" w:cs="Times New Roman"/>
                <w:color w:val="0000FF"/>
                <w:sz w:val="24"/>
                <w:szCs w:val="24"/>
              </w:rPr>
              <w:drawing>
                <wp:inline distT="0" distB="0" distL="114300" distR="114300">
                  <wp:extent cx="1419225" cy="276225"/>
                  <wp:effectExtent l="0" t="0" r="9525" b="9525"/>
                  <wp:docPr id="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pic:cNvPicPr>
                            <a:picLocks noChangeAspect="1"/>
                          </pic:cNvPicPr>
                        </pic:nvPicPr>
                        <pic:blipFill>
                          <a:blip r:embed="rId39"/>
                          <a:stretch>
                            <a:fillRect/>
                          </a:stretch>
                        </pic:blipFill>
                        <pic:spPr>
                          <a:xfrm>
                            <a:off x="0" y="0"/>
                            <a:ext cx="1419225" cy="276225"/>
                          </a:xfrm>
                          <a:prstGeom prst="rect">
                            <a:avLst/>
                          </a:prstGeom>
                          <a:noFill/>
                          <a:ln>
                            <a:noFill/>
                          </a:ln>
                        </pic:spPr>
                      </pic:pic>
                    </a:graphicData>
                  </a:graphic>
                </wp:inline>
              </w:drawing>
            </w:r>
            <w:r>
              <w:rPr>
                <w:rFonts w:hint="default" w:ascii="Times New Roman" w:hAnsi="Times New Roman" w:eastAsia="宋体" w:cs="Times New Roman"/>
                <w:color w:val="0000FF"/>
                <w:sz w:val="24"/>
                <w:szCs w:val="24"/>
              </w:rPr>
              <w:fldChar w:fldCharType="end"/>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left"/>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式中：TL—隔墙（或窗户）倍频带的隔声量，dB。</w:t>
            </w:r>
          </w:p>
          <w:p>
            <w:pPr>
              <w:pStyle w:val="2"/>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color w:val="0000FF"/>
                <w:sz w:val="24"/>
                <w:szCs w:val="24"/>
              </w:rPr>
            </w:pPr>
          </w:p>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0000FF"/>
                <w:sz w:val="24"/>
                <w:szCs w:val="24"/>
                <w:lang w:eastAsia="zh-CN"/>
              </w:rPr>
            </w:pPr>
            <w:r>
              <w:rPr>
                <w:rFonts w:hint="default" w:ascii="Times New Roman" w:hAnsi="Times New Roman" w:eastAsia="宋体" w:cs="Times New Roman"/>
                <w:color w:val="0000FF"/>
                <w:kern w:val="0"/>
                <w:sz w:val="24"/>
                <w:szCs w:val="24"/>
                <w:lang w:val="en-US" w:eastAsia="zh-CN" w:bidi="ar"/>
              </w:rPr>
              <w:drawing>
                <wp:inline distT="0" distB="0" distL="114300" distR="114300">
                  <wp:extent cx="2699385" cy="852805"/>
                  <wp:effectExtent l="0" t="0" r="5715" b="4445"/>
                  <wp:docPr id="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pic:cNvPicPr>
                            <a:picLocks noChangeAspect="1"/>
                          </pic:cNvPicPr>
                        </pic:nvPicPr>
                        <pic:blipFill>
                          <a:blip r:embed="rId40"/>
                          <a:stretch>
                            <a:fillRect/>
                          </a:stretch>
                        </pic:blipFill>
                        <pic:spPr>
                          <a:xfrm>
                            <a:off x="0" y="0"/>
                            <a:ext cx="2699385" cy="85280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eastAsia="宋体" w:cs="Times New Roman"/>
                <w:b/>
                <w:bCs/>
                <w:color w:val="0000FF"/>
                <w:sz w:val="24"/>
                <w:szCs w:val="24"/>
                <w:lang w:eastAsia="zh-CN"/>
              </w:rPr>
            </w:pPr>
            <w:r>
              <w:rPr>
                <w:rFonts w:hint="default" w:ascii="Times New Roman" w:hAnsi="Times New Roman" w:eastAsia="宋体" w:cs="Times New Roman"/>
                <w:b/>
                <w:bCs/>
                <w:color w:val="0000FF"/>
                <w:sz w:val="24"/>
                <w:szCs w:val="24"/>
                <w:lang w:eastAsia="zh-CN"/>
              </w:rPr>
              <w:t>图</w:t>
            </w:r>
            <w:r>
              <w:rPr>
                <w:rFonts w:hint="eastAsia" w:cs="Times New Roman"/>
                <w:b/>
                <w:bCs/>
                <w:color w:val="0000FF"/>
                <w:sz w:val="24"/>
                <w:szCs w:val="24"/>
                <w:lang w:val="en-US" w:eastAsia="zh-CN"/>
              </w:rPr>
              <w:t>4-2</w:t>
            </w:r>
            <w:r>
              <w:rPr>
                <w:rFonts w:hint="default" w:ascii="Times New Roman" w:hAnsi="Times New Roman" w:eastAsia="宋体" w:cs="Times New Roman"/>
                <w:b/>
                <w:bCs/>
                <w:color w:val="0000FF"/>
                <w:sz w:val="24"/>
                <w:szCs w:val="24"/>
                <w:lang w:eastAsia="zh-CN"/>
              </w:rPr>
              <w:t xml:space="preserve">  室内声源等效为室外声源图例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也可按下式计算某一室内声源靠近围护结构处产生的倍频声压级：</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textAlignment w:val="auto"/>
              <w:rPr>
                <w:rFonts w:hint="default" w:ascii="Times New Roman" w:hAnsi="Times New Roman" w:eastAsia="宋体" w:cs="Times New Roman"/>
                <w:color w:val="0000FF"/>
                <w:kern w:val="0"/>
                <w:sz w:val="24"/>
                <w:szCs w:val="24"/>
                <w:lang w:val="en-US" w:eastAsia="zh-CN" w:bidi="ar-SA"/>
              </w:rPr>
            </w:pPr>
            <w:r>
              <w:rPr>
                <w:rFonts w:hint="default" w:ascii="Times New Roman" w:hAnsi="Times New Roman" w:eastAsia="宋体" w:cs="Times New Roman"/>
                <w:color w:val="0000FF"/>
                <w:kern w:val="0"/>
                <w:sz w:val="24"/>
                <w:szCs w:val="24"/>
                <w:lang w:val="en-US" w:eastAsia="zh-CN" w:bidi="ar"/>
              </w:rPr>
              <w:fldChar w:fldCharType="begin"/>
            </w:r>
            <w:r>
              <w:rPr>
                <w:rFonts w:hint="default" w:ascii="Times New Roman" w:hAnsi="Times New Roman" w:eastAsia="宋体" w:cs="Times New Roman"/>
                <w:color w:val="0000FF"/>
                <w:kern w:val="0"/>
                <w:sz w:val="24"/>
                <w:szCs w:val="24"/>
                <w:lang w:val="en-US" w:eastAsia="zh-CN" w:bidi="ar"/>
              </w:rPr>
              <w:instrText xml:space="preserve">INCLUDEPICTURE "file:///F:/2015.12之后环评/2015.12-环评报告/2017年环评报告/2017年2月/寿光市裕鑫化工环评/Application%20Data/Local%20Settings/Temp/I7SNPSUBB%605()UAH%5b99%5dI8J.jpg" \* MERGEFORMATINET </w:instrText>
            </w:r>
            <w:r>
              <w:rPr>
                <w:rFonts w:hint="default" w:ascii="Times New Roman" w:hAnsi="Times New Roman" w:eastAsia="宋体" w:cs="Times New Roman"/>
                <w:color w:val="0000FF"/>
                <w:kern w:val="0"/>
                <w:sz w:val="24"/>
                <w:szCs w:val="24"/>
                <w:lang w:val="en-US" w:eastAsia="zh-CN" w:bidi="ar"/>
              </w:rPr>
              <w:fldChar w:fldCharType="separate"/>
            </w:r>
            <w:r>
              <w:rPr>
                <w:rFonts w:hint="default" w:ascii="Times New Roman" w:hAnsi="Times New Roman" w:eastAsia="宋体" w:cs="Times New Roman"/>
                <w:color w:val="0000FF"/>
                <w:kern w:val="0"/>
                <w:sz w:val="24"/>
                <w:szCs w:val="24"/>
                <w:lang w:val="en-US" w:eastAsia="zh-CN" w:bidi="ar"/>
              </w:rPr>
              <w:drawing>
                <wp:inline distT="0" distB="0" distL="114300" distR="114300">
                  <wp:extent cx="1590675" cy="438150"/>
                  <wp:effectExtent l="0" t="0" r="9525" b="0"/>
                  <wp:docPr id="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8"/>
                          <pic:cNvPicPr>
                            <a:picLocks noChangeAspect="1"/>
                          </pic:cNvPicPr>
                        </pic:nvPicPr>
                        <pic:blipFill>
                          <a:blip r:embed="rId41"/>
                          <a:stretch>
                            <a:fillRect/>
                          </a:stretch>
                        </pic:blipFill>
                        <pic:spPr>
                          <a:xfrm>
                            <a:off x="0" y="0"/>
                            <a:ext cx="1590675" cy="438150"/>
                          </a:xfrm>
                          <a:prstGeom prst="rect">
                            <a:avLst/>
                          </a:prstGeom>
                          <a:noFill/>
                          <a:ln>
                            <a:noFill/>
                          </a:ln>
                        </pic:spPr>
                      </pic:pic>
                    </a:graphicData>
                  </a:graphic>
                </wp:inline>
              </w:drawing>
            </w:r>
            <w:r>
              <w:rPr>
                <w:rFonts w:hint="default" w:ascii="Times New Roman" w:hAnsi="Times New Roman" w:eastAsia="宋体" w:cs="Times New Roman"/>
                <w:color w:val="0000FF"/>
                <w:kern w:val="0"/>
                <w:sz w:val="24"/>
                <w:szCs w:val="24"/>
                <w:lang w:val="en-US" w:eastAsia="zh-CN" w:bidi="ar"/>
              </w:rPr>
              <w:fldChar w:fldCharType="end"/>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式中：</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Q—指向性因数；通常对无指向性声源，当声源放在房间中心时，Q=1；当放在一面墙的中心时，Q=2；当放在两面墙夹角处时，Q=4；当放在三面墙夹角处时，Q=8。</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R—房间常数；R= Sα/(1−α)，S为房间内表面面积，</w:t>
            </w:r>
            <w:r>
              <w:rPr>
                <w:rFonts w:hint="default" w:ascii="Times New Roman" w:hAnsi="Times New Roman" w:eastAsia="宋体" w:cs="Times New Roman"/>
                <w:color w:val="0000FF"/>
                <w:sz w:val="24"/>
                <w:szCs w:val="24"/>
                <w:lang w:eastAsia="zh-CN"/>
              </w:rPr>
              <w:t>m²</w:t>
            </w:r>
            <w:r>
              <w:rPr>
                <w:rFonts w:hint="default" w:ascii="Times New Roman" w:hAnsi="Times New Roman" w:eastAsia="宋体" w:cs="Times New Roman"/>
                <w:color w:val="0000FF"/>
                <w:sz w:val="24"/>
                <w:szCs w:val="24"/>
              </w:rPr>
              <w:t>；α为平均吸声系数。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r—声源到靠近围护结构某点处的距离，m。</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然后按以下公式计算出所有室内声源在围护结构处产生的i倍频带叠加声压级：</w:t>
            </w:r>
          </w:p>
          <w:p>
            <w:pPr>
              <w:pStyle w:val="2"/>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color w:val="0000FF"/>
                <w:sz w:val="24"/>
                <w:szCs w:val="24"/>
              </w:rPr>
            </w:pPr>
          </w:p>
          <w:p>
            <w:pPr>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kern w:val="0"/>
                <w:sz w:val="24"/>
                <w:szCs w:val="24"/>
                <w:lang w:val="en-US" w:eastAsia="zh-CN" w:bidi="ar"/>
              </w:rPr>
              <w:drawing>
                <wp:anchor distT="0" distB="0" distL="114300" distR="114300" simplePos="0" relativeHeight="251660288" behindDoc="1" locked="0" layoutInCell="1" allowOverlap="1">
                  <wp:simplePos x="0" y="0"/>
                  <wp:positionH relativeFrom="column">
                    <wp:posOffset>1720850</wp:posOffset>
                  </wp:positionH>
                  <wp:positionV relativeFrom="paragraph">
                    <wp:posOffset>1270</wp:posOffset>
                  </wp:positionV>
                  <wp:extent cx="1933575" cy="457200"/>
                  <wp:effectExtent l="0" t="0" r="9525" b="0"/>
                  <wp:wrapTight wrapText="bothSides">
                    <wp:wrapPolygon>
                      <wp:start x="0" y="0"/>
                      <wp:lineTo x="0" y="20700"/>
                      <wp:lineTo x="21494" y="20700"/>
                      <wp:lineTo x="21494" y="0"/>
                      <wp:lineTo x="0" y="0"/>
                    </wp:wrapPolygon>
                  </wp:wrapTight>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42"/>
                          <a:stretch>
                            <a:fillRect/>
                          </a:stretch>
                        </pic:blipFill>
                        <pic:spPr>
                          <a:xfrm>
                            <a:off x="0" y="0"/>
                            <a:ext cx="1933575" cy="45720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spacing w:after="120" w:line="360" w:lineRule="auto"/>
              <w:ind w:left="0" w:leftChars="0" w:firstLine="0" w:firstLineChars="0"/>
              <w:jc w:val="left"/>
              <w:textAlignment w:val="auto"/>
              <w:rPr>
                <w:rFonts w:hint="default" w:ascii="Times New Roman" w:hAnsi="Times New Roman" w:eastAsia="宋体" w:cs="Times New Roman"/>
                <w:color w:val="0000FF"/>
                <w:kern w:val="0"/>
                <w:sz w:val="24"/>
                <w:szCs w:val="24"/>
                <w:lang w:val="en-US" w:eastAsia="zh-CN" w:bidi="ar-SA"/>
              </w:rPr>
            </w:pPr>
          </w:p>
          <w:p>
            <w:pPr>
              <w:keepNext w:val="0"/>
              <w:keepLines w:val="0"/>
              <w:pageBreakBefore w:val="0"/>
              <w:widowControl w:val="0"/>
              <w:numPr>
                <w:ilvl w:val="0"/>
                <w:numId w:val="0"/>
              </w:numPr>
              <w:kinsoku/>
              <w:wordWrap/>
              <w:overflowPunct/>
              <w:topLinePunct w:val="0"/>
              <w:autoSpaceDE/>
              <w:autoSpaceDN/>
              <w:bidi w:val="0"/>
              <w:snapToGrid/>
              <w:spacing w:line="360" w:lineRule="auto"/>
              <w:ind w:firstLine="240" w:firstLineChars="100"/>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式中：</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left"/>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L</w:t>
            </w:r>
            <w:r>
              <w:rPr>
                <w:rFonts w:hint="default" w:ascii="Times New Roman" w:hAnsi="Times New Roman" w:eastAsia="宋体" w:cs="Times New Roman"/>
                <w:color w:val="0000FF"/>
                <w:sz w:val="24"/>
                <w:szCs w:val="24"/>
                <w:vertAlign w:val="subscript"/>
              </w:rPr>
              <w:t>DA001i</w:t>
            </w:r>
            <w:r>
              <w:rPr>
                <w:rFonts w:hint="default" w:ascii="Times New Roman" w:hAnsi="Times New Roman" w:eastAsia="宋体" w:cs="Times New Roman"/>
                <w:color w:val="0000FF"/>
                <w:sz w:val="24"/>
                <w:szCs w:val="24"/>
              </w:rPr>
              <w:t xml:space="preserve"> (T)—靠近围护结构处室内N个声源i倍频带的叠加声压级，dB；</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left"/>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L</w:t>
            </w:r>
            <w:r>
              <w:rPr>
                <w:rFonts w:hint="default" w:ascii="Times New Roman" w:hAnsi="Times New Roman" w:eastAsia="宋体" w:cs="Times New Roman"/>
                <w:color w:val="0000FF"/>
                <w:sz w:val="24"/>
                <w:szCs w:val="24"/>
                <w:vertAlign w:val="subscript"/>
              </w:rPr>
              <w:t>DA001ij</w:t>
            </w:r>
            <w:r>
              <w:rPr>
                <w:rFonts w:hint="default" w:ascii="Times New Roman" w:hAnsi="Times New Roman" w:eastAsia="宋体" w:cs="Times New Roman"/>
                <w:color w:val="0000FF"/>
                <w:sz w:val="24"/>
                <w:szCs w:val="24"/>
              </w:rPr>
              <w:t>—室内j声源i倍频带的声压级，dB；</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left"/>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N—室内声源总数。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0000FF"/>
                <w:kern w:val="0"/>
                <w:sz w:val="24"/>
                <w:szCs w:val="24"/>
                <w:lang w:val="en-US" w:eastAsia="zh-CN" w:bidi="ar-SA"/>
              </w:rPr>
            </w:pPr>
            <w:r>
              <w:rPr>
                <w:rFonts w:hint="default" w:ascii="Times New Roman" w:hAnsi="Times New Roman" w:eastAsia="宋体" w:cs="Times New Roman"/>
                <w:color w:val="0000FF"/>
                <w:sz w:val="24"/>
                <w:szCs w:val="24"/>
              </w:rPr>
              <w:t>在室内近似为扩散声场时，按以下公式计算出靠近室外围护结构处的声压级：</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jc w:val="center"/>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fldChar w:fldCharType="begin"/>
            </w:r>
            <w:r>
              <w:rPr>
                <w:rFonts w:hint="default" w:ascii="Times New Roman" w:hAnsi="Times New Roman" w:eastAsia="宋体" w:cs="Times New Roman"/>
                <w:color w:val="0000FF"/>
                <w:sz w:val="24"/>
                <w:szCs w:val="24"/>
              </w:rPr>
              <w:instrText xml:space="preserve">INCLUDEPICTURE "file:///F:/2015.12之后环评/2015.12-环评报告/2017年环评报告/2017年2月/寿光市裕鑫化工环评/Application%20Data/Local%20Settings/Temp/%5bQ_4(CVF~(EAQLFVGV$%5bGTF.jpg" \* MERGEFORMATINET </w:instrText>
            </w:r>
            <w:r>
              <w:rPr>
                <w:rFonts w:hint="default" w:ascii="Times New Roman" w:hAnsi="Times New Roman" w:eastAsia="宋体" w:cs="Times New Roman"/>
                <w:color w:val="0000FF"/>
                <w:sz w:val="24"/>
                <w:szCs w:val="24"/>
              </w:rPr>
              <w:fldChar w:fldCharType="separate"/>
            </w:r>
            <w:r>
              <w:rPr>
                <w:rFonts w:hint="default" w:ascii="Times New Roman" w:hAnsi="Times New Roman" w:eastAsia="宋体" w:cs="Times New Roman"/>
                <w:color w:val="0000FF"/>
                <w:sz w:val="24"/>
                <w:szCs w:val="24"/>
              </w:rPr>
              <w:drawing>
                <wp:inline distT="0" distB="0" distL="114300" distR="114300">
                  <wp:extent cx="1837055" cy="287655"/>
                  <wp:effectExtent l="0" t="0" r="10795" b="17145"/>
                  <wp:docPr id="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pic:cNvPicPr>
                            <a:picLocks noChangeAspect="1"/>
                          </pic:cNvPicPr>
                        </pic:nvPicPr>
                        <pic:blipFill>
                          <a:blip r:embed="rId43"/>
                          <a:stretch>
                            <a:fillRect/>
                          </a:stretch>
                        </pic:blipFill>
                        <pic:spPr>
                          <a:xfrm>
                            <a:off x="0" y="0"/>
                            <a:ext cx="1837055" cy="287655"/>
                          </a:xfrm>
                          <a:prstGeom prst="rect">
                            <a:avLst/>
                          </a:prstGeom>
                          <a:noFill/>
                          <a:ln>
                            <a:noFill/>
                          </a:ln>
                        </pic:spPr>
                      </pic:pic>
                    </a:graphicData>
                  </a:graphic>
                </wp:inline>
              </w:drawing>
            </w:r>
            <w:r>
              <w:rPr>
                <w:rFonts w:hint="default" w:ascii="Times New Roman" w:hAnsi="Times New Roman" w:eastAsia="宋体" w:cs="Times New Roman"/>
                <w:color w:val="0000FF"/>
                <w:sz w:val="24"/>
                <w:szCs w:val="24"/>
              </w:rPr>
              <w:fldChar w:fldCharType="end"/>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240" w:firstLineChars="100"/>
              <w:jc w:val="left"/>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式中：</w:t>
            </w:r>
          </w:p>
          <w:p>
            <w:pPr>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jc w:val="left"/>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L</w:t>
            </w:r>
            <w:r>
              <w:rPr>
                <w:rFonts w:hint="default" w:ascii="Times New Roman" w:hAnsi="Times New Roman" w:eastAsia="宋体" w:cs="Times New Roman"/>
                <w:color w:val="0000FF"/>
                <w:sz w:val="24"/>
                <w:szCs w:val="24"/>
                <w:vertAlign w:val="subscript"/>
              </w:rPr>
              <w:t>DA002i</w:t>
            </w:r>
            <w:r>
              <w:rPr>
                <w:rFonts w:hint="default" w:ascii="Times New Roman" w:hAnsi="Times New Roman" w:eastAsia="宋体" w:cs="Times New Roman"/>
                <w:color w:val="0000FF"/>
                <w:sz w:val="24"/>
                <w:szCs w:val="24"/>
              </w:rPr>
              <w:t>（T）—靠近围护结构处室外N个声源i倍频带的叠加声压级，dB；</w:t>
            </w:r>
          </w:p>
          <w:p>
            <w:pPr>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jc w:val="left"/>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TL</w:t>
            </w:r>
            <w:r>
              <w:rPr>
                <w:rFonts w:hint="default" w:ascii="Times New Roman" w:hAnsi="Times New Roman" w:eastAsia="宋体" w:cs="Times New Roman"/>
                <w:color w:val="0000FF"/>
                <w:sz w:val="24"/>
                <w:szCs w:val="24"/>
                <w:vertAlign w:val="subscript"/>
              </w:rPr>
              <w:t>i</w:t>
            </w:r>
            <w:r>
              <w:rPr>
                <w:rFonts w:hint="default" w:ascii="Times New Roman" w:hAnsi="Times New Roman" w:eastAsia="宋体" w:cs="Times New Roman"/>
                <w:color w:val="0000FF"/>
                <w:sz w:val="24"/>
                <w:szCs w:val="24"/>
              </w:rPr>
              <w:t>—围护结构i倍频带的隔声量，dB。</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然后按下列公式将室外声源的声压级和透过面积换算成等效的室外声源，计算出中心位置位于透声面积（S）处的等效声源的倍频带声功率级。</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center"/>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fldChar w:fldCharType="begin"/>
            </w:r>
            <w:r>
              <w:rPr>
                <w:rFonts w:hint="default" w:ascii="Times New Roman" w:hAnsi="Times New Roman" w:eastAsia="宋体" w:cs="Times New Roman"/>
                <w:color w:val="0000FF"/>
                <w:sz w:val="24"/>
                <w:szCs w:val="24"/>
              </w:rPr>
              <w:instrText xml:space="preserve">INCLUDEPICTURE "file:///F:/2015.12之后环评/2015.12-环评报告/2017年环评报告/2017年2月/寿光市裕鑫化工环评/Application%20Data/Local%20Settings/Temp/AJ%7d4~N(2%60LIKR9G%7dHU%5dS%25VM.jpg" \* MERGEFORMATINET </w:instrText>
            </w:r>
            <w:r>
              <w:rPr>
                <w:rFonts w:hint="default" w:ascii="Times New Roman" w:hAnsi="Times New Roman" w:eastAsia="宋体" w:cs="Times New Roman"/>
                <w:color w:val="0000FF"/>
                <w:sz w:val="24"/>
                <w:szCs w:val="24"/>
              </w:rPr>
              <w:fldChar w:fldCharType="separate"/>
            </w:r>
            <w:r>
              <w:rPr>
                <w:rFonts w:hint="default" w:ascii="Times New Roman" w:hAnsi="Times New Roman" w:eastAsia="宋体" w:cs="Times New Roman"/>
                <w:color w:val="0000FF"/>
                <w:sz w:val="24"/>
                <w:szCs w:val="24"/>
              </w:rPr>
              <w:drawing>
                <wp:inline distT="0" distB="0" distL="114300" distR="114300">
                  <wp:extent cx="1600200" cy="285750"/>
                  <wp:effectExtent l="0" t="0" r="0" b="0"/>
                  <wp:docPr id="1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0"/>
                          <pic:cNvPicPr>
                            <a:picLocks noChangeAspect="1"/>
                          </pic:cNvPicPr>
                        </pic:nvPicPr>
                        <pic:blipFill>
                          <a:blip r:embed="rId44"/>
                          <a:stretch>
                            <a:fillRect/>
                          </a:stretch>
                        </pic:blipFill>
                        <pic:spPr>
                          <a:xfrm>
                            <a:off x="0" y="0"/>
                            <a:ext cx="1600200" cy="285750"/>
                          </a:xfrm>
                          <a:prstGeom prst="rect">
                            <a:avLst/>
                          </a:prstGeom>
                          <a:noFill/>
                          <a:ln>
                            <a:noFill/>
                          </a:ln>
                        </pic:spPr>
                      </pic:pic>
                    </a:graphicData>
                  </a:graphic>
                </wp:inline>
              </w:drawing>
            </w:r>
            <w:r>
              <w:rPr>
                <w:rFonts w:hint="default" w:ascii="Times New Roman" w:hAnsi="Times New Roman" w:eastAsia="宋体" w:cs="Times New Roman"/>
                <w:color w:val="0000FF"/>
                <w:sz w:val="24"/>
                <w:szCs w:val="24"/>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然后按室外声源预测方法计算预测点处的A声级。</w:t>
            </w:r>
          </w:p>
          <w:p>
            <w:pPr>
              <w:keepNext w:val="0"/>
              <w:keepLines w:val="0"/>
              <w:pageBreakBefore w:val="0"/>
              <w:widowControl w:val="0"/>
              <w:numPr>
                <w:ilvl w:val="0"/>
                <w:numId w:val="0"/>
              </w:numPr>
              <w:kinsoku/>
              <w:wordWrap/>
              <w:overflowPunct/>
              <w:topLinePunct w:val="0"/>
              <w:autoSpaceDE/>
              <w:autoSpaceDN/>
              <w:bidi w:val="0"/>
              <w:snapToGrid/>
              <w:spacing w:line="360" w:lineRule="auto"/>
              <w:ind w:firstLine="240" w:firstLineChars="100"/>
              <w:jc w:val="left"/>
              <w:textAlignment w:val="auto"/>
              <w:rPr>
                <w:rFonts w:hint="default" w:ascii="Times New Roman" w:hAnsi="Times New Roman" w:eastAsia="宋体" w:cs="Times New Roman"/>
                <w:color w:val="0000FF"/>
                <w:sz w:val="24"/>
                <w:szCs w:val="24"/>
                <w:lang w:eastAsia="zh-CN"/>
              </w:rPr>
            </w:pPr>
            <w:r>
              <w:rPr>
                <w:rFonts w:hint="default" w:ascii="Times New Roman" w:hAnsi="Times New Roman" w:eastAsia="宋体" w:cs="Times New Roman"/>
                <w:color w:val="0000FF"/>
                <w:sz w:val="24"/>
                <w:szCs w:val="24"/>
              </w:rPr>
              <w:t>计算总声压级</w:t>
            </w:r>
            <w:r>
              <w:rPr>
                <w:rFonts w:hint="default" w:ascii="Times New Roman" w:hAnsi="Times New Roman" w:eastAsia="宋体" w:cs="Times New Roman"/>
                <w:color w:val="0000FF"/>
                <w:sz w:val="24"/>
                <w:szCs w:val="24"/>
                <w:lang w:eastAsia="zh-CN"/>
              </w:rPr>
              <w:t>：</w:t>
            </w:r>
          </w:p>
          <w:p>
            <w:pPr>
              <w:keepNext w:val="0"/>
              <w:keepLines w:val="0"/>
              <w:pageBreakBefore w:val="0"/>
              <w:widowControl w:val="0"/>
              <w:numPr>
                <w:ilvl w:val="0"/>
                <w:numId w:val="11"/>
              </w:numPr>
              <w:kinsoku/>
              <w:wordWrap/>
              <w:overflowPunct/>
              <w:topLinePunct w:val="0"/>
              <w:autoSpaceDE/>
              <w:autoSpaceDN/>
              <w:bidi w:val="0"/>
              <w:snapToGrid/>
              <w:spacing w:line="360" w:lineRule="auto"/>
              <w:jc w:val="left"/>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建设项目声源在预测点产生的等效声级贡献值(Leqg)计算公式：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eastAsia="宋体" w:cs="Times New Roman"/>
                <w:color w:val="0000FF"/>
                <w:kern w:val="0"/>
                <w:sz w:val="24"/>
                <w:szCs w:val="24"/>
                <w:lang w:val="en-US" w:eastAsia="zh-CN" w:bidi="ar-SA"/>
              </w:rPr>
            </w:pPr>
            <w:r>
              <w:rPr>
                <w:rFonts w:hint="default" w:ascii="Times New Roman" w:hAnsi="Times New Roman" w:eastAsia="宋体" w:cs="Times New Roman"/>
                <w:color w:val="0000FF"/>
                <w:kern w:val="0"/>
                <w:sz w:val="24"/>
                <w:szCs w:val="24"/>
                <w:lang w:val="en-US" w:eastAsia="zh-CN" w:bidi="ar"/>
              </w:rPr>
              <w:drawing>
                <wp:inline distT="0" distB="0" distL="114300" distR="114300">
                  <wp:extent cx="1783080" cy="421640"/>
                  <wp:effectExtent l="0" t="0" r="7620" b="16510"/>
                  <wp:docPr id="1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
                          <pic:cNvPicPr>
                            <a:picLocks noChangeAspect="1"/>
                          </pic:cNvPicPr>
                        </pic:nvPicPr>
                        <pic:blipFill>
                          <a:blip r:embed="rId42"/>
                          <a:stretch>
                            <a:fillRect/>
                          </a:stretch>
                        </pic:blipFill>
                        <pic:spPr>
                          <a:xfrm>
                            <a:off x="0" y="0"/>
                            <a:ext cx="1783080" cy="42164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snapToGrid/>
              <w:spacing w:line="360" w:lineRule="auto"/>
              <w:ind w:firstLine="240" w:firstLineChars="100"/>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式中：</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Leqg—建设项目声源在预测点的等效声级贡献值，dB(A)；</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LAi—声源在预测点产生的A声级，dB(A)；</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T—预测计算的时间段，s；</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ti—i声源在T时段内的运行时间，s。</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b) 预测点的预测等效声级(Leq)计算公式：</w:t>
            </w:r>
          </w:p>
          <w:p>
            <w:pPr>
              <w:keepNext w:val="0"/>
              <w:keepLines w:val="0"/>
              <w:pageBreakBefore w:val="0"/>
              <w:widowControl w:val="0"/>
              <w:numPr>
                <w:ilvl w:val="0"/>
                <w:numId w:val="0"/>
              </w:numPr>
              <w:kinsoku/>
              <w:wordWrap/>
              <w:overflowPunct/>
              <w:topLinePunct w:val="0"/>
              <w:autoSpaceDE/>
              <w:autoSpaceDN/>
              <w:bidi w:val="0"/>
              <w:snapToGrid/>
              <w:spacing w:line="360" w:lineRule="auto"/>
              <w:jc w:val="center"/>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fldChar w:fldCharType="begin"/>
            </w:r>
            <w:r>
              <w:rPr>
                <w:rFonts w:hint="default" w:ascii="Times New Roman" w:hAnsi="Times New Roman" w:eastAsia="宋体" w:cs="Times New Roman"/>
                <w:color w:val="0000FF"/>
                <w:sz w:val="24"/>
                <w:szCs w:val="24"/>
              </w:rPr>
              <w:instrText xml:space="preserve">INCLUDEPICTURE "file:///F:/2015.12之后环评/2015.12-环评报告/2017年环评报告/2017年2月/寿光市裕鑫化工环评/Application%20Data/Local%20Settings/Temp/ZP21OL%60P%5b0R4U~V78E)%5bJ~5.jpg" \* MERGEFORMATINET </w:instrText>
            </w:r>
            <w:r>
              <w:rPr>
                <w:rFonts w:hint="default" w:ascii="Times New Roman" w:hAnsi="Times New Roman" w:eastAsia="宋体" w:cs="Times New Roman"/>
                <w:color w:val="0000FF"/>
                <w:sz w:val="24"/>
                <w:szCs w:val="24"/>
              </w:rPr>
              <w:fldChar w:fldCharType="separate"/>
            </w:r>
            <w:r>
              <w:rPr>
                <w:rFonts w:hint="default" w:ascii="Times New Roman" w:hAnsi="Times New Roman" w:eastAsia="宋体" w:cs="Times New Roman"/>
                <w:color w:val="0000FF"/>
                <w:sz w:val="24"/>
                <w:szCs w:val="24"/>
              </w:rPr>
              <w:drawing>
                <wp:inline distT="0" distB="0" distL="114300" distR="114300">
                  <wp:extent cx="1962150" cy="207645"/>
                  <wp:effectExtent l="0" t="0" r="0" b="1905"/>
                  <wp:docPr id="1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2"/>
                          <pic:cNvPicPr>
                            <a:picLocks noChangeAspect="1"/>
                          </pic:cNvPicPr>
                        </pic:nvPicPr>
                        <pic:blipFill>
                          <a:blip r:embed="rId45"/>
                          <a:stretch>
                            <a:fillRect/>
                          </a:stretch>
                        </pic:blipFill>
                        <pic:spPr>
                          <a:xfrm>
                            <a:off x="0" y="0"/>
                            <a:ext cx="1962150" cy="207645"/>
                          </a:xfrm>
                          <a:prstGeom prst="rect">
                            <a:avLst/>
                          </a:prstGeom>
                          <a:noFill/>
                          <a:ln>
                            <a:noFill/>
                          </a:ln>
                        </pic:spPr>
                      </pic:pic>
                    </a:graphicData>
                  </a:graphic>
                </wp:inline>
              </w:drawing>
            </w:r>
            <w:r>
              <w:rPr>
                <w:rFonts w:hint="default" w:ascii="Times New Roman" w:hAnsi="Times New Roman" w:eastAsia="宋体" w:cs="Times New Roman"/>
                <w:color w:val="0000FF"/>
                <w:sz w:val="24"/>
                <w:szCs w:val="24"/>
              </w:rPr>
              <w:fldChar w:fldCharType="end"/>
            </w:r>
          </w:p>
          <w:p>
            <w:pPr>
              <w:keepNext w:val="0"/>
              <w:keepLines w:val="0"/>
              <w:pageBreakBefore w:val="0"/>
              <w:widowControl w:val="0"/>
              <w:numPr>
                <w:ilvl w:val="0"/>
                <w:numId w:val="0"/>
              </w:numPr>
              <w:kinsoku/>
              <w:wordWrap/>
              <w:overflowPunct/>
              <w:topLinePunct w:val="0"/>
              <w:autoSpaceDE/>
              <w:autoSpaceDN/>
              <w:bidi w:val="0"/>
              <w:snapToGrid/>
              <w:spacing w:line="360" w:lineRule="auto"/>
              <w:ind w:firstLine="240" w:firstLineChars="100"/>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式中：</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Leqg—建设项目声源在预测点的等效声级贡献值，dB(A)；</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color w:val="0000FF"/>
                <w:sz w:val="24"/>
                <w:szCs w:val="24"/>
              </w:rPr>
              <w:t>Leqb— 预测点的背景值，dB(A)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根据采取的减噪措施，</w:t>
            </w:r>
            <w:r>
              <w:rPr>
                <w:rFonts w:hint="eastAsia" w:cs="Times New Roman"/>
                <w:b w:val="0"/>
                <w:bCs w:val="0"/>
                <w:color w:val="0000FF"/>
                <w:sz w:val="24"/>
                <w:szCs w:val="24"/>
                <w:lang w:val="en-US" w:eastAsia="zh-CN"/>
              </w:rPr>
              <w:t>因各设备都在锅炉房内，且距离很近，</w:t>
            </w:r>
            <w:r>
              <w:rPr>
                <w:rFonts w:hint="default" w:ascii="Times New Roman" w:hAnsi="Times New Roman" w:eastAsia="宋体" w:cs="Times New Roman"/>
                <w:color w:val="0000FF"/>
                <w:spacing w:val="10"/>
                <w:kern w:val="2"/>
                <w:sz w:val="24"/>
                <w:szCs w:val="24"/>
                <w:lang w:val="en-US" w:eastAsia="zh-CN" w:bidi="ar-SA"/>
              </w:rPr>
              <w:t>利用</w:t>
            </w:r>
            <w:r>
              <w:rPr>
                <w:rFonts w:hint="eastAsia" w:cs="Times New Roman"/>
                <w:color w:val="0000FF"/>
                <w:spacing w:val="10"/>
                <w:kern w:val="2"/>
                <w:sz w:val="24"/>
                <w:szCs w:val="24"/>
                <w:lang w:val="en-US" w:eastAsia="zh-CN" w:bidi="ar-SA"/>
              </w:rPr>
              <w:t>上述</w:t>
            </w:r>
            <w:r>
              <w:rPr>
                <w:rFonts w:hint="default" w:ascii="Times New Roman" w:hAnsi="Times New Roman" w:eastAsia="宋体" w:cs="Times New Roman"/>
                <w:color w:val="0000FF"/>
                <w:spacing w:val="10"/>
                <w:kern w:val="2"/>
                <w:sz w:val="24"/>
                <w:szCs w:val="24"/>
                <w:lang w:val="en-US" w:eastAsia="zh-CN" w:bidi="ar-SA"/>
              </w:rPr>
              <w:t>预测模式和参数计算</w:t>
            </w:r>
            <w:r>
              <w:rPr>
                <w:rFonts w:hint="default" w:ascii="Times New Roman" w:hAnsi="Times New Roman" w:eastAsia="宋体" w:cs="Times New Roman"/>
                <w:b w:val="0"/>
                <w:bCs w:val="0"/>
                <w:color w:val="auto"/>
                <w:sz w:val="24"/>
                <w:szCs w:val="24"/>
                <w:lang w:val="en-US" w:eastAsia="zh-CN"/>
              </w:rPr>
              <w:t>经预测确定各主要噪声源对厂界四周的噪声贡献情况见下表：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bCs/>
                <w:color w:val="auto"/>
                <w:sz w:val="24"/>
                <w:szCs w:val="24"/>
                <w:lang w:eastAsia="zh-CN"/>
              </w:rPr>
            </w:pPr>
            <w:r>
              <w:rPr>
                <w:rFonts w:hint="default" w:ascii="Times New Roman" w:hAnsi="Times New Roman" w:eastAsia="黑体" w:cs="Times New Roman"/>
                <w:b/>
                <w:bCs/>
                <w:color w:val="auto"/>
                <w:sz w:val="24"/>
                <w:szCs w:val="24"/>
              </w:rPr>
              <w:t>表</w:t>
            </w:r>
            <w:r>
              <w:rPr>
                <w:rFonts w:hint="eastAsia" w:eastAsia="黑体" w:cs="Times New Roman"/>
                <w:b/>
                <w:bCs/>
                <w:color w:val="auto"/>
                <w:sz w:val="24"/>
                <w:szCs w:val="24"/>
                <w:lang w:val="en-US" w:eastAsia="zh-CN"/>
              </w:rPr>
              <w:t>47</w:t>
            </w:r>
            <w:r>
              <w:rPr>
                <w:rFonts w:hint="default" w:ascii="Times New Roman" w:hAnsi="Times New Roman" w:eastAsia="黑体" w:cs="Times New Roman"/>
                <w:b/>
                <w:bCs/>
                <w:color w:val="auto"/>
                <w:sz w:val="24"/>
                <w:szCs w:val="24"/>
              </w:rPr>
              <w:t xml:space="preserve"> </w:t>
            </w:r>
            <w:r>
              <w:rPr>
                <w:rFonts w:hint="default" w:ascii="Times New Roman" w:hAnsi="Times New Roman" w:eastAsia="黑体" w:cs="Times New Roman"/>
                <w:b/>
                <w:bCs/>
                <w:color w:val="auto"/>
                <w:sz w:val="24"/>
                <w:szCs w:val="24"/>
                <w:lang w:eastAsia="zh-CN"/>
              </w:rPr>
              <w:t>锅炉房</w:t>
            </w:r>
            <w:r>
              <w:rPr>
                <w:rFonts w:hint="default" w:ascii="Times New Roman" w:hAnsi="Times New Roman" w:eastAsia="黑体" w:cs="Times New Roman"/>
                <w:b/>
                <w:bCs/>
                <w:color w:val="auto"/>
                <w:sz w:val="24"/>
                <w:szCs w:val="24"/>
              </w:rPr>
              <w:t>距离各厂界的直线距离与车间外等效源强</w:t>
            </w:r>
          </w:p>
          <w:tbl>
            <w:tblPr>
              <w:tblStyle w:val="20"/>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756"/>
              <w:gridCol w:w="2101"/>
              <w:gridCol w:w="1270"/>
              <w:gridCol w:w="1270"/>
              <w:gridCol w:w="1270"/>
              <w:gridCol w:w="12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06" w:hRule="atLeast"/>
                <w:jc w:val="center"/>
              </w:trPr>
              <w:tc>
                <w:tcPr>
                  <w:tcW w:w="75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序号</w:t>
                  </w:r>
                </w:p>
              </w:tc>
              <w:tc>
                <w:tcPr>
                  <w:tcW w:w="210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噪声源</w:t>
                  </w:r>
                </w:p>
              </w:tc>
              <w:tc>
                <w:tcPr>
                  <w:tcW w:w="5080"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预测点距厂界距离（m）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06" w:hRule="atLeast"/>
                <w:jc w:val="center"/>
              </w:trPr>
              <w:tc>
                <w:tcPr>
                  <w:tcW w:w="75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Cs/>
                      <w:color w:val="auto"/>
                      <w:sz w:val="21"/>
                      <w:szCs w:val="21"/>
                    </w:rPr>
                  </w:pPr>
                </w:p>
              </w:tc>
              <w:tc>
                <w:tcPr>
                  <w:tcW w:w="210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Cs/>
                      <w:color w:val="auto"/>
                      <w:sz w:val="21"/>
                      <w:szCs w:val="21"/>
                    </w:rPr>
                  </w:pPr>
                </w:p>
              </w:tc>
              <w:tc>
                <w:tcPr>
                  <w:tcW w:w="12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东厂界</w:t>
                  </w:r>
                </w:p>
              </w:tc>
              <w:tc>
                <w:tcPr>
                  <w:tcW w:w="12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南厂界</w:t>
                  </w:r>
                </w:p>
              </w:tc>
              <w:tc>
                <w:tcPr>
                  <w:tcW w:w="12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西厂界</w:t>
                  </w:r>
                </w:p>
              </w:tc>
              <w:tc>
                <w:tcPr>
                  <w:tcW w:w="12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北厂界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06" w:hRule="atLeast"/>
                <w:jc w:val="center"/>
              </w:trPr>
              <w:tc>
                <w:tcPr>
                  <w:tcW w:w="7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1</w:t>
                  </w:r>
                </w:p>
              </w:tc>
              <w:tc>
                <w:tcPr>
                  <w:tcW w:w="21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tLeast"/>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锅炉房</w:t>
                  </w:r>
                </w:p>
              </w:tc>
              <w:tc>
                <w:tcPr>
                  <w:tcW w:w="12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180</w:t>
                  </w:r>
                </w:p>
              </w:tc>
              <w:tc>
                <w:tcPr>
                  <w:tcW w:w="12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50</w:t>
                  </w:r>
                </w:p>
              </w:tc>
              <w:tc>
                <w:tcPr>
                  <w:tcW w:w="12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10</w:t>
                  </w:r>
                </w:p>
              </w:tc>
              <w:tc>
                <w:tcPr>
                  <w:tcW w:w="12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300</w:t>
                  </w: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bCs/>
                <w:color w:val="auto"/>
                <w:sz w:val="24"/>
                <w:szCs w:val="24"/>
              </w:rPr>
            </w:pPr>
            <w:r>
              <w:rPr>
                <w:rFonts w:hint="default" w:ascii="Times New Roman" w:hAnsi="Times New Roman" w:eastAsia="黑体" w:cs="Times New Roman"/>
                <w:b/>
                <w:bCs/>
                <w:color w:val="auto"/>
                <w:sz w:val="24"/>
                <w:szCs w:val="24"/>
              </w:rPr>
              <w:t>表</w:t>
            </w:r>
            <w:r>
              <w:rPr>
                <w:rFonts w:hint="eastAsia" w:eastAsia="黑体" w:cs="Times New Roman"/>
                <w:b/>
                <w:bCs/>
                <w:color w:val="auto"/>
                <w:sz w:val="24"/>
                <w:szCs w:val="24"/>
                <w:lang w:val="en-US" w:eastAsia="zh-CN"/>
              </w:rPr>
              <w:t>48</w:t>
            </w:r>
            <w:r>
              <w:rPr>
                <w:rFonts w:hint="default" w:ascii="Times New Roman" w:hAnsi="Times New Roman" w:eastAsia="黑体" w:cs="Times New Roman"/>
                <w:b/>
                <w:bCs/>
                <w:color w:val="auto"/>
                <w:sz w:val="24"/>
                <w:szCs w:val="24"/>
              </w:rPr>
              <w:t xml:space="preserve"> 主要噪声源对各厂界的噪声贡献值</w:t>
            </w:r>
          </w:p>
          <w:tbl>
            <w:tblPr>
              <w:tblStyle w:val="20"/>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3214"/>
              <w:gridCol w:w="1300"/>
              <w:gridCol w:w="1275"/>
              <w:gridCol w:w="1275"/>
              <w:gridCol w:w="8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321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预测点噪声源</w:t>
                  </w:r>
                </w:p>
              </w:tc>
              <w:tc>
                <w:tcPr>
                  <w:tcW w:w="4723"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等效源强贡献值（dB(A)）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321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Cs/>
                      <w:color w:val="auto"/>
                      <w:sz w:val="21"/>
                      <w:szCs w:val="21"/>
                    </w:rPr>
                  </w:pPr>
                </w:p>
              </w:tc>
              <w:tc>
                <w:tcPr>
                  <w:tcW w:w="13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东厂界</w:t>
                  </w:r>
                </w:p>
              </w:tc>
              <w:tc>
                <w:tcPr>
                  <w:tcW w:w="12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南厂界</w:t>
                  </w:r>
                </w:p>
              </w:tc>
              <w:tc>
                <w:tcPr>
                  <w:tcW w:w="12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西厂界</w:t>
                  </w: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北厂界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32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eastAsia="zh-CN"/>
                    </w:rPr>
                    <w:t>本项目厂界噪声贡献值</w:t>
                  </w:r>
                  <w:r>
                    <w:rPr>
                      <w:rFonts w:hint="default" w:ascii="Times New Roman" w:hAnsi="Times New Roman" w:eastAsia="宋体" w:cs="Times New Roman"/>
                      <w:bCs/>
                      <w:color w:val="auto"/>
                      <w:sz w:val="21"/>
                      <w:szCs w:val="21"/>
                    </w:rPr>
                    <w:t>（dB(A)）</w:t>
                  </w:r>
                </w:p>
              </w:tc>
              <w:tc>
                <w:tcPr>
                  <w:tcW w:w="130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atLeast"/>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eastAsia" w:cs="Times New Roman"/>
                      <w:i w:val="0"/>
                      <w:iCs w:val="0"/>
                      <w:color w:val="0000FF"/>
                      <w:kern w:val="2"/>
                      <w:sz w:val="21"/>
                      <w:szCs w:val="21"/>
                      <w:u w:val="none"/>
                      <w:lang w:val="en-US" w:eastAsia="zh-CN" w:bidi="ar-SA"/>
                    </w:rPr>
                    <w:t>21.79</w:t>
                  </w:r>
                </w:p>
              </w:tc>
              <w:tc>
                <w:tcPr>
                  <w:tcW w:w="12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atLeast"/>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eastAsia" w:cs="Times New Roman"/>
                      <w:i w:val="0"/>
                      <w:iCs w:val="0"/>
                      <w:color w:val="0000FF"/>
                      <w:kern w:val="2"/>
                      <w:sz w:val="21"/>
                      <w:szCs w:val="21"/>
                      <w:u w:val="none"/>
                      <w:lang w:val="en-US" w:eastAsia="zh-CN" w:bidi="ar-SA"/>
                    </w:rPr>
                    <w:t>32.92</w:t>
                  </w:r>
                </w:p>
              </w:tc>
              <w:tc>
                <w:tcPr>
                  <w:tcW w:w="12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atLeast"/>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eastAsia" w:cs="Times New Roman"/>
                      <w:i w:val="0"/>
                      <w:iCs w:val="0"/>
                      <w:color w:val="0000FF"/>
                      <w:kern w:val="2"/>
                      <w:sz w:val="21"/>
                      <w:szCs w:val="21"/>
                      <w:u w:val="none"/>
                      <w:lang w:val="en-US" w:eastAsia="zh-CN" w:bidi="ar-SA"/>
                    </w:rPr>
                    <w:t>46.9</w:t>
                  </w:r>
                </w:p>
              </w:tc>
              <w:tc>
                <w:tcPr>
                  <w:tcW w:w="8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360" w:lineRule="atLeast"/>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2"/>
                      <w:sz w:val="21"/>
                      <w:szCs w:val="21"/>
                      <w:u w:val="none"/>
                      <w:lang w:val="en-US" w:eastAsia="zh-CN" w:bidi="ar-SA"/>
                    </w:rPr>
                    <w:t>1</w:t>
                  </w:r>
                  <w:r>
                    <w:rPr>
                      <w:rFonts w:hint="eastAsia" w:cs="Times New Roman"/>
                      <w:i w:val="0"/>
                      <w:iCs w:val="0"/>
                      <w:color w:val="0000FF"/>
                      <w:kern w:val="2"/>
                      <w:sz w:val="21"/>
                      <w:szCs w:val="21"/>
                      <w:u w:val="none"/>
                      <w:lang w:val="en-US" w:eastAsia="zh-CN" w:bidi="ar-SA"/>
                    </w:rPr>
                    <w:t>7.35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32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eastAsia="zh-CN"/>
                    </w:rPr>
                    <w:t>背景值</w:t>
                  </w:r>
                  <w:r>
                    <w:rPr>
                      <w:rFonts w:hint="default" w:ascii="Times New Roman" w:hAnsi="Times New Roman" w:eastAsia="宋体" w:cs="Times New Roman"/>
                      <w:bCs/>
                      <w:color w:val="auto"/>
                      <w:sz w:val="21"/>
                      <w:szCs w:val="21"/>
                      <w:lang w:val="en-US" w:eastAsia="zh-CN"/>
                    </w:rPr>
                    <w:t>-</w:t>
                  </w:r>
                  <w:r>
                    <w:rPr>
                      <w:rFonts w:hint="default" w:ascii="Times New Roman" w:hAnsi="Times New Roman" w:eastAsia="宋体" w:cs="Times New Roman"/>
                      <w:bCs/>
                      <w:color w:val="auto"/>
                      <w:sz w:val="21"/>
                      <w:szCs w:val="21"/>
                      <w:lang w:eastAsia="zh-CN"/>
                    </w:rPr>
                    <w:t>昼间</w:t>
                  </w:r>
                  <w:r>
                    <w:rPr>
                      <w:rFonts w:hint="default" w:ascii="Times New Roman" w:hAnsi="Times New Roman" w:eastAsia="宋体" w:cs="Times New Roman"/>
                      <w:bCs/>
                      <w:color w:val="auto"/>
                      <w:sz w:val="21"/>
                      <w:szCs w:val="21"/>
                      <w:lang w:val="en-US" w:eastAsia="zh-CN"/>
                    </w:rPr>
                    <w:t>/夜间</w:t>
                  </w:r>
                  <w:r>
                    <w:rPr>
                      <w:rFonts w:hint="default" w:ascii="Times New Roman" w:hAnsi="Times New Roman" w:eastAsia="宋体" w:cs="Times New Roman"/>
                      <w:bCs/>
                      <w:color w:val="auto"/>
                      <w:sz w:val="21"/>
                      <w:szCs w:val="21"/>
                    </w:rPr>
                    <w:t>（dB(A)）</w:t>
                  </w:r>
                </w:p>
              </w:tc>
              <w:tc>
                <w:tcPr>
                  <w:tcW w:w="13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57/47</w:t>
                  </w:r>
                </w:p>
              </w:tc>
              <w:tc>
                <w:tcPr>
                  <w:tcW w:w="12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56/48</w:t>
                  </w:r>
                </w:p>
              </w:tc>
              <w:tc>
                <w:tcPr>
                  <w:tcW w:w="12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59/47</w:t>
                  </w: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58/46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32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eastAsia="zh-CN"/>
                    </w:rPr>
                    <w:t>叠加噪声源强</w:t>
                  </w:r>
                  <w:r>
                    <w:rPr>
                      <w:rFonts w:hint="default" w:ascii="Times New Roman" w:hAnsi="Times New Roman" w:eastAsia="宋体" w:cs="Times New Roman"/>
                      <w:bCs/>
                      <w:color w:val="auto"/>
                      <w:sz w:val="21"/>
                      <w:szCs w:val="21"/>
                      <w:lang w:val="en-US" w:eastAsia="zh-CN"/>
                    </w:rPr>
                    <w:t>-</w:t>
                  </w:r>
                  <w:r>
                    <w:rPr>
                      <w:rFonts w:hint="default" w:ascii="Times New Roman" w:hAnsi="Times New Roman" w:eastAsia="宋体" w:cs="Times New Roman"/>
                      <w:bCs/>
                      <w:color w:val="auto"/>
                      <w:sz w:val="21"/>
                      <w:szCs w:val="21"/>
                      <w:lang w:eastAsia="zh-CN"/>
                    </w:rPr>
                    <w:t>昼间</w:t>
                  </w:r>
                  <w:r>
                    <w:rPr>
                      <w:rFonts w:hint="default" w:ascii="Times New Roman" w:hAnsi="Times New Roman" w:eastAsia="宋体" w:cs="Times New Roman"/>
                      <w:bCs/>
                      <w:color w:val="auto"/>
                      <w:sz w:val="21"/>
                      <w:szCs w:val="21"/>
                      <w:lang w:val="en-US" w:eastAsia="zh-CN"/>
                    </w:rPr>
                    <w:t>/夜间</w:t>
                  </w:r>
                  <w:r>
                    <w:rPr>
                      <w:rFonts w:hint="default" w:ascii="Times New Roman" w:hAnsi="Times New Roman" w:eastAsia="宋体" w:cs="Times New Roman"/>
                      <w:bCs/>
                      <w:color w:val="auto"/>
                      <w:sz w:val="21"/>
                      <w:szCs w:val="21"/>
                    </w:rPr>
                    <w:t>（dB(A)）</w:t>
                  </w:r>
                </w:p>
              </w:tc>
              <w:tc>
                <w:tcPr>
                  <w:tcW w:w="13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Cs/>
                      <w:color w:val="0000FF"/>
                      <w:kern w:val="2"/>
                      <w:sz w:val="21"/>
                      <w:szCs w:val="21"/>
                      <w:lang w:val="en-US" w:eastAsia="zh-CN" w:bidi="ar-SA"/>
                    </w:rPr>
                  </w:pPr>
                  <w:r>
                    <w:rPr>
                      <w:rFonts w:hint="default" w:ascii="Times New Roman" w:hAnsi="Times New Roman" w:eastAsia="宋体" w:cs="Times New Roman"/>
                      <w:bCs/>
                      <w:color w:val="0000FF"/>
                      <w:kern w:val="2"/>
                      <w:sz w:val="21"/>
                      <w:szCs w:val="21"/>
                      <w:lang w:val="en-US" w:eastAsia="zh-CN" w:bidi="ar-SA"/>
                    </w:rPr>
                    <w:t>57/47.0</w:t>
                  </w:r>
                  <w:r>
                    <w:rPr>
                      <w:rFonts w:hint="eastAsia" w:cs="Times New Roman"/>
                      <w:bCs/>
                      <w:color w:val="0000FF"/>
                      <w:kern w:val="2"/>
                      <w:sz w:val="21"/>
                      <w:szCs w:val="21"/>
                      <w:lang w:val="en-US" w:eastAsia="zh-CN" w:bidi="ar-SA"/>
                    </w:rPr>
                    <w:t>1</w:t>
                  </w:r>
                </w:p>
              </w:tc>
              <w:tc>
                <w:tcPr>
                  <w:tcW w:w="12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Cs/>
                      <w:color w:val="0000FF"/>
                      <w:kern w:val="2"/>
                      <w:sz w:val="21"/>
                      <w:szCs w:val="21"/>
                      <w:lang w:val="en-US" w:eastAsia="zh-CN" w:bidi="ar-SA"/>
                    </w:rPr>
                  </w:pPr>
                  <w:r>
                    <w:rPr>
                      <w:rFonts w:hint="default" w:ascii="Times New Roman" w:hAnsi="Times New Roman" w:eastAsia="宋体" w:cs="Times New Roman"/>
                      <w:bCs/>
                      <w:color w:val="0000FF"/>
                      <w:kern w:val="2"/>
                      <w:sz w:val="21"/>
                      <w:szCs w:val="21"/>
                      <w:lang w:val="en-US" w:eastAsia="zh-CN" w:bidi="ar-SA"/>
                    </w:rPr>
                    <w:t>56.0</w:t>
                  </w:r>
                  <w:r>
                    <w:rPr>
                      <w:rFonts w:hint="eastAsia" w:cs="Times New Roman"/>
                      <w:bCs/>
                      <w:color w:val="0000FF"/>
                      <w:kern w:val="2"/>
                      <w:sz w:val="21"/>
                      <w:szCs w:val="21"/>
                      <w:lang w:val="en-US" w:eastAsia="zh-CN" w:bidi="ar-SA"/>
                    </w:rPr>
                    <w:t>2</w:t>
                  </w:r>
                  <w:r>
                    <w:rPr>
                      <w:rFonts w:hint="default" w:ascii="Times New Roman" w:hAnsi="Times New Roman" w:eastAsia="宋体" w:cs="Times New Roman"/>
                      <w:bCs/>
                      <w:color w:val="0000FF"/>
                      <w:kern w:val="2"/>
                      <w:sz w:val="21"/>
                      <w:szCs w:val="21"/>
                      <w:lang w:val="en-US" w:eastAsia="zh-CN" w:bidi="ar-SA"/>
                    </w:rPr>
                    <w:t>/48.</w:t>
                  </w:r>
                  <w:r>
                    <w:rPr>
                      <w:rFonts w:hint="eastAsia" w:cs="Times New Roman"/>
                      <w:bCs/>
                      <w:color w:val="0000FF"/>
                      <w:kern w:val="2"/>
                      <w:sz w:val="21"/>
                      <w:szCs w:val="21"/>
                      <w:lang w:val="en-US" w:eastAsia="zh-CN" w:bidi="ar-SA"/>
                    </w:rPr>
                    <w:t>13</w:t>
                  </w:r>
                </w:p>
              </w:tc>
              <w:tc>
                <w:tcPr>
                  <w:tcW w:w="12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Cs/>
                      <w:color w:val="0000FF"/>
                      <w:kern w:val="2"/>
                      <w:sz w:val="21"/>
                      <w:szCs w:val="21"/>
                      <w:lang w:val="en-US" w:eastAsia="zh-CN" w:bidi="ar-SA"/>
                    </w:rPr>
                  </w:pPr>
                  <w:r>
                    <w:rPr>
                      <w:rFonts w:hint="default" w:ascii="Times New Roman" w:hAnsi="Times New Roman" w:eastAsia="宋体" w:cs="Times New Roman"/>
                      <w:bCs/>
                      <w:color w:val="0000FF"/>
                      <w:kern w:val="2"/>
                      <w:sz w:val="21"/>
                      <w:szCs w:val="21"/>
                      <w:lang w:val="en-US" w:eastAsia="zh-CN" w:bidi="ar-SA"/>
                    </w:rPr>
                    <w:t>59.</w:t>
                  </w:r>
                  <w:r>
                    <w:rPr>
                      <w:rFonts w:hint="eastAsia" w:cs="Times New Roman"/>
                      <w:bCs/>
                      <w:color w:val="0000FF"/>
                      <w:kern w:val="2"/>
                      <w:sz w:val="21"/>
                      <w:szCs w:val="21"/>
                      <w:lang w:val="en-US" w:eastAsia="zh-CN" w:bidi="ar-SA"/>
                    </w:rPr>
                    <w:t>26</w:t>
                  </w:r>
                  <w:r>
                    <w:rPr>
                      <w:rFonts w:hint="default" w:ascii="Times New Roman" w:hAnsi="Times New Roman" w:eastAsia="宋体" w:cs="Times New Roman"/>
                      <w:bCs/>
                      <w:color w:val="0000FF"/>
                      <w:kern w:val="2"/>
                      <w:sz w:val="21"/>
                      <w:szCs w:val="21"/>
                      <w:lang w:val="en-US" w:eastAsia="zh-CN" w:bidi="ar-SA"/>
                    </w:rPr>
                    <w:t>/4</w:t>
                  </w:r>
                  <w:r>
                    <w:rPr>
                      <w:rFonts w:hint="eastAsia" w:cs="Times New Roman"/>
                      <w:bCs/>
                      <w:color w:val="0000FF"/>
                      <w:kern w:val="2"/>
                      <w:sz w:val="21"/>
                      <w:szCs w:val="21"/>
                      <w:lang w:val="en-US" w:eastAsia="zh-CN" w:bidi="ar-SA"/>
                    </w:rPr>
                    <w:t>9.96</w:t>
                  </w: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Cs/>
                      <w:color w:val="0000FF"/>
                      <w:kern w:val="2"/>
                      <w:sz w:val="21"/>
                      <w:szCs w:val="21"/>
                      <w:lang w:val="en-US" w:eastAsia="zh-CN" w:bidi="ar-SA"/>
                    </w:rPr>
                  </w:pPr>
                  <w:r>
                    <w:rPr>
                      <w:rFonts w:hint="default" w:ascii="Times New Roman" w:hAnsi="Times New Roman" w:eastAsia="宋体" w:cs="Times New Roman"/>
                      <w:bCs/>
                      <w:color w:val="0000FF"/>
                      <w:kern w:val="2"/>
                      <w:sz w:val="21"/>
                      <w:szCs w:val="21"/>
                      <w:lang w:val="en-US" w:eastAsia="zh-CN" w:bidi="ar-SA"/>
                    </w:rPr>
                    <w:t>58/46</w:t>
                  </w:r>
                  <w:r>
                    <w:rPr>
                      <w:rFonts w:hint="eastAsia" w:cs="Times New Roman"/>
                      <w:bCs/>
                      <w:color w:val="0000FF"/>
                      <w:kern w:val="2"/>
                      <w:sz w:val="21"/>
                      <w:szCs w:val="21"/>
                      <w:lang w:val="en-US" w:eastAsia="zh-CN" w:bidi="ar-SA"/>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32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超标距离（m）</w:t>
                  </w:r>
                </w:p>
              </w:tc>
              <w:tc>
                <w:tcPr>
                  <w:tcW w:w="13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12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12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8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32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标准限值</w:t>
                  </w:r>
                </w:p>
              </w:tc>
              <w:tc>
                <w:tcPr>
                  <w:tcW w:w="4723"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昼间：60dB(A)  ，夜间：50dB(A)</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cs="Times New Roman"/>
                <w:b/>
                <w:bCs/>
                <w:color w:val="auto"/>
                <w:sz w:val="24"/>
                <w:szCs w:val="24"/>
                <w:lang w:val="en-US" w:eastAsia="zh-CN"/>
              </w:rPr>
            </w:pPr>
            <w:r>
              <w:rPr>
                <w:rFonts w:hint="eastAsia" w:cs="Times New Roman"/>
                <w:b/>
                <w:bCs/>
                <w:color w:val="auto"/>
                <w:sz w:val="24"/>
                <w:szCs w:val="24"/>
                <w:lang w:val="en-US" w:eastAsia="zh-CN"/>
              </w:rPr>
              <w:t>4.4</w:t>
            </w:r>
            <w:r>
              <w:rPr>
                <w:rFonts w:hint="eastAsia" w:ascii="黑体" w:hAnsi="黑体" w:eastAsia="黑体" w:cs="黑体"/>
                <w:b/>
                <w:bCs/>
                <w:color w:val="auto"/>
                <w:sz w:val="24"/>
                <w:szCs w:val="24"/>
                <w:lang w:val="en-US" w:eastAsia="zh-CN"/>
              </w:rPr>
              <w:t>固体废物</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0"/>
              <w:textAlignment w:val="auto"/>
              <w:rPr>
                <w:rFonts w:hint="default" w:ascii="Times New Roman" w:hAnsi="Times New Roman" w:eastAsia="宋体" w:cs="Times New Roman"/>
                <w:b/>
                <w:bCs/>
                <w:color w:val="auto"/>
                <w:sz w:val="24"/>
                <w:szCs w:val="24"/>
              </w:rPr>
            </w:pPr>
            <w:r>
              <w:rPr>
                <w:rFonts w:hint="eastAsia" w:cs="Times New Roman"/>
                <w:b/>
                <w:bCs/>
                <w:color w:val="auto"/>
                <w:sz w:val="24"/>
                <w:szCs w:val="24"/>
                <w:lang w:val="en-US" w:eastAsia="zh-CN"/>
              </w:rPr>
              <w:t>4.4.1</w:t>
            </w:r>
            <w:r>
              <w:rPr>
                <w:rFonts w:hint="eastAsia" w:ascii="黑体" w:hAnsi="黑体" w:eastAsia="黑体" w:cs="黑体"/>
                <w:b/>
                <w:bCs/>
                <w:color w:val="auto"/>
                <w:sz w:val="24"/>
                <w:szCs w:val="24"/>
              </w:rPr>
              <w:t>固体废物产生情况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本项目运营后产生的固废主要为</w:t>
            </w:r>
            <w:r>
              <w:rPr>
                <w:rFonts w:hint="eastAsia" w:cs="Times New Roman"/>
                <w:color w:val="auto"/>
                <w:sz w:val="24"/>
                <w:szCs w:val="24"/>
                <w:highlight w:val="none"/>
                <w:lang w:eastAsia="zh-CN"/>
              </w:rPr>
              <w:t>员工生活垃圾</w:t>
            </w:r>
            <w:r>
              <w:rPr>
                <w:rFonts w:hint="default" w:ascii="Times New Roman" w:hAnsi="Times New Roman" w:eastAsia="宋体" w:cs="Times New Roman"/>
                <w:color w:val="auto"/>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宋体" w:hAnsi="宋体"/>
                <w:color w:val="auto"/>
                <w:sz w:val="24"/>
                <w:szCs w:val="24"/>
              </w:rPr>
              <w:t>职工日常</w:t>
            </w:r>
            <w:r>
              <w:rPr>
                <w:rFonts w:hAnsi="宋体"/>
                <w:color w:val="auto"/>
                <w:sz w:val="24"/>
                <w:szCs w:val="24"/>
              </w:rPr>
              <w:t>生活产生的垃圾，按</w:t>
            </w:r>
            <w:r>
              <w:rPr>
                <w:color w:val="auto"/>
                <w:sz w:val="24"/>
                <w:szCs w:val="24"/>
              </w:rPr>
              <w:t>0.5</w:t>
            </w:r>
            <w:r>
              <w:rPr>
                <w:rFonts w:hAnsi="宋体"/>
                <w:color w:val="auto"/>
                <w:sz w:val="24"/>
                <w:szCs w:val="24"/>
              </w:rPr>
              <w:t>公斤</w:t>
            </w:r>
            <w:r>
              <w:rPr>
                <w:color w:val="auto"/>
                <w:sz w:val="24"/>
                <w:szCs w:val="24"/>
              </w:rPr>
              <w:t>/</w:t>
            </w:r>
            <w:r>
              <w:rPr>
                <w:rFonts w:hAnsi="宋体"/>
                <w:color w:val="auto"/>
                <w:sz w:val="24"/>
                <w:szCs w:val="24"/>
              </w:rPr>
              <w:t>人</w:t>
            </w:r>
            <w:r>
              <w:rPr>
                <w:color w:val="auto"/>
                <w:sz w:val="24"/>
                <w:szCs w:val="24"/>
              </w:rPr>
              <w:t>·</w:t>
            </w:r>
            <w:r>
              <w:rPr>
                <w:rFonts w:hAnsi="宋体"/>
                <w:color w:val="auto"/>
                <w:sz w:val="24"/>
                <w:szCs w:val="24"/>
              </w:rPr>
              <w:t>天</w:t>
            </w:r>
            <w:r>
              <w:rPr>
                <w:rFonts w:hint="eastAsia" w:hAnsi="宋体"/>
                <w:color w:val="auto"/>
                <w:sz w:val="24"/>
                <w:szCs w:val="24"/>
                <w:lang w:eastAsia="zh-CN"/>
              </w:rPr>
              <w:t>，劳动定员</w:t>
            </w:r>
            <w:r>
              <w:rPr>
                <w:rFonts w:hint="eastAsia" w:hAnsi="宋体"/>
                <w:color w:val="auto"/>
                <w:sz w:val="24"/>
                <w:szCs w:val="24"/>
                <w:lang w:val="en-US" w:eastAsia="zh-CN"/>
              </w:rPr>
              <w:t>4人，全年工作天数</w:t>
            </w:r>
            <w:r>
              <w:rPr>
                <w:rFonts w:hint="eastAsia" w:hAnsi="宋体"/>
                <w:color w:val="0000FF"/>
                <w:sz w:val="24"/>
                <w:szCs w:val="24"/>
                <w:lang w:val="en-US" w:eastAsia="zh-CN"/>
              </w:rPr>
              <w:t>300</w:t>
            </w:r>
            <w:r>
              <w:rPr>
                <w:rFonts w:hint="eastAsia" w:hAnsi="宋体"/>
                <w:color w:val="auto"/>
                <w:sz w:val="24"/>
                <w:szCs w:val="24"/>
                <w:lang w:val="en-US" w:eastAsia="zh-CN"/>
              </w:rPr>
              <w:t>天，垃圾产生量为</w:t>
            </w:r>
            <w:r>
              <w:rPr>
                <w:rFonts w:hint="eastAsia" w:hAnsi="宋体"/>
                <w:color w:val="0000FF"/>
                <w:sz w:val="24"/>
                <w:szCs w:val="24"/>
                <w:lang w:val="en-US" w:eastAsia="zh-CN"/>
              </w:rPr>
              <w:t>0.6t/a</w:t>
            </w:r>
            <w:r>
              <w:rPr>
                <w:rFonts w:hint="eastAsia" w:hAnsi="宋体"/>
                <w:color w:val="C00000"/>
                <w:sz w:val="24"/>
                <w:szCs w:val="24"/>
                <w:lang w:val="en-US" w:eastAsia="zh-CN"/>
              </w:rPr>
              <w:t>，</w:t>
            </w:r>
            <w:r>
              <w:rPr>
                <w:rFonts w:hint="eastAsia" w:hAnsi="宋体"/>
                <w:color w:val="auto"/>
                <w:sz w:val="24"/>
                <w:szCs w:val="24"/>
                <w:lang w:val="en-US" w:eastAsia="zh-CN"/>
              </w:rPr>
              <w:t>均</w:t>
            </w:r>
            <w:r>
              <w:rPr>
                <w:rFonts w:hint="default" w:ascii="Times New Roman" w:hAnsi="Times New Roman" w:eastAsia="宋体" w:cs="Times New Roman"/>
                <w:color w:val="auto"/>
                <w:sz w:val="24"/>
                <w:szCs w:val="24"/>
                <w:highlight w:val="none"/>
              </w:rPr>
              <w:t>属于</w:t>
            </w:r>
            <w:r>
              <w:rPr>
                <w:rFonts w:hint="default" w:ascii="Times New Roman" w:hAnsi="Times New Roman" w:eastAsia="宋体" w:cs="Times New Roman"/>
                <w:color w:val="auto"/>
                <w:sz w:val="24"/>
                <w:szCs w:val="24"/>
                <w:highlight w:val="none"/>
                <w:lang w:val="en-US" w:eastAsia="zh-CN"/>
              </w:rPr>
              <w:t>一般固废。暂存</w:t>
            </w:r>
            <w:r>
              <w:rPr>
                <w:rFonts w:hint="eastAsia" w:cs="Times New Roman"/>
                <w:color w:val="auto"/>
                <w:sz w:val="24"/>
                <w:szCs w:val="24"/>
                <w:highlight w:val="none"/>
                <w:lang w:val="en-US" w:eastAsia="zh-CN"/>
              </w:rPr>
              <w:t>于</w:t>
            </w:r>
            <w:r>
              <w:rPr>
                <w:rFonts w:hint="default" w:ascii="Times New Roman" w:hAnsi="Times New Roman" w:eastAsia="宋体" w:cs="Times New Roman"/>
                <w:color w:val="auto"/>
                <w:sz w:val="24"/>
                <w:szCs w:val="24"/>
                <w:highlight w:val="none"/>
                <w:lang w:val="en-US" w:eastAsia="zh-CN"/>
              </w:rPr>
              <w:t>厂区</w:t>
            </w:r>
            <w:r>
              <w:rPr>
                <w:rFonts w:hint="eastAsia" w:cs="Times New Roman"/>
                <w:color w:val="auto"/>
                <w:sz w:val="24"/>
                <w:szCs w:val="24"/>
                <w:highlight w:val="none"/>
                <w:lang w:val="en-US" w:eastAsia="zh-CN"/>
              </w:rPr>
              <w:t>垃圾桶，</w:t>
            </w:r>
            <w:r>
              <w:rPr>
                <w:rFonts w:hint="default" w:ascii="Times New Roman" w:hAnsi="Times New Roman" w:eastAsia="宋体" w:cs="Times New Roman"/>
                <w:color w:val="auto"/>
                <w:sz w:val="24"/>
                <w:szCs w:val="24"/>
                <w:highlight w:val="none"/>
              </w:rPr>
              <w:t>项目固体废物产生量和处理方式见下表</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黑体" w:cs="Times New Roman"/>
                <w:b/>
                <w:bCs/>
                <w:color w:val="auto"/>
                <w:sz w:val="24"/>
                <w:szCs w:val="24"/>
                <w:highlight w:val="none"/>
              </w:rPr>
            </w:pPr>
            <w:r>
              <w:rPr>
                <w:rFonts w:hint="default" w:ascii="Times New Roman" w:hAnsi="Times New Roman" w:eastAsia="黑体" w:cs="Times New Roman"/>
                <w:b/>
                <w:bCs/>
                <w:color w:val="auto"/>
                <w:sz w:val="24"/>
                <w:szCs w:val="24"/>
                <w:highlight w:val="none"/>
              </w:rPr>
              <w:t>表</w:t>
            </w:r>
            <w:r>
              <w:rPr>
                <w:rFonts w:hint="eastAsia" w:eastAsia="黑体" w:cs="Times New Roman"/>
                <w:b/>
                <w:bCs/>
                <w:color w:val="auto"/>
                <w:sz w:val="24"/>
                <w:szCs w:val="24"/>
                <w:highlight w:val="none"/>
                <w:lang w:val="en-US" w:eastAsia="zh-CN"/>
              </w:rPr>
              <w:t>49</w:t>
            </w:r>
            <w:r>
              <w:rPr>
                <w:rFonts w:hint="default" w:ascii="Times New Roman" w:hAnsi="Times New Roman" w:eastAsia="黑体" w:cs="Times New Roman"/>
                <w:b/>
                <w:bCs/>
                <w:color w:val="auto"/>
                <w:sz w:val="24"/>
                <w:szCs w:val="24"/>
                <w:highlight w:val="none"/>
              </w:rPr>
              <w:t xml:space="preserve"> 固体废物情况汇总表</w:t>
            </w:r>
          </w:p>
          <w:tbl>
            <w:tblPr>
              <w:tblStyle w:val="21"/>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854"/>
              <w:gridCol w:w="1167"/>
              <w:gridCol w:w="998"/>
              <w:gridCol w:w="2178"/>
              <w:gridCol w:w="10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3"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序号</w:t>
                  </w:r>
                </w:p>
              </w:tc>
              <w:tc>
                <w:tcPr>
                  <w:tcW w:w="185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固废名称</w:t>
                  </w:r>
                </w:p>
              </w:tc>
              <w:tc>
                <w:tcPr>
                  <w:tcW w:w="116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属性</w:t>
                  </w:r>
                </w:p>
              </w:tc>
              <w:tc>
                <w:tcPr>
                  <w:tcW w:w="99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产生量</w:t>
                  </w:r>
                </w:p>
              </w:tc>
              <w:tc>
                <w:tcPr>
                  <w:tcW w:w="217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利用处置方式</w:t>
                  </w:r>
                </w:p>
              </w:tc>
              <w:tc>
                <w:tcPr>
                  <w:tcW w:w="10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是否符合环保要求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3"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1854"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生活垃圾</w:t>
                  </w:r>
                </w:p>
              </w:tc>
              <w:tc>
                <w:tcPr>
                  <w:tcW w:w="116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生活垃圾</w:t>
                  </w:r>
                </w:p>
              </w:tc>
              <w:tc>
                <w:tcPr>
                  <w:tcW w:w="99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0000FF"/>
                      <w:sz w:val="21"/>
                      <w:szCs w:val="21"/>
                      <w:highlight w:val="none"/>
                      <w:vertAlign w:val="baseline"/>
                      <w:lang w:val="en-US" w:eastAsia="zh-CN"/>
                    </w:rPr>
                    <w:t>0.6t/a</w:t>
                  </w:r>
                </w:p>
              </w:tc>
              <w:tc>
                <w:tcPr>
                  <w:tcW w:w="217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rPr>
                    <w:t>收集后</w:t>
                  </w:r>
                  <w:r>
                    <w:rPr>
                      <w:rFonts w:hint="default" w:ascii="Times New Roman" w:hAnsi="Times New Roman" w:eastAsia="宋体" w:cs="Times New Roman"/>
                      <w:color w:val="auto"/>
                      <w:sz w:val="21"/>
                      <w:szCs w:val="21"/>
                      <w:lang w:eastAsia="zh-CN"/>
                    </w:rPr>
                    <w:t>外售综合利用</w:t>
                  </w:r>
                </w:p>
              </w:tc>
              <w:tc>
                <w:tcPr>
                  <w:tcW w:w="108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综上所述，项目产生的固体废物</w:t>
            </w:r>
            <w:r>
              <w:rPr>
                <w:rFonts w:hint="default" w:ascii="Times New Roman" w:hAnsi="Times New Roman" w:eastAsia="宋体" w:cs="Times New Roman"/>
                <w:color w:val="auto"/>
                <w:sz w:val="24"/>
                <w:szCs w:val="24"/>
                <w:highlight w:val="none"/>
                <w:lang w:val="en-US" w:eastAsia="zh-CN"/>
              </w:rPr>
              <w:t>能</w:t>
            </w:r>
            <w:r>
              <w:rPr>
                <w:rFonts w:hint="default" w:ascii="Times New Roman" w:hAnsi="Times New Roman" w:eastAsia="宋体" w:cs="Times New Roman"/>
                <w:color w:val="auto"/>
                <w:sz w:val="24"/>
                <w:szCs w:val="24"/>
                <w:highlight w:val="none"/>
                <w:lang w:eastAsia="zh-CN"/>
              </w:rPr>
              <w:t>得到妥善处理，对环境影响较小。</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rPr>
            </w:pPr>
            <w:r>
              <w:rPr>
                <w:rFonts w:hint="eastAsia" w:cs="Times New Roman"/>
                <w:b/>
                <w:bCs/>
                <w:color w:val="auto"/>
                <w:sz w:val="24"/>
                <w:szCs w:val="24"/>
                <w:lang w:val="en-US" w:eastAsia="zh-CN"/>
              </w:rPr>
              <w:t>4.4.2</w:t>
            </w:r>
            <w:r>
              <w:rPr>
                <w:rFonts w:hint="eastAsia" w:ascii="黑体" w:hAnsi="黑体" w:eastAsia="黑体" w:cs="黑体"/>
                <w:b/>
                <w:bCs/>
                <w:color w:val="auto"/>
                <w:sz w:val="24"/>
                <w:szCs w:val="24"/>
              </w:rPr>
              <w:t>环境管理要求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（1）固废贮存、处置要求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rPr>
              <w:t>一般固废处置符合《一般工业固体废物贮存和填埋污染控制标准》（GB 18599-2020）要求</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与此同时企业还应做好以下防范措施：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①安排专人每天对产生的生活垃圾进行清运。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②对生产过程中产生的废料进行单独收集，尽量做到循环利用，不外排。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③进行垃圾分类收集，对可再利用的资源进行回收。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④用循环经济理论指导企业的运营与管理，建立生态型企业，减少废弃物的产生，最大限度节约和回收资源。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⑤制定严格的垃圾收集、存放、外运规定，由专人负责，采用封闭的存放和外运措施，防止飞扬、异味和运输过程中的遗洒。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综上所述，该项目生产过程中所产生的固体废物均可得到妥善处理，建设单位在解决好其排放去向并及时清运的前提下，对周围环境质量影响较小</w:t>
            </w:r>
            <w:r>
              <w:rPr>
                <w:rFonts w:hint="default" w:ascii="Times New Roman" w:hAnsi="Times New Roman" w:eastAsia="宋体" w:cs="Times New Roman"/>
                <w:color w:val="auto"/>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eastAsia" w:ascii="黑体" w:hAnsi="黑体" w:eastAsia="黑体" w:cs="黑体"/>
                <w:b/>
                <w:bCs/>
                <w:color w:val="auto"/>
                <w:sz w:val="24"/>
                <w:szCs w:val="24"/>
                <w:lang w:val="en-US" w:eastAsia="zh-CN"/>
              </w:rPr>
            </w:pPr>
            <w:r>
              <w:rPr>
                <w:rFonts w:hint="eastAsia" w:cs="Times New Roman"/>
                <w:b/>
                <w:bCs/>
                <w:color w:val="auto"/>
                <w:sz w:val="24"/>
                <w:szCs w:val="24"/>
                <w:lang w:val="en-US" w:eastAsia="zh-CN"/>
              </w:rPr>
              <w:t>4.5</w:t>
            </w:r>
            <w:r>
              <w:rPr>
                <w:rFonts w:hint="eastAsia" w:ascii="黑体" w:hAnsi="黑体" w:eastAsia="黑体" w:cs="黑体"/>
                <w:b/>
                <w:bCs/>
                <w:color w:val="auto"/>
                <w:sz w:val="24"/>
                <w:szCs w:val="24"/>
                <w:lang w:val="en-US" w:eastAsia="zh-CN"/>
              </w:rPr>
              <w:t>土壤、地下水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 xml:space="preserve">    4.5.1</w:t>
            </w:r>
            <w:r>
              <w:rPr>
                <w:rFonts w:hint="eastAsia" w:ascii="黑体" w:hAnsi="黑体" w:eastAsia="黑体" w:cs="黑体"/>
                <w:b/>
                <w:bCs/>
                <w:color w:val="auto"/>
                <w:sz w:val="24"/>
                <w:szCs w:val="24"/>
                <w:lang w:val="en-US" w:eastAsia="zh-CN"/>
              </w:rPr>
              <w:t>土壤环境影响分析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土壤污染是指人类活动所产生的物质（污染物），通过各种途径进入土壤，其数量和速度超过了土壤的容纳能力和净化速度的现象。土壤污染可使土壤的性质、组成及性状等发生变化，使污染物质的积累过程逐渐占据优势，破坏土壤的自然动态平衡，从而导致土壤自然正常功能失调，土壤质量恶化，影响作物的生长发育，以致造成产量和质量的下降，并可通过食物链危害生物和人类健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企业排放的污染物对土壤质地性状</w:t>
            </w:r>
            <w:r>
              <w:rPr>
                <w:rFonts w:hint="default" w:ascii="Times New Roman" w:hAnsi="Times New Roman" w:eastAsia="宋体" w:cs="Times New Roman"/>
                <w:color w:val="auto"/>
                <w:sz w:val="24"/>
                <w:szCs w:val="24"/>
                <w:lang w:eastAsia="zh-CN"/>
              </w:rPr>
              <w:t>有一定的</w:t>
            </w:r>
            <w:r>
              <w:rPr>
                <w:rFonts w:hint="default" w:ascii="Times New Roman" w:hAnsi="Times New Roman" w:eastAsia="宋体" w:cs="Times New Roman"/>
                <w:color w:val="auto"/>
                <w:sz w:val="24"/>
                <w:szCs w:val="24"/>
              </w:rPr>
              <w:t>影响。项目厂区全部硬化，并做防渗处理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并且</w:t>
            </w:r>
            <w:r>
              <w:rPr>
                <w:rFonts w:hint="default" w:ascii="Times New Roman" w:hAnsi="Times New Roman" w:eastAsia="宋体" w:cs="Times New Roman"/>
                <w:color w:val="auto"/>
                <w:sz w:val="24"/>
                <w:szCs w:val="24"/>
                <w:lang w:eastAsia="zh-CN"/>
              </w:rPr>
              <w:t>项目运营</w:t>
            </w:r>
            <w:r>
              <w:rPr>
                <w:rFonts w:hint="default" w:ascii="Times New Roman" w:hAnsi="Times New Roman" w:eastAsia="宋体" w:cs="Times New Roman"/>
                <w:color w:val="auto"/>
                <w:sz w:val="24"/>
                <w:szCs w:val="24"/>
              </w:rPr>
              <w:t>期所产生的污染物均有妥善的处理处置措施，严格执行各项环保措施，污染物对土壤环境的影响</w:t>
            </w:r>
            <w:r>
              <w:rPr>
                <w:rFonts w:hint="default" w:ascii="Times New Roman" w:hAnsi="Times New Roman" w:eastAsia="宋体" w:cs="Times New Roman"/>
                <w:color w:val="auto"/>
                <w:sz w:val="24"/>
                <w:szCs w:val="24"/>
                <w:lang w:eastAsia="zh-CN"/>
              </w:rPr>
              <w:t>较小</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rPr>
            </w:pPr>
            <w:r>
              <w:rPr>
                <w:rFonts w:hint="eastAsia" w:cs="Times New Roman"/>
                <w:b/>
                <w:bCs/>
                <w:color w:val="auto"/>
                <w:sz w:val="24"/>
                <w:szCs w:val="24"/>
                <w:lang w:val="en-US" w:eastAsia="zh-CN"/>
              </w:rPr>
              <w:t>4.5.2</w:t>
            </w:r>
            <w:r>
              <w:rPr>
                <w:rFonts w:hint="eastAsia" w:ascii="黑体" w:hAnsi="黑体" w:eastAsia="黑体" w:cs="黑体"/>
                <w:b/>
                <w:bCs/>
                <w:color w:val="auto"/>
                <w:sz w:val="24"/>
                <w:szCs w:val="24"/>
              </w:rPr>
              <w:t>地下水环境影响分析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地下水污染是指由于人类活动使地下水的物理、化学和生物特征发生了变化，因而限制或妨碍它在各方面的正常使用。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废水为</w:t>
            </w:r>
            <w:r>
              <w:rPr>
                <w:rFonts w:hint="default" w:ascii="Times New Roman" w:hAnsi="Times New Roman" w:eastAsia="宋体" w:cs="Times New Roman"/>
                <w:color w:val="auto"/>
                <w:sz w:val="24"/>
                <w:szCs w:val="24"/>
                <w:lang w:val="en-US" w:eastAsia="zh-CN"/>
              </w:rPr>
              <w:t>软化水制备废水</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锅炉废水</w:t>
            </w:r>
            <w:r>
              <w:rPr>
                <w:rFonts w:hint="eastAsia" w:cs="Times New Roman"/>
                <w:color w:val="auto"/>
                <w:sz w:val="24"/>
                <w:szCs w:val="24"/>
                <w:lang w:val="en-US" w:eastAsia="zh-CN"/>
              </w:rPr>
              <w:t>及生活污水</w:t>
            </w:r>
            <w:r>
              <w:rPr>
                <w:rFonts w:hint="default" w:ascii="Times New Roman" w:hAnsi="Times New Roman" w:eastAsia="宋体" w:cs="Times New Roman"/>
                <w:color w:val="auto"/>
                <w:sz w:val="24"/>
                <w:szCs w:val="24"/>
              </w:rPr>
              <w:t>且项目废水不直接和地表水联系，不会通过地表水和地下水的水力联系而进入地下水从而引起地下水水质的变化。</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厂区为硬化地面，一般不会有污染物下渗对地下水产生影响。建设单位采取严格的防渗措施后，可能产生渗漏的环节均得到有效控制，可最大程度的减少对浅层地下水的影响。在严格落实防渗措施后，项目对地下水的影响较小。</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4.6生态</w:t>
            </w:r>
          </w:p>
          <w:p>
            <w:pPr>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本项目在现有厂区建设，不新增用地，不会破坏周边植被；项目周边野生动物稀少，无珍稀动物；项目废水排入污水管网进入污水处理厂进一步处理，所有废气污染物均达标排放。因此，本项目对周边生态环境造成影响较小。</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4.7环境风险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本次评价以《建设项目环境风险评价技术导则》（HJ169-2018）为指导，通过对本项目进行风险识别、风险分析，提出减缓风险的措施和应急要求，为环境管理提供资料和依据，达到降低危险、减少危害的目的。</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黑体" w:cs="Times New Roman"/>
                <w:color w:val="auto"/>
                <w:kern w:val="2"/>
                <w:sz w:val="24"/>
                <w:szCs w:val="24"/>
                <w:highlight w:val="none"/>
                <w:lang w:val="en-US" w:eastAsia="zh-CN" w:bidi="ar-SA"/>
              </w:rPr>
            </w:pPr>
            <w:r>
              <w:rPr>
                <w:rFonts w:hint="default" w:ascii="Times New Roman" w:hAnsi="Times New Roman" w:eastAsia="黑体" w:cs="Times New Roman"/>
                <w:b/>
                <w:bCs/>
                <w:color w:val="auto"/>
                <w:kern w:val="2"/>
                <w:sz w:val="24"/>
                <w:szCs w:val="24"/>
                <w:highlight w:val="none"/>
                <w:lang w:val="en-US" w:eastAsia="zh-CN" w:bidi="ar-SA"/>
              </w:rPr>
              <w:t>4.7.1环境风险识别</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2"/>
                <w:sz w:val="24"/>
                <w:szCs w:val="24"/>
                <w:highlight w:val="none"/>
                <w:lang w:val="en-US" w:eastAsia="zh-CN" w:bidi="ar-SA"/>
              </w:rPr>
              <w:t>本项目</w:t>
            </w:r>
            <w:r>
              <w:rPr>
                <w:rFonts w:hint="default" w:ascii="Times New Roman" w:hAnsi="Times New Roman" w:eastAsia="宋体" w:cs="Times New Roman"/>
                <w:color w:val="auto"/>
                <w:sz w:val="24"/>
                <w:szCs w:val="24"/>
                <w:highlight w:val="none"/>
              </w:rPr>
              <w:t>热力生产和供应</w:t>
            </w:r>
            <w:r>
              <w:rPr>
                <w:rFonts w:hint="default" w:ascii="Times New Roman" w:hAnsi="Times New Roman" w:eastAsia="宋体" w:cs="Times New Roman"/>
                <w:color w:val="auto"/>
                <w:kern w:val="2"/>
                <w:sz w:val="24"/>
                <w:szCs w:val="24"/>
                <w:highlight w:val="none"/>
                <w:lang w:val="en-US" w:eastAsia="zh-CN" w:bidi="ar-SA"/>
              </w:rPr>
              <w:t>制造项目，在生产中涉及的原材料可燃物为天然气</w:t>
            </w:r>
            <w:r>
              <w:rPr>
                <w:rFonts w:hint="eastAsia"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szCs w:val="24"/>
                <w:lang w:val="en-US" w:eastAsia="zh-CN"/>
              </w:rPr>
              <w:t>天然气物料理化性见下表</w:t>
            </w:r>
            <w:r>
              <w:rPr>
                <w:rFonts w:hint="default" w:ascii="Times New Roman" w:hAnsi="Times New Roman"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bCs/>
                <w:color w:val="auto"/>
                <w:sz w:val="24"/>
                <w:szCs w:val="24"/>
                <w:lang w:val="en-US" w:eastAsia="zh-CN"/>
              </w:rPr>
            </w:pPr>
            <w:r>
              <w:rPr>
                <w:rFonts w:hint="default" w:ascii="Times New Roman" w:hAnsi="Times New Roman" w:eastAsia="黑体" w:cs="Times New Roman"/>
                <w:b/>
                <w:bCs/>
                <w:color w:val="auto"/>
                <w:sz w:val="24"/>
                <w:szCs w:val="24"/>
                <w:lang w:val="en-US" w:eastAsia="zh-CN"/>
              </w:rPr>
              <w:t>表</w:t>
            </w:r>
            <w:r>
              <w:rPr>
                <w:rFonts w:hint="eastAsia" w:eastAsia="黑体" w:cs="Times New Roman"/>
                <w:b/>
                <w:bCs/>
                <w:color w:val="auto"/>
                <w:sz w:val="24"/>
                <w:szCs w:val="24"/>
                <w:lang w:val="en-US" w:eastAsia="zh-CN"/>
              </w:rPr>
              <w:t xml:space="preserve">50 </w:t>
            </w:r>
            <w:r>
              <w:rPr>
                <w:rFonts w:hint="default" w:ascii="Times New Roman" w:hAnsi="Times New Roman" w:eastAsia="黑体" w:cs="Times New Roman"/>
                <w:b/>
                <w:bCs/>
                <w:color w:val="auto"/>
                <w:sz w:val="24"/>
                <w:szCs w:val="24"/>
                <w:lang w:val="en-US" w:eastAsia="zh-CN"/>
              </w:rPr>
              <w:t>天然气理化性质</w:t>
            </w:r>
          </w:p>
          <w:tbl>
            <w:tblPr>
              <w:tblStyle w:val="20"/>
              <w:tblW w:w="793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29"/>
              <w:gridCol w:w="954"/>
              <w:gridCol w:w="2144"/>
              <w:gridCol w:w="1903"/>
              <w:gridCol w:w="220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29" w:type="dxa"/>
                  <w:vMerge w:val="restart"/>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标识</w:t>
                  </w:r>
                </w:p>
              </w:tc>
              <w:tc>
                <w:tcPr>
                  <w:tcW w:w="954"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中文名</w:t>
                  </w:r>
                </w:p>
              </w:tc>
              <w:tc>
                <w:tcPr>
                  <w:tcW w:w="2144"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天然气；沼气</w:t>
                  </w:r>
                </w:p>
              </w:tc>
              <w:tc>
                <w:tcPr>
                  <w:tcW w:w="1903"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英文名：</w:t>
                  </w:r>
                </w:p>
              </w:tc>
              <w:tc>
                <w:tcPr>
                  <w:tcW w:w="2207"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Natural gas</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2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p>
              </w:tc>
              <w:tc>
                <w:tcPr>
                  <w:tcW w:w="954"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分子式</w:t>
                  </w:r>
                </w:p>
              </w:tc>
              <w:tc>
                <w:tcPr>
                  <w:tcW w:w="2144"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CH</w:t>
                  </w:r>
                  <w:r>
                    <w:rPr>
                      <w:rFonts w:hint="default" w:ascii="Times New Roman" w:hAnsi="Times New Roman" w:eastAsia="宋体" w:cs="Times New Roman"/>
                      <w:color w:val="auto"/>
                      <w:spacing w:val="0"/>
                      <w:w w:val="100"/>
                      <w:position w:val="0"/>
                      <w:sz w:val="21"/>
                      <w:szCs w:val="21"/>
                      <w:vertAlign w:val="subscript"/>
                    </w:rPr>
                    <w:t>4</w:t>
                  </w:r>
                </w:p>
              </w:tc>
              <w:tc>
                <w:tcPr>
                  <w:tcW w:w="1903"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相对分子质量</w:t>
                  </w:r>
                </w:p>
              </w:tc>
              <w:tc>
                <w:tcPr>
                  <w:tcW w:w="2207"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29" w:type="dxa"/>
                  <w:vMerge w:val="restart"/>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成分组成</w:t>
                  </w:r>
                </w:p>
              </w:tc>
              <w:tc>
                <w:tcPr>
                  <w:tcW w:w="954"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外观与性状</w:t>
                  </w:r>
                </w:p>
              </w:tc>
              <w:tc>
                <w:tcPr>
                  <w:tcW w:w="6254" w:type="dxa"/>
                  <w:gridSpan w:val="3"/>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无色无臭气体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2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p>
              </w:tc>
              <w:tc>
                <w:tcPr>
                  <w:tcW w:w="954"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主要用途</w:t>
                  </w:r>
                </w:p>
              </w:tc>
              <w:tc>
                <w:tcPr>
                  <w:tcW w:w="6254" w:type="dxa"/>
                  <w:gridSpan w:val="3"/>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用作燃料和用于炭黑、氢、乙炔、甲醛等的制造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29" w:type="dxa"/>
                  <w:vMerge w:val="restart"/>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危险性概述</w:t>
                  </w:r>
                </w:p>
              </w:tc>
              <w:tc>
                <w:tcPr>
                  <w:tcW w:w="954"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侵入途径</w:t>
                  </w:r>
                </w:p>
              </w:tc>
              <w:tc>
                <w:tcPr>
                  <w:tcW w:w="6254" w:type="dxa"/>
                  <w:gridSpan w:val="3"/>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吸入、食入、经皮吸收。</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2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p>
              </w:tc>
              <w:tc>
                <w:tcPr>
                  <w:tcW w:w="954"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健康危害</w:t>
                  </w:r>
                </w:p>
              </w:tc>
              <w:tc>
                <w:tcPr>
                  <w:tcW w:w="6254" w:type="dxa"/>
                  <w:gridSpan w:val="3"/>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left"/>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甲烷对人基本无毒但浓度过高时使空气中氧含量明显降低使人窒息。当空气中甲烷达 25%-30%时可引起头痛、头晕、乏力、注意力不集中、呼吸和心跳加速共济失调若不及时脱离可致窒息死亡。皮肤接触液化本品可致冻伤。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2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p>
              </w:tc>
              <w:tc>
                <w:tcPr>
                  <w:tcW w:w="954"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爆炸危险</w:t>
                  </w:r>
                </w:p>
              </w:tc>
              <w:tc>
                <w:tcPr>
                  <w:tcW w:w="6254" w:type="dxa"/>
                  <w:gridSpan w:val="3"/>
                  <w:tcBorders>
                    <w:tl2br w:val="nil"/>
                    <w:tr2bl w:val="nil"/>
                  </w:tcBorders>
                  <w:vAlign w:val="center"/>
                </w:tcPr>
                <w:p>
                  <w:pPr>
                    <w:pStyle w:val="33"/>
                    <w:keepNext w:val="0"/>
                    <w:keepLines w:val="0"/>
                    <w:pageBreakBefore w:val="0"/>
                    <w:widowControl w:val="0"/>
                    <w:tabs>
                      <w:tab w:val="left" w:pos="1162"/>
                    </w:tabs>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本品易燃具窒息性。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2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p>
              </w:tc>
              <w:tc>
                <w:tcPr>
                  <w:tcW w:w="954"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危险性类别</w:t>
                  </w:r>
                </w:p>
              </w:tc>
              <w:tc>
                <w:tcPr>
                  <w:tcW w:w="6254" w:type="dxa"/>
                  <w:gridSpan w:val="3"/>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易燃气体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29" w:type="dxa"/>
                  <w:vMerge w:val="restart"/>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急救措施</w:t>
                  </w:r>
                </w:p>
              </w:tc>
              <w:tc>
                <w:tcPr>
                  <w:tcW w:w="954"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皮肤接触</w:t>
                  </w:r>
                </w:p>
              </w:tc>
              <w:tc>
                <w:tcPr>
                  <w:tcW w:w="6254" w:type="dxa"/>
                  <w:gridSpan w:val="3"/>
                  <w:tcBorders>
                    <w:tl2br w:val="nil"/>
                    <w:tr2bl w:val="nil"/>
                  </w:tcBorders>
                  <w:vAlign w:val="center"/>
                </w:tcPr>
                <w:p>
                  <w:pPr>
                    <w:pStyle w:val="33"/>
                    <w:keepNext w:val="0"/>
                    <w:keepLines w:val="0"/>
                    <w:pageBreakBefore w:val="0"/>
                    <w:widowControl w:val="0"/>
                    <w:tabs>
                      <w:tab w:val="left" w:pos="1162"/>
                    </w:tabs>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若有冻伤就医治疗。</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2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p>
              </w:tc>
              <w:tc>
                <w:tcPr>
                  <w:tcW w:w="954"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吸入</w:t>
                  </w:r>
                </w:p>
              </w:tc>
              <w:tc>
                <w:tcPr>
                  <w:tcW w:w="6254" w:type="dxa"/>
                  <w:gridSpan w:val="3"/>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left"/>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迅速脱离现场至空气新鲜处。保持呼吸道通畅。如呼吸困难给输氧。如呼吸停止立即进行人工呼吸</w:t>
                  </w:r>
                  <w:r>
                    <w:rPr>
                      <w:rFonts w:hint="default" w:ascii="Times New Roman" w:hAnsi="Times New Roman" w:eastAsia="宋体" w:cs="Times New Roman"/>
                      <w:color w:val="auto"/>
                      <w:spacing w:val="0"/>
                      <w:w w:val="100"/>
                      <w:position w:val="0"/>
                      <w:sz w:val="21"/>
                      <w:szCs w:val="21"/>
                      <w:lang w:eastAsia="zh-CN"/>
                    </w:rPr>
                    <w:t>，</w:t>
                  </w:r>
                  <w:r>
                    <w:rPr>
                      <w:rFonts w:hint="default" w:ascii="Times New Roman" w:hAnsi="Times New Roman" w:eastAsia="宋体" w:cs="Times New Roman"/>
                      <w:color w:val="auto"/>
                      <w:spacing w:val="0"/>
                      <w:w w:val="100"/>
                      <w:position w:val="0"/>
                      <w:sz w:val="21"/>
                      <w:szCs w:val="21"/>
                    </w:rPr>
                    <w:t>就医。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29" w:type="dxa"/>
                  <w:vMerge w:val="restart"/>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消防措施</w:t>
                  </w:r>
                </w:p>
              </w:tc>
              <w:tc>
                <w:tcPr>
                  <w:tcW w:w="954"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危险特性</w:t>
                  </w:r>
                </w:p>
              </w:tc>
              <w:tc>
                <w:tcPr>
                  <w:tcW w:w="6254" w:type="dxa"/>
                  <w:gridSpan w:val="3"/>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left"/>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易燃，与空气混合能形成爆炸性混合物，遇热源和明火有燃烧爆</w:t>
                  </w:r>
                </w:p>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left"/>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炸的危险。与五氧化溴、氯气、次氯酸、三氟化氮、液氧、二氟 化氧及其它强氧化剂接触剧烈反应。</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2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p>
              </w:tc>
              <w:tc>
                <w:tcPr>
                  <w:tcW w:w="954"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有害燃烧产物</w:t>
                  </w:r>
                </w:p>
              </w:tc>
              <w:tc>
                <w:tcPr>
                  <w:tcW w:w="6254" w:type="dxa"/>
                  <w:gridSpan w:val="3"/>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left"/>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一氧化碳、二氧化碳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2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p>
              </w:tc>
              <w:tc>
                <w:tcPr>
                  <w:tcW w:w="954"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灭火方法</w:t>
                  </w:r>
                </w:p>
              </w:tc>
              <w:tc>
                <w:tcPr>
                  <w:tcW w:w="6254" w:type="dxa"/>
                  <w:gridSpan w:val="3"/>
                  <w:tcBorders>
                    <w:tl2br w:val="nil"/>
                    <w:tr2bl w:val="nil"/>
                  </w:tcBorders>
                  <w:vAlign w:val="center"/>
                </w:tcPr>
                <w:p>
                  <w:pPr>
                    <w:pStyle w:val="33"/>
                    <w:keepNext w:val="0"/>
                    <w:keepLines w:val="0"/>
                    <w:pageBreakBefore w:val="0"/>
                    <w:widowControl w:val="0"/>
                    <w:tabs>
                      <w:tab w:val="left" w:pos="1162"/>
                    </w:tabs>
                    <w:kinsoku/>
                    <w:wordWrap/>
                    <w:overflowPunct/>
                    <w:topLinePunct w:val="0"/>
                    <w:autoSpaceDE/>
                    <w:autoSpaceDN/>
                    <w:bidi w:val="0"/>
                    <w:adjustRightInd/>
                    <w:snapToGrid/>
                    <w:spacing w:line="360" w:lineRule="atLeast"/>
                    <w:ind w:left="0" w:right="0" w:firstLine="0"/>
                    <w:jc w:val="left"/>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切断气源。若不能切断气源。则不允许熄灭泄漏处的火焰。喷水冷却容器可能的话将容器从火场移至空旷处。灭火剂雾状水、泡沫、二氧化碳，干粉。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29"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泄漏应急处理</w:t>
                  </w:r>
                </w:p>
              </w:tc>
              <w:tc>
                <w:tcPr>
                  <w:tcW w:w="954"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应急行动</w:t>
                  </w:r>
                </w:p>
              </w:tc>
              <w:tc>
                <w:tcPr>
                  <w:tcW w:w="6254" w:type="dxa"/>
                  <w:gridSpan w:val="3"/>
                  <w:tcBorders>
                    <w:tl2br w:val="nil"/>
                    <w:tr2bl w:val="nil"/>
                  </w:tcBorders>
                  <w:vAlign w:val="center"/>
                </w:tcPr>
                <w:p>
                  <w:pPr>
                    <w:pStyle w:val="33"/>
                    <w:keepNext w:val="0"/>
                    <w:keepLines w:val="0"/>
                    <w:pageBreakBefore w:val="0"/>
                    <w:widowControl w:val="0"/>
                    <w:tabs>
                      <w:tab w:val="left" w:pos="3471"/>
                    </w:tabs>
                    <w:kinsoku/>
                    <w:wordWrap/>
                    <w:overflowPunct/>
                    <w:topLinePunct w:val="0"/>
                    <w:autoSpaceDE/>
                    <w:autoSpaceDN/>
                    <w:bidi w:val="0"/>
                    <w:adjustRightInd/>
                    <w:snapToGrid/>
                    <w:spacing w:line="360" w:lineRule="atLeast"/>
                    <w:ind w:left="0" w:right="0" w:firstLine="0"/>
                    <w:jc w:val="left"/>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迅速撤离泄漏污染区人员至上风处</w:t>
                  </w:r>
                  <w:r>
                    <w:rPr>
                      <w:rFonts w:hint="default" w:ascii="Times New Roman" w:hAnsi="Times New Roman" w:eastAsia="宋体" w:cs="Times New Roman"/>
                      <w:color w:val="auto"/>
                      <w:spacing w:val="0"/>
                      <w:w w:val="100"/>
                      <w:position w:val="0"/>
                      <w:sz w:val="21"/>
                      <w:szCs w:val="21"/>
                    </w:rPr>
                    <w:tab/>
                  </w:r>
                  <w:r>
                    <w:rPr>
                      <w:rFonts w:hint="default" w:ascii="Times New Roman" w:hAnsi="Times New Roman" w:eastAsia="宋体" w:cs="Times New Roman"/>
                      <w:color w:val="auto"/>
                      <w:spacing w:val="0"/>
                      <w:w w:val="100"/>
                      <w:position w:val="0"/>
                      <w:sz w:val="21"/>
                      <w:szCs w:val="21"/>
                    </w:rPr>
                    <w:t>并进行隔离严格限制出入。切断火源。建议应急处理人员戴自给正压式呼吸器穿防静电工作服。尽可能切断泄漏源。合理通风加速扩散。喷雾状水稀释、溶解。构筑围堤或挖坑收容产生大量废水。如有可能将漏出气用排风机送至空旷地方或装设适当喷头烧掉。也可以将漏气的容器移至空旷处注意通风。漏气容器要妥善自理修复、检验后再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29" w:type="dxa"/>
                  <w:vMerge w:val="restart"/>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操作处置与储存</w:t>
                  </w:r>
                </w:p>
              </w:tc>
              <w:tc>
                <w:tcPr>
                  <w:tcW w:w="954"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操作处置注意事项</w:t>
                  </w:r>
                </w:p>
              </w:tc>
              <w:tc>
                <w:tcPr>
                  <w:tcW w:w="6254" w:type="dxa"/>
                  <w:gridSpan w:val="3"/>
                  <w:tcBorders>
                    <w:tl2br w:val="nil"/>
                    <w:tr2bl w:val="nil"/>
                  </w:tcBorders>
                  <w:vAlign w:val="center"/>
                </w:tcPr>
                <w:p>
                  <w:pPr>
                    <w:pStyle w:val="33"/>
                    <w:keepNext w:val="0"/>
                    <w:keepLines w:val="0"/>
                    <w:pageBreakBefore w:val="0"/>
                    <w:widowControl w:val="0"/>
                    <w:tabs>
                      <w:tab w:val="left" w:pos="1162"/>
                    </w:tabs>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密闭操作全面通风。操作人员必须经过专门培训严格遵守操作规程。远离火种、热源工作场所严禁吸烟。使用防爆型的通风系统和设备。防止气体泄漏到工作场所空气中。避免与氧化剂接触。在传送过程中钢瓶和容器必须接地和跨接防止产生静电。搬运时轻装轻卸防止钢瓶及</w:t>
                  </w:r>
                  <w:bookmarkStart w:id="3" w:name="_GoBack"/>
                  <w:bookmarkEnd w:id="3"/>
                  <w:r>
                    <w:rPr>
                      <w:rFonts w:hint="default" w:ascii="Times New Roman" w:hAnsi="Times New Roman" w:eastAsia="宋体" w:cs="Times New Roman"/>
                      <w:color w:val="auto"/>
                      <w:spacing w:val="0"/>
                      <w:w w:val="100"/>
                      <w:position w:val="0"/>
                      <w:sz w:val="21"/>
                      <w:szCs w:val="21"/>
                    </w:rPr>
                    <w:t>附件破损。配备相应品种和数量的消防器 材及泄漏应急处理设备。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138" w:hRule="atLeast"/>
                <w:jc w:val="center"/>
              </w:trPr>
              <w:tc>
                <w:tcPr>
                  <w:tcW w:w="729" w:type="dxa"/>
                  <w:vMerge w:val="continue"/>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p>
              </w:tc>
              <w:tc>
                <w:tcPr>
                  <w:tcW w:w="954"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储存注意事项</w:t>
                  </w:r>
                </w:p>
              </w:tc>
              <w:tc>
                <w:tcPr>
                  <w:tcW w:w="6254" w:type="dxa"/>
                  <w:gridSpan w:val="3"/>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left"/>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储存于阴凉、通风的库房。远离火种、热源。库温不宜超过 30℃。</w:t>
                  </w:r>
                </w:p>
                <w:p>
                  <w:pPr>
                    <w:pStyle w:val="33"/>
                    <w:keepNext w:val="0"/>
                    <w:keepLines w:val="0"/>
                    <w:pageBreakBefore w:val="0"/>
                    <w:widowControl w:val="0"/>
                    <w:tabs>
                      <w:tab w:val="left" w:pos="2422"/>
                    </w:tabs>
                    <w:kinsoku/>
                    <w:wordWrap/>
                    <w:overflowPunct/>
                    <w:topLinePunct w:val="0"/>
                    <w:autoSpaceDE/>
                    <w:autoSpaceDN/>
                    <w:bidi w:val="0"/>
                    <w:adjustRightInd/>
                    <w:snapToGrid/>
                    <w:spacing w:line="360" w:lineRule="atLeast"/>
                    <w:ind w:left="0" w:right="0" w:firstLine="0"/>
                    <w:jc w:val="left"/>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应与氧化剂等分开存放切忌混储。采用防爆照明、通风设施。禁止使用易产生火花的机械设备和工具。储区应备有泄漏应急处理设备。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29" w:type="dxa"/>
                  <w:vMerge w:val="restart"/>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理化性质</w:t>
                  </w:r>
                </w:p>
              </w:tc>
              <w:tc>
                <w:tcPr>
                  <w:tcW w:w="954"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熔点(℃)</w:t>
                  </w:r>
                </w:p>
              </w:tc>
              <w:tc>
                <w:tcPr>
                  <w:tcW w:w="2144"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-182.5</w:t>
                  </w:r>
                </w:p>
              </w:tc>
              <w:tc>
                <w:tcPr>
                  <w:tcW w:w="1903"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闪点(℃)</w:t>
                  </w:r>
                </w:p>
              </w:tc>
              <w:tc>
                <w:tcPr>
                  <w:tcW w:w="2207"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-188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29" w:type="dxa"/>
                  <w:vMerge w:val="continue"/>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p>
              </w:tc>
              <w:tc>
                <w:tcPr>
                  <w:tcW w:w="954"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沸点(℃)</w:t>
                  </w:r>
                </w:p>
              </w:tc>
              <w:tc>
                <w:tcPr>
                  <w:tcW w:w="2144"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-161.5</w:t>
                  </w:r>
                </w:p>
              </w:tc>
              <w:tc>
                <w:tcPr>
                  <w:tcW w:w="1903"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燃烧性</w:t>
                  </w:r>
                </w:p>
              </w:tc>
              <w:tc>
                <w:tcPr>
                  <w:tcW w:w="2207"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易燃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05" w:hRule="atLeast"/>
                <w:jc w:val="center"/>
              </w:trPr>
              <w:tc>
                <w:tcPr>
                  <w:tcW w:w="729" w:type="dxa"/>
                  <w:vMerge w:val="continue"/>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p>
              </w:tc>
              <w:tc>
                <w:tcPr>
                  <w:tcW w:w="954"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相对密度(水=1)</w:t>
                  </w:r>
                </w:p>
              </w:tc>
              <w:tc>
                <w:tcPr>
                  <w:tcW w:w="2144" w:type="dxa"/>
                  <w:vMerge w:val="restart"/>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0.42（-164）</w:t>
                  </w:r>
                </w:p>
              </w:tc>
              <w:tc>
                <w:tcPr>
                  <w:tcW w:w="1903"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相对密度(空气=1)</w:t>
                  </w:r>
                </w:p>
              </w:tc>
              <w:tc>
                <w:tcPr>
                  <w:tcW w:w="2207" w:type="dxa"/>
                  <w:vMerge w:val="restart"/>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0.55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29" w:type="dxa"/>
                  <w:vMerge w:val="continue"/>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p>
              </w:tc>
              <w:tc>
                <w:tcPr>
                  <w:tcW w:w="954"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引燃温度</w:t>
                  </w:r>
                </w:p>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w:t>
                  </w:r>
                </w:p>
              </w:tc>
              <w:tc>
                <w:tcPr>
                  <w:tcW w:w="2144"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538</w:t>
                  </w:r>
                </w:p>
              </w:tc>
              <w:tc>
                <w:tcPr>
                  <w:tcW w:w="1903"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最小点火能（MJ）</w:t>
                  </w:r>
                </w:p>
              </w:tc>
              <w:tc>
                <w:tcPr>
                  <w:tcW w:w="2207"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0.28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29" w:type="dxa"/>
                  <w:vMerge w:val="continue"/>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p>
              </w:tc>
              <w:tc>
                <w:tcPr>
                  <w:tcW w:w="954"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燃烧热(kj/mol)</w:t>
                  </w:r>
                </w:p>
              </w:tc>
              <w:tc>
                <w:tcPr>
                  <w:tcW w:w="2144"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889.5</w:t>
                  </w:r>
                </w:p>
              </w:tc>
              <w:tc>
                <w:tcPr>
                  <w:tcW w:w="1903"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饱和蒸汽压(kPa)</w:t>
                  </w:r>
                </w:p>
              </w:tc>
              <w:tc>
                <w:tcPr>
                  <w:tcW w:w="2207"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53.32（-168.8℃）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29" w:type="dxa"/>
                  <w:vMerge w:val="continue"/>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p>
              </w:tc>
              <w:tc>
                <w:tcPr>
                  <w:tcW w:w="954"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临界温度(℃)</w:t>
                  </w:r>
                </w:p>
              </w:tc>
              <w:tc>
                <w:tcPr>
                  <w:tcW w:w="2144"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-82.6</w:t>
                  </w:r>
                </w:p>
              </w:tc>
              <w:tc>
                <w:tcPr>
                  <w:tcW w:w="1903"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临界压力(MPa)</w:t>
                  </w:r>
                </w:p>
              </w:tc>
              <w:tc>
                <w:tcPr>
                  <w:tcW w:w="2207"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4.59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29" w:type="dxa"/>
                  <w:vMerge w:val="continue"/>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p>
              </w:tc>
              <w:tc>
                <w:tcPr>
                  <w:tcW w:w="954"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爆炸下限(V%)</w:t>
                  </w:r>
                </w:p>
              </w:tc>
              <w:tc>
                <w:tcPr>
                  <w:tcW w:w="2144"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5.3</w:t>
                  </w:r>
                </w:p>
              </w:tc>
              <w:tc>
                <w:tcPr>
                  <w:tcW w:w="1903"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爆炸上限(V%)</w:t>
                  </w:r>
                </w:p>
              </w:tc>
              <w:tc>
                <w:tcPr>
                  <w:tcW w:w="2207"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29" w:type="dxa"/>
                  <w:vMerge w:val="continue"/>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p>
              </w:tc>
              <w:tc>
                <w:tcPr>
                  <w:tcW w:w="954"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建规火险分级</w:t>
                  </w:r>
                </w:p>
              </w:tc>
              <w:tc>
                <w:tcPr>
                  <w:tcW w:w="2144"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甲</w:t>
                  </w:r>
                </w:p>
              </w:tc>
              <w:tc>
                <w:tcPr>
                  <w:tcW w:w="1903"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溶解性</w:t>
                  </w:r>
                </w:p>
              </w:tc>
              <w:tc>
                <w:tcPr>
                  <w:tcW w:w="2207"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微溶于水，溶于醇、乙醚。</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29" w:type="dxa"/>
                  <w:vMerge w:val="continue"/>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p>
              </w:tc>
              <w:tc>
                <w:tcPr>
                  <w:tcW w:w="954"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稳定性</w:t>
                  </w:r>
                </w:p>
              </w:tc>
              <w:tc>
                <w:tcPr>
                  <w:tcW w:w="2144"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稳定</w:t>
                  </w:r>
                </w:p>
              </w:tc>
              <w:tc>
                <w:tcPr>
                  <w:tcW w:w="1903"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聚合危害</w:t>
                  </w:r>
                </w:p>
              </w:tc>
              <w:tc>
                <w:tcPr>
                  <w:tcW w:w="2207" w:type="dxa"/>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snapToGrid/>
                    <w:spacing w:line="360" w:lineRule="atLeast"/>
                    <w:ind w:left="0" w:right="0" w:firstLine="0"/>
                    <w:jc w:val="center"/>
                    <w:textAlignment w:val="auto"/>
                    <w:rPr>
                      <w:rFonts w:hint="default" w:ascii="Times New Roman" w:hAnsi="Times New Roman" w:eastAsia="宋体" w:cs="Times New Roman"/>
                      <w:color w:val="auto"/>
                      <w:spacing w:val="0"/>
                      <w:w w:val="100"/>
                      <w:position w:val="0"/>
                      <w:sz w:val="21"/>
                      <w:szCs w:val="21"/>
                    </w:rPr>
                  </w:pPr>
                  <w:r>
                    <w:rPr>
                      <w:rFonts w:hint="default" w:ascii="Times New Roman" w:hAnsi="Times New Roman" w:eastAsia="宋体" w:cs="Times New Roman"/>
                      <w:color w:val="auto"/>
                      <w:spacing w:val="0"/>
                      <w:w w:val="100"/>
                      <w:position w:val="0"/>
                      <w:sz w:val="21"/>
                      <w:szCs w:val="21"/>
                    </w:rPr>
                    <w:t>不聚合</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黑体" w:cs="Times New Roman"/>
                <w:b/>
                <w:bCs/>
                <w:color w:val="auto"/>
                <w:kern w:val="2"/>
                <w:sz w:val="24"/>
                <w:szCs w:val="24"/>
                <w:highlight w:val="none"/>
                <w:lang w:val="en-US" w:eastAsia="zh-CN" w:bidi="ar-SA"/>
              </w:rPr>
            </w:pPr>
            <w:r>
              <w:rPr>
                <w:rFonts w:hint="eastAsia" w:eastAsia="黑体" w:cs="Times New Roman"/>
                <w:b/>
                <w:bCs/>
                <w:color w:val="auto"/>
                <w:kern w:val="2"/>
                <w:sz w:val="24"/>
                <w:szCs w:val="24"/>
                <w:highlight w:val="none"/>
                <w:lang w:val="en-US" w:eastAsia="zh-CN" w:bidi="ar-SA"/>
              </w:rPr>
              <w:t>4.7.2</w:t>
            </w:r>
            <w:r>
              <w:rPr>
                <w:rFonts w:hint="default" w:ascii="Times New Roman" w:hAnsi="Times New Roman" w:eastAsia="黑体" w:cs="Times New Roman"/>
                <w:b/>
                <w:bCs/>
                <w:color w:val="auto"/>
                <w:kern w:val="2"/>
                <w:sz w:val="24"/>
                <w:szCs w:val="24"/>
                <w:highlight w:val="none"/>
                <w:lang w:val="en-US" w:eastAsia="zh-CN" w:bidi="ar-SA"/>
              </w:rPr>
              <w:t>环境风险分析</w:t>
            </w:r>
          </w:p>
          <w:p>
            <w:pPr>
              <w:pStyle w:val="33"/>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lang w:val="en-US" w:eastAsia="zh-CN"/>
              </w:rPr>
              <w:t>①</w:t>
            </w:r>
            <w:r>
              <w:rPr>
                <w:rFonts w:hint="default" w:ascii="Times New Roman" w:hAnsi="Times New Roman" w:eastAsia="宋体" w:cs="Times New Roman"/>
                <w:color w:val="auto"/>
                <w:spacing w:val="0"/>
                <w:sz w:val="24"/>
                <w:szCs w:val="24"/>
              </w:rPr>
              <w:t>风险源分布情况</w:t>
            </w:r>
          </w:p>
          <w:p>
            <w:pPr>
              <w:pStyle w:val="33"/>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天然气不在厂内贮存，通过管道接入。</w:t>
            </w:r>
          </w:p>
          <w:p>
            <w:pPr>
              <w:pStyle w:val="33"/>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lang w:val="en-US" w:eastAsia="zh-CN"/>
              </w:rPr>
              <w:t>②</w:t>
            </w:r>
            <w:r>
              <w:rPr>
                <w:rFonts w:hint="default" w:ascii="Times New Roman" w:hAnsi="Times New Roman" w:eastAsia="宋体" w:cs="Times New Roman"/>
                <w:color w:val="auto"/>
                <w:spacing w:val="0"/>
                <w:sz w:val="24"/>
                <w:szCs w:val="24"/>
              </w:rPr>
              <w:t>可能影响途径</w:t>
            </w:r>
          </w:p>
          <w:p>
            <w:pPr>
              <w:pStyle w:val="33"/>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根据项目风险特征，项目环境风险主要为：</w:t>
            </w:r>
          </w:p>
          <w:p>
            <w:pPr>
              <w:pStyle w:val="33"/>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（1）NOx 非正常工况下的排放，污染大气环境；</w:t>
            </w:r>
          </w:p>
          <w:p>
            <w:pPr>
              <w:pStyle w:val="33"/>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（2）天然气泄漏引发的火灾、爆炸事故；</w:t>
            </w:r>
          </w:p>
          <w:p>
            <w:pPr>
              <w:pStyle w:val="33"/>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（3）火灾爆炸事故引发的伴生、次生污染。</w:t>
            </w:r>
          </w:p>
          <w:p>
            <w:pPr>
              <w:pStyle w:val="33"/>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lang w:val="en-US" w:eastAsia="zh-CN"/>
              </w:rPr>
              <w:t>③</w:t>
            </w:r>
            <w:r>
              <w:rPr>
                <w:rFonts w:hint="default" w:ascii="Times New Roman" w:hAnsi="Times New Roman" w:eastAsia="宋体" w:cs="Times New Roman"/>
                <w:color w:val="auto"/>
                <w:spacing w:val="0"/>
                <w:sz w:val="24"/>
                <w:szCs w:val="24"/>
              </w:rPr>
              <w:t>风险分析</w:t>
            </w:r>
          </w:p>
          <w:p>
            <w:pPr>
              <w:pStyle w:val="33"/>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项目危害后果主要为：</w:t>
            </w:r>
          </w:p>
          <w:p>
            <w:pPr>
              <w:pStyle w:val="33"/>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（1）大气：超标排放的 NOx、火灾产生的 CO 等有害气体，可能对周边环境空气质量及周边人群健康带来不利影响；</w:t>
            </w:r>
          </w:p>
          <w:p>
            <w:pPr>
              <w:pStyle w:val="33"/>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（2）地表水：由于火灾造成的消防废水排放，对周边地表水水质带来不利影响，在灌溉季节会对农业生产造成一定的威胁；</w:t>
            </w:r>
          </w:p>
          <w:p>
            <w:pPr>
              <w:pStyle w:val="33"/>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（3）地下水：由于火灾造成的消防废水排放，对周边地下水水质带来不利影响。</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黑体" w:cs="Times New Roman"/>
                <w:b/>
                <w:bCs/>
                <w:color w:val="auto"/>
                <w:kern w:val="2"/>
                <w:sz w:val="24"/>
                <w:szCs w:val="24"/>
                <w:highlight w:val="none"/>
                <w:lang w:val="en-US" w:eastAsia="zh-CN" w:bidi="ar-SA"/>
              </w:rPr>
            </w:pPr>
            <w:r>
              <w:rPr>
                <w:rFonts w:hint="eastAsia" w:eastAsia="黑体" w:cs="Times New Roman"/>
                <w:b/>
                <w:bCs/>
                <w:color w:val="auto"/>
                <w:kern w:val="2"/>
                <w:sz w:val="24"/>
                <w:szCs w:val="24"/>
                <w:highlight w:val="none"/>
                <w:lang w:val="en-US" w:eastAsia="zh-CN" w:bidi="ar-SA"/>
              </w:rPr>
              <w:t>4.7.3</w:t>
            </w:r>
            <w:r>
              <w:rPr>
                <w:rFonts w:hint="default" w:ascii="Times New Roman" w:hAnsi="Times New Roman" w:eastAsia="黑体" w:cs="Times New Roman"/>
                <w:b/>
                <w:bCs/>
                <w:color w:val="auto"/>
                <w:kern w:val="2"/>
                <w:sz w:val="24"/>
                <w:szCs w:val="24"/>
                <w:highlight w:val="none"/>
                <w:lang w:val="en-US" w:eastAsia="zh-CN" w:bidi="ar-SA"/>
              </w:rPr>
              <w:t>环境风险防范措施及应急要求</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kern w:val="2"/>
                <w:sz w:val="24"/>
                <w:szCs w:val="24"/>
                <w:highlight w:val="none"/>
                <w:lang w:val="en-US" w:eastAsia="zh-CN" w:bidi="ar-SA"/>
              </w:rPr>
              <w:t>应急处理措施：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rPr>
                <w:rFonts w:hint="default" w:ascii="Times New Roman" w:hAnsi="Times New Roman" w:eastAsia="宋体" w:cs="Times New Roman"/>
                <w:color w:val="auto"/>
                <w:spacing w:val="0"/>
                <w:sz w:val="24"/>
                <w:szCs w:val="24"/>
              </w:rPr>
            </w:pPr>
            <w:r>
              <w:rPr>
                <w:rFonts w:hint="eastAsia" w:cs="Times New Roman"/>
                <w:color w:val="auto"/>
                <w:spacing w:val="0"/>
                <w:sz w:val="24"/>
                <w:szCs w:val="24"/>
                <w:lang w:eastAsia="zh-CN"/>
              </w:rPr>
              <w:t>（</w:t>
            </w:r>
            <w:r>
              <w:rPr>
                <w:rFonts w:hint="eastAsia" w:cs="Times New Roman"/>
                <w:color w:val="auto"/>
                <w:spacing w:val="0"/>
                <w:sz w:val="24"/>
                <w:szCs w:val="24"/>
                <w:lang w:val="en-US" w:eastAsia="zh-CN"/>
              </w:rPr>
              <w:t>1</w:t>
            </w:r>
            <w:r>
              <w:rPr>
                <w:rFonts w:hint="eastAsia" w:cs="Times New Roman"/>
                <w:color w:val="auto"/>
                <w:spacing w:val="0"/>
                <w:sz w:val="24"/>
                <w:szCs w:val="24"/>
                <w:lang w:eastAsia="zh-CN"/>
              </w:rPr>
              <w:t>）</w:t>
            </w:r>
            <w:r>
              <w:rPr>
                <w:rFonts w:hint="default" w:ascii="Times New Roman" w:hAnsi="Times New Roman" w:eastAsia="宋体" w:cs="Times New Roman"/>
                <w:color w:val="auto"/>
                <w:spacing w:val="0"/>
                <w:sz w:val="24"/>
                <w:szCs w:val="24"/>
              </w:rPr>
              <w:t>加强企业管理，可有效避免环境风险事故的发生。</w:t>
            </w:r>
          </w:p>
          <w:p>
            <w:pPr>
              <w:pStyle w:val="2"/>
              <w:keepNext w:val="0"/>
              <w:keepLines w:val="0"/>
              <w:pageBreakBefore w:val="0"/>
              <w:widowControl w:val="0"/>
              <w:numPr>
                <w:ilvl w:val="0"/>
                <w:numId w:val="0"/>
              </w:numPr>
              <w:kinsoku/>
              <w:wordWrap/>
              <w:overflowPunct/>
              <w:topLinePunct w:val="0"/>
              <w:autoSpaceDE/>
              <w:autoSpaceDN/>
              <w:bidi w:val="0"/>
              <w:spacing w:after="0" w:line="360" w:lineRule="auto"/>
              <w:ind w:left="0" w:leftChars="0" w:right="0" w:rightChars="0" w:firstLine="480" w:firstLineChars="200"/>
              <w:jc w:val="left"/>
              <w:textAlignment w:val="auto"/>
              <w:rPr>
                <w:rFonts w:hint="default" w:ascii="Times New Roman" w:hAnsi="Times New Roman" w:eastAsia="宋体" w:cs="Times New Roman"/>
                <w:color w:val="auto"/>
                <w:spacing w:val="0"/>
                <w:sz w:val="24"/>
                <w:szCs w:val="24"/>
              </w:rPr>
            </w:pPr>
            <w:r>
              <w:rPr>
                <w:rFonts w:hint="eastAsia" w:cs="Times New Roman"/>
                <w:color w:val="auto"/>
                <w:spacing w:val="0"/>
                <w:sz w:val="24"/>
                <w:szCs w:val="24"/>
                <w:lang w:eastAsia="zh-CN"/>
              </w:rPr>
              <w:t>（</w:t>
            </w:r>
            <w:r>
              <w:rPr>
                <w:rFonts w:hint="eastAsia" w:cs="Times New Roman"/>
                <w:color w:val="auto"/>
                <w:spacing w:val="0"/>
                <w:sz w:val="24"/>
                <w:szCs w:val="24"/>
                <w:lang w:val="en-US" w:eastAsia="zh-CN"/>
              </w:rPr>
              <w:t>2</w:t>
            </w:r>
            <w:r>
              <w:rPr>
                <w:rFonts w:hint="eastAsia" w:cs="Times New Roman"/>
                <w:color w:val="auto"/>
                <w:spacing w:val="0"/>
                <w:sz w:val="24"/>
                <w:szCs w:val="24"/>
                <w:lang w:eastAsia="zh-CN"/>
              </w:rPr>
              <w:t>）</w:t>
            </w:r>
            <w:r>
              <w:rPr>
                <w:rFonts w:hint="default" w:ascii="Times New Roman" w:hAnsi="Times New Roman" w:eastAsia="宋体" w:cs="Times New Roman"/>
                <w:color w:val="auto"/>
                <w:spacing w:val="0"/>
                <w:sz w:val="24"/>
                <w:szCs w:val="24"/>
              </w:rPr>
              <w:t>定期对低氮燃烧器进行检查，以确保良好的脱氮性能。严格加强日常运行管理，避免非正常工况下 NOx 排放对环境可能造成的不利影响。</w:t>
            </w:r>
          </w:p>
          <w:p>
            <w:pPr>
              <w:pStyle w:val="36"/>
              <w:keepNext w:val="0"/>
              <w:keepLines w:val="0"/>
              <w:pageBreakBefore w:val="0"/>
              <w:widowControl w:val="0"/>
              <w:numPr>
                <w:ilvl w:val="0"/>
                <w:numId w:val="0"/>
              </w:numPr>
              <w:tabs>
                <w:tab w:val="left" w:pos="1604"/>
              </w:tabs>
              <w:kinsoku/>
              <w:wordWrap/>
              <w:overflowPunct/>
              <w:topLinePunct w:val="0"/>
              <w:autoSpaceDE/>
              <w:autoSpaceDN/>
              <w:bidi w:val="0"/>
              <w:spacing w:line="360" w:lineRule="auto"/>
              <w:ind w:left="0" w:leftChars="0" w:right="0" w:rightChars="0" w:firstLine="480" w:firstLineChars="200"/>
              <w:jc w:val="left"/>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lang w:val="en-US" w:eastAsia="zh-CN"/>
              </w:rPr>
              <w:t>3</w:t>
            </w: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rPr>
              <w:t>加强天然气管道等封闭检查与维护，发现问题及时解决，在对设备进行大修时，严格检查，及时更换不宜再继续使用的配件。</w:t>
            </w:r>
          </w:p>
          <w:p>
            <w:pPr>
              <w:pStyle w:val="36"/>
              <w:keepNext w:val="0"/>
              <w:keepLines w:val="0"/>
              <w:pageBreakBefore w:val="0"/>
              <w:widowControl w:val="0"/>
              <w:numPr>
                <w:ilvl w:val="0"/>
                <w:numId w:val="0"/>
              </w:numPr>
              <w:tabs>
                <w:tab w:val="left" w:pos="1604"/>
              </w:tabs>
              <w:kinsoku/>
              <w:wordWrap/>
              <w:overflowPunct/>
              <w:topLinePunct w:val="0"/>
              <w:autoSpaceDE/>
              <w:autoSpaceDN/>
              <w:bidi w:val="0"/>
              <w:spacing w:line="360" w:lineRule="auto"/>
              <w:ind w:left="0" w:leftChars="0" w:right="0" w:rightChars="0" w:firstLine="480" w:firstLineChars="200"/>
              <w:jc w:val="left"/>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lang w:val="en-US" w:eastAsia="zh-CN"/>
              </w:rPr>
              <w:t>4</w:t>
            </w: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rPr>
              <w:t>成立事故应急小组，建立应急预案，规定应急状态下的联络通讯方式， 一旦出现事故，及时作出反应，避免事故扩大化。制定火灾事故应急救援预案， 组织训练单位的灾害事故应急救援队伍，配备必要的防护救援器材和设备，指定专人管理，并定期进行检查和维护保养，确保完好。</w:t>
            </w:r>
          </w:p>
          <w:p>
            <w:pPr>
              <w:pStyle w:val="36"/>
              <w:keepNext w:val="0"/>
              <w:keepLines w:val="0"/>
              <w:pageBreakBefore w:val="0"/>
              <w:widowControl w:val="0"/>
              <w:numPr>
                <w:ilvl w:val="0"/>
                <w:numId w:val="0"/>
              </w:numPr>
              <w:tabs>
                <w:tab w:val="left" w:pos="1604"/>
              </w:tabs>
              <w:kinsoku/>
              <w:wordWrap/>
              <w:overflowPunct/>
              <w:topLinePunct w:val="0"/>
              <w:autoSpaceDE/>
              <w:autoSpaceDN/>
              <w:bidi w:val="0"/>
              <w:spacing w:line="360" w:lineRule="auto"/>
              <w:ind w:left="0" w:leftChars="0" w:right="0" w:rightChars="0" w:firstLine="480" w:firstLineChars="200"/>
              <w:jc w:val="left"/>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lang w:val="en-US" w:eastAsia="zh-CN"/>
              </w:rPr>
              <w:t>5</w:t>
            </w: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rPr>
              <w:t>加强各相关部门之间的联络，一旦出现环境风险事故，可迅速作出反应。</w:t>
            </w:r>
          </w:p>
          <w:p>
            <w:pPr>
              <w:pStyle w:val="36"/>
              <w:keepNext w:val="0"/>
              <w:keepLines w:val="0"/>
              <w:pageBreakBefore w:val="0"/>
              <w:widowControl w:val="0"/>
              <w:numPr>
                <w:ilvl w:val="0"/>
                <w:numId w:val="0"/>
              </w:numPr>
              <w:tabs>
                <w:tab w:val="left" w:pos="1604"/>
              </w:tabs>
              <w:kinsoku/>
              <w:wordWrap/>
              <w:overflowPunct/>
              <w:topLinePunct w:val="0"/>
              <w:autoSpaceDE/>
              <w:autoSpaceDN/>
              <w:bidi w:val="0"/>
              <w:spacing w:line="360" w:lineRule="auto"/>
              <w:ind w:left="0" w:leftChars="0" w:right="0" w:rightChars="0" w:firstLine="480" w:firstLineChars="200"/>
              <w:jc w:val="left"/>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lang w:val="en-US" w:eastAsia="zh-CN"/>
              </w:rPr>
              <w:t>6</w:t>
            </w: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rPr>
              <w:t>人员培训与演习：应急计划制定以后，平时安排有关人员培训与演习。</w:t>
            </w:r>
          </w:p>
          <w:p>
            <w:pPr>
              <w:keepNext w:val="0"/>
              <w:keepLines w:val="0"/>
              <w:pageBreakBefore w:val="0"/>
              <w:widowControl w:val="0"/>
              <w:numPr>
                <w:ilvl w:val="0"/>
                <w:numId w:val="0"/>
              </w:numPr>
              <w:kinsoku/>
              <w:wordWrap/>
              <w:overflowPunct/>
              <w:topLinePunct w:val="0"/>
              <w:autoSpaceDE/>
              <w:autoSpaceDN/>
              <w:bidi w:val="0"/>
              <w:adjustRightInd/>
              <w:spacing w:line="360" w:lineRule="auto"/>
              <w:ind w:left="0" w:leftChars="0" w:right="0" w:rightChars="0" w:firstLine="480" w:firstLineChars="200"/>
              <w:jc w:val="left"/>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lang w:val="en-US" w:eastAsia="zh-CN"/>
              </w:rPr>
              <w:t>7</w:t>
            </w: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rPr>
              <w:t>配备相关应急设施、设备、器材与材料。项目内部的消防按国家消防法规要求，属义务消防组织，义务消防队既是生产者又是消防员。企业内部必须组织好这一队伍，进行消防专职培训，使用和维护消防器材、工具、设施，以确保初期火灾的扑救，不延误时间，不扩大事故，不失掉灭火良机。消防技术装备对项目而言主要是灭火剂配备，小型灭火器等，灭火剂的贮量满足消防规定要求； 同时按消防规定要求，配备相应的防火设施、工具等。</w:t>
            </w:r>
          </w:p>
          <w:p>
            <w:pPr>
              <w:pStyle w:val="2"/>
              <w:keepNext w:val="0"/>
              <w:keepLines w:val="0"/>
              <w:pageBreakBefore w:val="0"/>
              <w:kinsoku/>
              <w:wordWrap/>
              <w:overflowPunct/>
              <w:topLinePunct w:val="0"/>
              <w:autoSpaceDE/>
              <w:autoSpaceDN/>
              <w:bidi w:val="0"/>
              <w:adjustRightInd/>
              <w:spacing w:after="0" w:line="360" w:lineRule="auto"/>
              <w:ind w:left="0" w:leftChars="0" w:firstLine="482" w:firstLineChars="200"/>
              <w:jc w:val="left"/>
              <w:textAlignment w:val="auto"/>
              <w:rPr>
                <w:rFonts w:hint="default" w:ascii="Times New Roman" w:hAnsi="Times New Roman" w:eastAsia="宋体" w:cs="Times New Roman"/>
                <w:b/>
                <w:bCs/>
                <w:color w:val="auto"/>
                <w:spacing w:val="0"/>
                <w:sz w:val="24"/>
                <w:szCs w:val="24"/>
                <w:lang w:val="en-US" w:eastAsia="zh-CN"/>
              </w:rPr>
            </w:pPr>
            <w:r>
              <w:rPr>
                <w:rFonts w:hint="default" w:ascii="Times New Roman" w:hAnsi="Times New Roman" w:eastAsia="宋体" w:cs="Times New Roman"/>
                <w:b/>
                <w:bCs/>
                <w:color w:val="auto"/>
                <w:spacing w:val="0"/>
                <w:sz w:val="24"/>
                <w:szCs w:val="24"/>
                <w:lang w:val="en-US" w:eastAsia="zh-CN"/>
              </w:rPr>
              <w:t>防范措施：</w:t>
            </w:r>
          </w:p>
          <w:p>
            <w:pPr>
              <w:pStyle w:val="36"/>
              <w:keepNext w:val="0"/>
              <w:keepLines w:val="0"/>
              <w:pageBreakBefore w:val="0"/>
              <w:numPr>
                <w:ilvl w:val="0"/>
                <w:numId w:val="0"/>
              </w:numPr>
              <w:tabs>
                <w:tab w:val="left" w:pos="1604"/>
              </w:tabs>
              <w:kinsoku/>
              <w:wordWrap/>
              <w:overflowPunct/>
              <w:topLinePunct w:val="0"/>
              <w:autoSpaceDE/>
              <w:autoSpaceDN/>
              <w:bidi w:val="0"/>
              <w:adjustRightInd/>
              <w:spacing w:line="360" w:lineRule="auto"/>
              <w:ind w:leftChars="0" w:right="0" w:rightChars="0" w:firstLine="480" w:firstLineChars="200"/>
              <w:jc w:val="left"/>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lang w:val="en-US" w:eastAsia="zh-CN"/>
              </w:rPr>
              <w:t>1</w:t>
            </w: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rPr>
              <w:t>认真执行消防安全规定，严格遵守技术操作规程，加强设备的维护和保养，普及防火、灭火知识，加强消防训练与演习。</w:t>
            </w:r>
          </w:p>
          <w:p>
            <w:pPr>
              <w:pStyle w:val="36"/>
              <w:keepNext w:val="0"/>
              <w:keepLines w:val="0"/>
              <w:pageBreakBefore w:val="0"/>
              <w:numPr>
                <w:ilvl w:val="0"/>
                <w:numId w:val="0"/>
              </w:numPr>
              <w:tabs>
                <w:tab w:val="left" w:pos="1604"/>
              </w:tabs>
              <w:kinsoku/>
              <w:wordWrap/>
              <w:overflowPunct/>
              <w:topLinePunct w:val="0"/>
              <w:autoSpaceDE/>
              <w:autoSpaceDN/>
              <w:bidi w:val="0"/>
              <w:adjustRightInd/>
              <w:spacing w:line="360" w:lineRule="auto"/>
              <w:ind w:leftChars="0" w:right="0" w:rightChars="0" w:firstLine="480" w:firstLineChars="200"/>
              <w:jc w:val="left"/>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lang w:val="en-US" w:eastAsia="zh-CN"/>
              </w:rPr>
              <w:t>2</w:t>
            </w: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rPr>
              <w:t>保证消防设备先进可靠。</w:t>
            </w:r>
          </w:p>
          <w:p>
            <w:pPr>
              <w:pStyle w:val="11"/>
              <w:keepNext w:val="0"/>
              <w:keepLines w:val="0"/>
              <w:pageBreakBefore w:val="0"/>
              <w:kinsoku/>
              <w:wordWrap/>
              <w:overflowPunct/>
              <w:topLinePunct w:val="0"/>
              <w:autoSpaceDE/>
              <w:autoSpaceDN/>
              <w:bidi w:val="0"/>
              <w:adjustRightInd/>
              <w:spacing w:before="0" w:after="0" w:line="360" w:lineRule="auto"/>
              <w:ind w:left="0" w:leftChars="0" w:right="0" w:firstLine="480" w:firstLineChars="200"/>
              <w:jc w:val="left"/>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在掌握并控制火灾产生的原因的同时，也尽量选用自动灭火装置，一旦发生火灾，能快速反应，将事故控制在有限范围内，将人员伤亡和经济损失降到最低。</w:t>
            </w:r>
          </w:p>
          <w:p>
            <w:pPr>
              <w:pStyle w:val="36"/>
              <w:keepNext w:val="0"/>
              <w:keepLines w:val="0"/>
              <w:pageBreakBefore w:val="0"/>
              <w:numPr>
                <w:ilvl w:val="0"/>
                <w:numId w:val="0"/>
              </w:numPr>
              <w:tabs>
                <w:tab w:val="left" w:pos="1604"/>
              </w:tabs>
              <w:kinsoku/>
              <w:wordWrap/>
              <w:overflowPunct/>
              <w:topLinePunct w:val="0"/>
              <w:autoSpaceDE/>
              <w:autoSpaceDN/>
              <w:bidi w:val="0"/>
              <w:adjustRightInd/>
              <w:spacing w:line="360" w:lineRule="auto"/>
              <w:ind w:leftChars="0" w:right="0" w:rightChars="0" w:firstLine="480" w:firstLineChars="200"/>
              <w:jc w:val="left"/>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lang w:val="en-US" w:eastAsia="zh-CN"/>
              </w:rPr>
              <w:t>3</w:t>
            </w: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rPr>
              <w:t>定时进行防火检查，及时消除火灾隐患。</w:t>
            </w:r>
          </w:p>
          <w:p>
            <w:pPr>
              <w:pStyle w:val="11"/>
              <w:keepNext w:val="0"/>
              <w:keepLines w:val="0"/>
              <w:pageBreakBefore w:val="0"/>
              <w:kinsoku/>
              <w:wordWrap/>
              <w:overflowPunct/>
              <w:topLinePunct w:val="0"/>
              <w:autoSpaceDE/>
              <w:autoSpaceDN/>
              <w:bidi w:val="0"/>
              <w:adjustRightInd/>
              <w:spacing w:before="0" w:after="0" w:line="360" w:lineRule="auto"/>
              <w:ind w:left="0" w:leftChars="0" w:right="0" w:firstLine="480" w:firstLineChars="200"/>
              <w:jc w:val="left"/>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rPr>
              <w:t>坚持人员值班制度，在节假日、冬季干燥季节，特别要注意防火工作大检查。</w:t>
            </w:r>
          </w:p>
          <w:p>
            <w:pPr>
              <w:pStyle w:val="36"/>
              <w:keepNext w:val="0"/>
              <w:keepLines w:val="0"/>
              <w:pageBreakBefore w:val="0"/>
              <w:numPr>
                <w:ilvl w:val="0"/>
                <w:numId w:val="0"/>
              </w:numPr>
              <w:tabs>
                <w:tab w:val="left" w:pos="1604"/>
              </w:tabs>
              <w:kinsoku/>
              <w:wordWrap/>
              <w:overflowPunct/>
              <w:topLinePunct w:val="0"/>
              <w:autoSpaceDE/>
              <w:autoSpaceDN/>
              <w:bidi w:val="0"/>
              <w:adjustRightInd/>
              <w:spacing w:line="360" w:lineRule="auto"/>
              <w:ind w:leftChars="0" w:right="0" w:rightChars="0" w:firstLine="480" w:firstLineChars="200"/>
              <w:jc w:val="left"/>
              <w:textAlignment w:val="auto"/>
              <w:rPr>
                <w:rFonts w:hint="default" w:ascii="Times New Roman" w:hAnsi="Times New Roman" w:eastAsia="宋体" w:cs="Times New Roman"/>
                <w:color w:val="auto"/>
                <w:spacing w:val="0"/>
                <w:sz w:val="24"/>
                <w:szCs w:val="24"/>
              </w:rPr>
            </w:pP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lang w:val="en-US" w:eastAsia="zh-CN"/>
              </w:rPr>
              <w:t>4</w:t>
            </w:r>
            <w:r>
              <w:rPr>
                <w:rFonts w:hint="default" w:ascii="Times New Roman" w:hAnsi="Times New Roman" w:eastAsia="宋体" w:cs="Times New Roman"/>
                <w:color w:val="auto"/>
                <w:spacing w:val="0"/>
                <w:sz w:val="24"/>
                <w:szCs w:val="24"/>
                <w:lang w:eastAsia="zh-CN"/>
              </w:rPr>
              <w:t>）</w:t>
            </w:r>
            <w:r>
              <w:rPr>
                <w:rFonts w:hint="default" w:ascii="Times New Roman" w:hAnsi="Times New Roman" w:eastAsia="宋体" w:cs="Times New Roman"/>
                <w:color w:val="auto"/>
                <w:spacing w:val="0"/>
                <w:sz w:val="24"/>
                <w:szCs w:val="24"/>
              </w:rPr>
              <w:t>严格控制火源，正确处理可燃物。</w:t>
            </w:r>
          </w:p>
          <w:p>
            <w:pPr>
              <w:pStyle w:val="11"/>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pacing w:val="0"/>
                <w:sz w:val="24"/>
                <w:szCs w:val="24"/>
              </w:rPr>
              <w:t>严格执行生产车间禁烟的安全规定，及时妥善处理可燃物。</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firstLine="482" w:firstLineChars="200"/>
              <w:rPr>
                <w:rFonts w:hint="default" w:ascii="Times New Roman" w:hAnsi="Times New Roman" w:eastAsia="黑体" w:cs="Times New Roman"/>
                <w:b/>
                <w:color w:val="auto"/>
                <w:sz w:val="24"/>
                <w:szCs w:val="24"/>
                <w:highlight w:val="none"/>
              </w:rPr>
            </w:pPr>
            <w:r>
              <w:rPr>
                <w:rFonts w:hint="eastAsia" w:eastAsia="黑体" w:cs="Times New Roman"/>
                <w:b/>
                <w:bCs/>
                <w:color w:val="auto"/>
                <w:sz w:val="24"/>
                <w:szCs w:val="24"/>
                <w:highlight w:val="none"/>
                <w:lang w:val="en-US" w:eastAsia="zh-CN"/>
              </w:rPr>
              <w:t>4.7.4</w:t>
            </w:r>
            <w:r>
              <w:rPr>
                <w:rFonts w:hint="default" w:ascii="Times New Roman" w:hAnsi="Times New Roman" w:eastAsia="黑体" w:cs="Times New Roman"/>
                <w:b/>
                <w:bCs/>
                <w:color w:val="auto"/>
                <w:sz w:val="24"/>
                <w:szCs w:val="24"/>
                <w:highlight w:val="none"/>
                <w:lang w:val="en-US" w:eastAsia="zh-CN"/>
              </w:rPr>
              <w:t>环境风险事故应急预案</w:t>
            </w:r>
          </w:p>
          <w:p>
            <w:pPr>
              <w:keepNext w:val="0"/>
              <w:keepLines w:val="0"/>
              <w:pageBreakBefore w:val="0"/>
              <w:kinsoku/>
              <w:wordWrap/>
              <w:overflowPunct/>
              <w:topLinePunct w:val="0"/>
              <w:autoSpaceDE/>
              <w:autoSpaceDN/>
              <w:bidi w:val="0"/>
              <w:adjustRightInd w:val="0"/>
              <w:snapToGrid w:val="0"/>
              <w:spacing w:line="360" w:lineRule="auto"/>
              <w:ind w:firstLine="482" w:firstLineChars="200"/>
              <w:jc w:val="center"/>
              <w:textAlignment w:val="baseline"/>
              <w:rPr>
                <w:rFonts w:hint="default" w:ascii="Times New Roman" w:hAnsi="Times New Roman" w:eastAsia="黑体" w:cs="Times New Roman"/>
                <w:bCs/>
                <w:color w:val="auto"/>
                <w:spacing w:val="-10"/>
                <w:sz w:val="24"/>
                <w:szCs w:val="24"/>
              </w:rPr>
            </w:pPr>
            <w:r>
              <w:rPr>
                <w:rFonts w:hint="default" w:ascii="Times New Roman" w:hAnsi="Times New Roman" w:eastAsia="黑体" w:cs="Times New Roman"/>
                <w:b/>
                <w:color w:val="auto"/>
                <w:sz w:val="24"/>
                <w:szCs w:val="24"/>
                <w:highlight w:val="none"/>
              </w:rPr>
              <w:t>表</w:t>
            </w:r>
            <w:r>
              <w:rPr>
                <w:rFonts w:hint="eastAsia" w:eastAsia="黑体" w:cs="Times New Roman"/>
                <w:b/>
                <w:color w:val="auto"/>
                <w:sz w:val="24"/>
                <w:szCs w:val="24"/>
                <w:highlight w:val="none"/>
                <w:lang w:val="en-US" w:eastAsia="zh-CN"/>
              </w:rPr>
              <w:t>51</w:t>
            </w:r>
            <w:r>
              <w:rPr>
                <w:rFonts w:hint="default" w:ascii="Times New Roman" w:hAnsi="Times New Roman" w:eastAsia="黑体" w:cs="Times New Roman"/>
                <w:b/>
                <w:color w:val="auto"/>
                <w:sz w:val="24"/>
                <w:szCs w:val="24"/>
                <w:highlight w:val="none"/>
              </w:rPr>
              <w:t xml:space="preserve"> 项目应急预案一览表</w:t>
            </w:r>
          </w:p>
          <w:tbl>
            <w:tblPr>
              <w:tblStyle w:val="20"/>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5"/>
              <w:gridCol w:w="2696"/>
              <w:gridCol w:w="45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6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w:t>
                  </w:r>
                </w:p>
              </w:tc>
              <w:tc>
                <w:tcPr>
                  <w:tcW w:w="45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内容及要求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6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应急组织机构、人员</w:t>
                  </w:r>
                </w:p>
              </w:tc>
              <w:tc>
                <w:tcPr>
                  <w:tcW w:w="45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设立事故应急机构，人员由企业主要领导、安全负责人、环保负责人等主要人员组成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26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应急救援</w:t>
                  </w:r>
                </w:p>
              </w:tc>
              <w:tc>
                <w:tcPr>
                  <w:tcW w:w="45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企业应配备必要的应急设施及设备和器材；事故易发的工作岗位配备必需的防护用品等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26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报警、通讯联络方式</w:t>
                  </w:r>
                </w:p>
              </w:tc>
              <w:tc>
                <w:tcPr>
                  <w:tcW w:w="45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建立专用的报警和通讯线路，并保持其畅通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26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应急环境监测、抢救、救援及控制措施</w:t>
                  </w:r>
                </w:p>
              </w:tc>
              <w:tc>
                <w:tcPr>
                  <w:tcW w:w="45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发生事故时，要保证现场的事故处理设施和全厂的应急处理系统能够紧急启动，并对事故产生的污染物进行有效的控制，同时启动 当地的环境应急监测系统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26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应急监测、防护措施、清除泄漏措施和器材</w:t>
                  </w:r>
                </w:p>
              </w:tc>
              <w:tc>
                <w:tcPr>
                  <w:tcW w:w="45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设立必要地控制和清除污染的相应措施。事故发生时，要及时发现事故发生地点和环节，并利用已有的防护措施减少污染物的排放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26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应急培训计划</w:t>
                  </w:r>
                </w:p>
              </w:tc>
              <w:tc>
                <w:tcPr>
                  <w:tcW w:w="45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企业要注意日产工作中对事故应急处理的培训，以提高职工的安全防范意识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26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公众教育和信息</w:t>
                  </w:r>
                </w:p>
              </w:tc>
              <w:tc>
                <w:tcPr>
                  <w:tcW w:w="45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tLeas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通过各种方式，对周围居民等进行事故防范宣传</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黑体" w:cs="Times New Roman"/>
                <w:b/>
                <w:bCs/>
                <w:color w:val="auto"/>
                <w:sz w:val="24"/>
                <w:szCs w:val="24"/>
                <w:highlight w:val="none"/>
              </w:rPr>
            </w:pPr>
            <w:r>
              <w:rPr>
                <w:rFonts w:hint="eastAsia" w:eastAsia="黑体" w:cs="Times New Roman"/>
                <w:b/>
                <w:bCs/>
                <w:color w:val="auto"/>
                <w:sz w:val="24"/>
                <w:szCs w:val="24"/>
                <w:highlight w:val="none"/>
                <w:lang w:val="en-US" w:eastAsia="zh-CN"/>
              </w:rPr>
              <w:t>4.7.5</w:t>
            </w:r>
            <w:r>
              <w:rPr>
                <w:rFonts w:hint="default" w:ascii="Times New Roman" w:hAnsi="Times New Roman" w:eastAsia="黑体" w:cs="Times New Roman"/>
                <w:b/>
                <w:bCs/>
                <w:color w:val="auto"/>
                <w:sz w:val="24"/>
                <w:szCs w:val="24"/>
                <w:highlight w:val="none"/>
              </w:rPr>
              <w:t>分析结论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本项目涉及的原材料为可燃物。企业在生产过程中须加强防范措施并完善风险应急预案，切实防范火灾、爆炸等环境风险事故的发生，企业在严格按照风险防范措施处理情况下，本项目的环境风险是可控的。</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黑体" w:hAnsi="黑体" w:eastAsia="黑体" w:cs="黑体"/>
                <w:b/>
                <w:bCs/>
                <w:color w:val="auto"/>
                <w:sz w:val="24"/>
                <w:szCs w:val="24"/>
                <w:highlight w:val="none"/>
                <w:lang w:val="en-US" w:eastAsia="zh-CN"/>
              </w:rPr>
            </w:pPr>
            <w:r>
              <w:rPr>
                <w:rFonts w:hint="eastAsia" w:ascii="黑体" w:hAnsi="黑体" w:eastAsia="黑体" w:cs="黑体"/>
                <w:b/>
                <w:bCs/>
                <w:color w:val="auto"/>
                <w:sz w:val="24"/>
                <w:szCs w:val="24"/>
                <w:highlight w:val="none"/>
                <w:lang w:val="en-US" w:eastAsia="zh-CN"/>
              </w:rPr>
              <w:t>4.8电磁辐射</w:t>
            </w:r>
          </w:p>
          <w:p>
            <w:pPr>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本项目不属于广播电台、差转台、电视塔台、卫星地球上行站、雷达等电磁辐射类项目，本评价不再开展电磁环境影响分析</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4.9环境影响评价制度与排污许可制度的衔接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rPr>
              <w:t>环境影响评价制度是建设项目的环境准入门槛，排污许可制是企事业单位生产运营期排污的法律依据，必须做好充分衔接，实现从污染预防到污染治理和排放控制的全过程监管。根据《国务院办公厅关于印发控制污染物排放许可制实施方案的通知》（国办发〔2016〕81号）及环保部《关于做好环境影响评价制度与排污许可制衔接相关工作的通知》（环办环评[2017]84号）中的相关要求，按行业分步实现对固定污染源的排污许可全覆盖，率先对火电、造纸行业企业核发排污许可证，2017年完成《大气污染防治行动计划》和《水污染防治行动计划》重点行业及产能过剩行业企业排污许可证核发，2020年全国基本完成排污许可证核发。建设单位应严格执行上述要求，按照</w:t>
            </w:r>
            <w:r>
              <w:rPr>
                <w:rFonts w:hint="default" w:ascii="Times New Roman" w:hAnsi="Times New Roman" w:eastAsia="宋体" w:cs="Times New Roman"/>
                <w:color w:val="auto"/>
                <w:sz w:val="24"/>
                <w:szCs w:val="24"/>
                <w:highlight w:val="none"/>
              </w:rPr>
              <w:t>环境影响评价文件及批复中与污染物排放相关的内容申领排污许可证。</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该项目属于</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D4430热力生产和供应</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，根据《固定污染源排污许可分类管理名录（2019年版）》（环保部令第11号），属于</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eastAsia="zh-CN"/>
              </w:rPr>
              <w:t>三十九</w:t>
            </w:r>
            <w:r>
              <w:rPr>
                <w:rFonts w:hint="default" w:ascii="Times New Roman" w:hAnsi="Times New Roman" w:eastAsia="宋体" w:cs="Times New Roman"/>
                <w:color w:val="auto"/>
                <w:sz w:val="24"/>
                <w:szCs w:val="24"/>
                <w:highlight w:val="none"/>
                <w:lang w:val="en-US" w:eastAsia="zh-CN"/>
              </w:rPr>
              <w:t>、电力、热力生产和供应业</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中</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9</w:t>
            </w:r>
            <w:r>
              <w:rPr>
                <w:rFonts w:hint="eastAsia"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 xml:space="preserve"> 热力生产和供应</w:t>
            </w:r>
            <w:r>
              <w:rPr>
                <w:rFonts w:hint="default"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eastAsia="zh-CN"/>
              </w:rPr>
              <w:t>，</w:t>
            </w:r>
            <w:r>
              <w:rPr>
                <w:rFonts w:hint="eastAsia" w:cs="Times New Roman"/>
                <w:color w:val="0000FF"/>
                <w:sz w:val="24"/>
                <w:szCs w:val="24"/>
                <w:highlight w:val="none"/>
                <w:lang w:eastAsia="zh-CN"/>
              </w:rPr>
              <w:t>企业于</w:t>
            </w:r>
            <w:r>
              <w:rPr>
                <w:rFonts w:hint="eastAsia" w:cs="Times New Roman"/>
                <w:color w:val="0000FF"/>
                <w:sz w:val="24"/>
                <w:szCs w:val="24"/>
                <w:highlight w:val="none"/>
                <w:lang w:val="en-US" w:eastAsia="zh-CN"/>
              </w:rPr>
              <w:t>2019年10月28号申请了排污许可证，编号为</w:t>
            </w:r>
            <w:r>
              <w:rPr>
                <w:rFonts w:hint="default" w:ascii="Times New Roman" w:hAnsi="Times New Roman" w:eastAsia="微软雅黑" w:cs="Times New Roman"/>
                <w:i w:val="0"/>
                <w:iCs w:val="0"/>
                <w:caps w:val="0"/>
                <w:color w:val="0000FF"/>
                <w:spacing w:val="0"/>
                <w:sz w:val="24"/>
                <w:szCs w:val="24"/>
                <w:shd w:val="clear" w:fill="FFFFFF"/>
              </w:rPr>
              <w:t>91370321746571029N001U</w:t>
            </w:r>
            <w:r>
              <w:rPr>
                <w:rFonts w:hint="eastAsia" w:ascii="Times New Roman" w:hAnsi="Times New Roman" w:eastAsia="微软雅黑" w:cs="Times New Roman"/>
                <w:i w:val="0"/>
                <w:iCs w:val="0"/>
                <w:caps w:val="0"/>
                <w:color w:val="0000FF"/>
                <w:spacing w:val="0"/>
                <w:sz w:val="24"/>
                <w:szCs w:val="24"/>
                <w:shd w:val="clear" w:fill="FFFFFF"/>
                <w:lang w:eastAsia="zh-CN"/>
              </w:rPr>
              <w:t>，</w:t>
            </w:r>
            <w:r>
              <w:rPr>
                <w:rFonts w:hint="eastAsia" w:ascii="宋体" w:hAnsi="宋体" w:eastAsia="宋体" w:cs="宋体"/>
                <w:i w:val="0"/>
                <w:iCs w:val="0"/>
                <w:caps w:val="0"/>
                <w:color w:val="0000FF"/>
                <w:spacing w:val="0"/>
                <w:sz w:val="24"/>
                <w:szCs w:val="24"/>
                <w:shd w:val="clear" w:fill="FFFFFF"/>
                <w:lang w:eastAsia="zh-CN"/>
              </w:rPr>
              <w:t>本项目</w:t>
            </w:r>
            <w:r>
              <w:rPr>
                <w:rFonts w:hint="eastAsia" w:cs="Times New Roman"/>
                <w:color w:val="auto"/>
                <w:sz w:val="24"/>
                <w:szCs w:val="24"/>
                <w:highlight w:val="none"/>
                <w:lang w:eastAsia="zh-CN"/>
              </w:rPr>
              <w:t>应当在施工前对现有排污许可证进行变更申报，合法排污</w:t>
            </w:r>
            <w:r>
              <w:rPr>
                <w:rFonts w:hint="default" w:ascii="Times New Roman" w:hAnsi="Times New Roman" w:eastAsia="宋体" w:cs="Times New Roman"/>
                <w:color w:val="auto"/>
                <w:sz w:val="24"/>
                <w:szCs w:val="24"/>
                <w:highlight w:val="none"/>
                <w:lang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left"/>
              <w:textAlignment w:val="auto"/>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4.10监测计划</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根据《排污单位自行监测技术指南 总则》（HJ 819-2017）以及《排污单位自行监测技术指南</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eastAsia="zh-CN"/>
              </w:rPr>
              <w:t>火力发电及锅炉》（HJ 820-2017），运营期企业自行监测计划见</w:t>
            </w:r>
            <w:r>
              <w:rPr>
                <w:rFonts w:hint="default" w:ascii="Times New Roman" w:hAnsi="Times New Roman" w:eastAsia="宋体" w:cs="Times New Roman"/>
                <w:color w:val="auto"/>
                <w:sz w:val="24"/>
                <w:szCs w:val="24"/>
                <w:highlight w:val="none"/>
                <w:lang w:val="en-US" w:eastAsia="zh-CN"/>
              </w:rPr>
              <w:t>下</w:t>
            </w:r>
            <w:r>
              <w:rPr>
                <w:rFonts w:hint="default" w:ascii="Times New Roman" w:hAnsi="Times New Roman" w:eastAsia="宋体" w:cs="Times New Roman"/>
                <w:color w:val="auto"/>
                <w:sz w:val="24"/>
                <w:szCs w:val="24"/>
                <w:highlight w:val="none"/>
                <w:lang w:eastAsia="zh-CN"/>
              </w:rPr>
              <w:t>表。</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eastAsia="黑体" w:cs="Times New Roman"/>
                <w:b/>
                <w:bCs/>
                <w:color w:val="auto"/>
                <w:sz w:val="24"/>
                <w:szCs w:val="24"/>
                <w:highlight w:val="none"/>
                <w:lang w:val="en-US" w:eastAsia="zh-CN"/>
              </w:rPr>
            </w:pPr>
            <w:r>
              <w:rPr>
                <w:rFonts w:hint="default" w:ascii="Times New Roman" w:hAnsi="Times New Roman" w:eastAsia="黑体" w:cs="Times New Roman"/>
                <w:b/>
                <w:bCs/>
                <w:color w:val="auto"/>
                <w:sz w:val="24"/>
                <w:szCs w:val="24"/>
                <w:highlight w:val="none"/>
                <w:lang w:eastAsia="zh-CN"/>
              </w:rPr>
              <w:t>表</w:t>
            </w:r>
            <w:r>
              <w:rPr>
                <w:rFonts w:hint="eastAsia" w:eastAsia="黑体" w:cs="Times New Roman"/>
                <w:b/>
                <w:bCs/>
                <w:color w:val="auto"/>
                <w:sz w:val="24"/>
                <w:szCs w:val="24"/>
                <w:highlight w:val="none"/>
                <w:lang w:val="en-US" w:eastAsia="zh-CN"/>
              </w:rPr>
              <w:t>52</w:t>
            </w:r>
            <w:r>
              <w:rPr>
                <w:rFonts w:hint="default" w:ascii="Times New Roman" w:hAnsi="Times New Roman" w:eastAsia="黑体" w:cs="Times New Roman"/>
                <w:b/>
                <w:bCs/>
                <w:color w:val="auto"/>
                <w:sz w:val="24"/>
                <w:szCs w:val="24"/>
                <w:highlight w:val="none"/>
                <w:lang w:eastAsia="zh-CN"/>
              </w:rPr>
              <w:t xml:space="preserve"> 污染源例行</w:t>
            </w:r>
            <w:r>
              <w:rPr>
                <w:rFonts w:hint="default" w:ascii="Times New Roman" w:hAnsi="Times New Roman" w:eastAsia="黑体" w:cs="Times New Roman"/>
                <w:b/>
                <w:bCs/>
                <w:color w:val="auto"/>
                <w:sz w:val="24"/>
                <w:szCs w:val="24"/>
                <w:highlight w:val="none"/>
                <w:lang w:val="en-US" w:eastAsia="zh-CN"/>
              </w:rPr>
              <w:t>监测计划</w:t>
            </w:r>
          </w:p>
          <w:tbl>
            <w:tblPr>
              <w:tblStyle w:val="21"/>
              <w:tblW w:w="79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78"/>
              <w:gridCol w:w="1987"/>
              <w:gridCol w:w="1990"/>
              <w:gridCol w:w="19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7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污染源名称</w:t>
                  </w:r>
                </w:p>
              </w:tc>
              <w:tc>
                <w:tcPr>
                  <w:tcW w:w="198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监测位置</w:t>
                  </w:r>
                </w:p>
              </w:tc>
              <w:tc>
                <w:tcPr>
                  <w:tcW w:w="199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污染物名称</w:t>
                  </w:r>
                </w:p>
              </w:tc>
              <w:tc>
                <w:tcPr>
                  <w:tcW w:w="198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78"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废气</w:t>
                  </w:r>
                </w:p>
              </w:tc>
              <w:tc>
                <w:tcPr>
                  <w:tcW w:w="1987"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排气筒</w:t>
                  </w:r>
                  <w:r>
                    <w:rPr>
                      <w:rFonts w:hint="default" w:ascii="Times New Roman" w:hAnsi="Times New Roman" w:cs="Times New Roman"/>
                      <w:color w:val="auto"/>
                      <w:sz w:val="21"/>
                      <w:szCs w:val="21"/>
                      <w:highlight w:val="none"/>
                      <w:vertAlign w:val="baseline"/>
                      <w:lang w:val="en-US" w:eastAsia="zh-CN"/>
                    </w:rPr>
                    <w:t>DA00</w:t>
                  </w:r>
                  <w:r>
                    <w:rPr>
                      <w:rFonts w:hint="eastAsia" w:cs="Times New Roman"/>
                      <w:color w:val="auto"/>
                      <w:sz w:val="21"/>
                      <w:szCs w:val="21"/>
                      <w:highlight w:val="none"/>
                      <w:vertAlign w:val="baseline"/>
                      <w:lang w:val="en-US" w:eastAsia="zh-CN"/>
                    </w:rPr>
                    <w:t>2</w:t>
                  </w:r>
                </w:p>
              </w:tc>
              <w:tc>
                <w:tcPr>
                  <w:tcW w:w="199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氮氧化物</w:t>
                  </w:r>
                </w:p>
              </w:tc>
              <w:tc>
                <w:tcPr>
                  <w:tcW w:w="198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每月监测1次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78"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987"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eastAsia="zh-CN"/>
                    </w:rPr>
                  </w:pPr>
                </w:p>
              </w:tc>
              <w:tc>
                <w:tcPr>
                  <w:tcW w:w="199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eastAsia="zh-CN"/>
                    </w:rPr>
                    <w:t>颗粒物、SO</w:t>
                  </w:r>
                  <w:r>
                    <w:rPr>
                      <w:rFonts w:hint="default" w:ascii="Times New Roman" w:hAnsi="Times New Roman" w:eastAsia="宋体" w:cs="Times New Roman"/>
                      <w:color w:val="auto"/>
                      <w:sz w:val="21"/>
                      <w:szCs w:val="21"/>
                      <w:highlight w:val="none"/>
                      <w:vertAlign w:val="subscript"/>
                      <w:lang w:val="en-US" w:eastAsia="zh-CN"/>
                    </w:rPr>
                    <w:t>2</w:t>
                  </w:r>
                </w:p>
              </w:tc>
              <w:tc>
                <w:tcPr>
                  <w:tcW w:w="198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每季度监测1次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7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废水</w:t>
                  </w:r>
                </w:p>
              </w:tc>
              <w:tc>
                <w:tcPr>
                  <w:tcW w:w="198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污水总排口</w:t>
                  </w:r>
                </w:p>
              </w:tc>
              <w:tc>
                <w:tcPr>
                  <w:tcW w:w="199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流量、pH、COD、</w:t>
                  </w:r>
                  <w:r>
                    <w:rPr>
                      <w:rFonts w:hint="default" w:ascii="Times New Roman" w:hAnsi="Times New Roman" w:eastAsia="宋体" w:cs="Times New Roman"/>
                      <w:color w:val="auto"/>
                      <w:sz w:val="21"/>
                      <w:szCs w:val="21"/>
                      <w:highlight w:val="none"/>
                      <w:vertAlign w:val="baseline"/>
                      <w:lang w:val="en-US" w:eastAsia="zh-CN"/>
                    </w:rPr>
                    <w:t>SS</w:t>
                  </w:r>
                  <w:r>
                    <w:rPr>
                      <w:rFonts w:hint="default" w:ascii="Times New Roman" w:hAnsi="Times New Roman" w:eastAsia="宋体" w:cs="Times New Roman"/>
                      <w:color w:val="auto"/>
                      <w:sz w:val="21"/>
                      <w:szCs w:val="21"/>
                      <w:highlight w:val="none"/>
                      <w:vertAlign w:val="baseline"/>
                      <w:lang w:eastAsia="zh-CN"/>
                    </w:rPr>
                    <w:t>、氨氮</w:t>
                  </w:r>
                </w:p>
              </w:tc>
              <w:tc>
                <w:tcPr>
                  <w:tcW w:w="198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每年监测1次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7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噪声</w:t>
                  </w:r>
                </w:p>
              </w:tc>
              <w:tc>
                <w:tcPr>
                  <w:tcW w:w="198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厂界四周</w:t>
                  </w:r>
                </w:p>
              </w:tc>
              <w:tc>
                <w:tcPr>
                  <w:tcW w:w="199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等效连续A声级</w:t>
                  </w:r>
                </w:p>
              </w:tc>
              <w:tc>
                <w:tcPr>
                  <w:tcW w:w="198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eastAsia="zh-CN"/>
                    </w:rPr>
                    <w:t>每季度监测1次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978"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一般固废</w:t>
                  </w:r>
                </w:p>
              </w:tc>
              <w:tc>
                <w:tcPr>
                  <w:tcW w:w="1987"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统计全厂固废量</w:t>
                  </w:r>
                </w:p>
              </w:tc>
              <w:tc>
                <w:tcPr>
                  <w:tcW w:w="1990"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统计种类、产生量、处置方式、去向</w:t>
                  </w:r>
                </w:p>
              </w:tc>
              <w:tc>
                <w:tcPr>
                  <w:tcW w:w="198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随时台账统计</w:t>
                  </w:r>
                </w:p>
              </w:tc>
            </w:tr>
          </w:tbl>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left"/>
              <w:textAlignment w:val="auto"/>
              <w:rPr>
                <w:rFonts w:hint="default" w:ascii="Times New Roman" w:hAnsi="Times New Roman" w:eastAsia="宋体" w:cs="Times New Roman"/>
                <w:bCs/>
                <w:color w:val="auto"/>
                <w:spacing w:val="-10"/>
                <w:sz w:val="24"/>
                <w:szCs w:val="24"/>
                <w:lang w:val="en-US"/>
              </w:rPr>
            </w:pPr>
          </w:p>
        </w:tc>
      </w:tr>
    </w:tbl>
    <w:p>
      <w:pPr>
        <w:adjustRightInd w:val="0"/>
        <w:snapToGrid w:val="0"/>
        <w:spacing w:line="360" w:lineRule="auto"/>
        <w:rPr>
          <w:rFonts w:hint="default" w:ascii="Times New Roman" w:hAnsi="Times New Roman" w:eastAsia="宋体" w:cs="Times New Roman"/>
          <w:b/>
          <w:color w:val="auto"/>
          <w:kern w:val="0"/>
          <w:sz w:val="28"/>
          <w:szCs w:val="28"/>
        </w:rPr>
        <w:sectPr>
          <w:footerReference r:id="rId5" w:type="default"/>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7"/>
        <w:bidi w:val="0"/>
        <w:jc w:val="center"/>
        <w:rPr>
          <w:rFonts w:hint="default" w:ascii="Times New Roman" w:hAnsi="Times New Roman" w:cs="Times New Roman"/>
          <w:color w:val="auto"/>
        </w:rPr>
      </w:pPr>
      <w:r>
        <w:rPr>
          <w:rFonts w:hint="default" w:ascii="Times New Roman" w:hAnsi="Times New Roman" w:cs="Times New Roman"/>
          <w:color w:val="auto"/>
        </w:rPr>
        <w:t>五、</w:t>
      </w:r>
      <w:bookmarkStart w:id="2" w:name="_Hlk54167917"/>
      <w:r>
        <w:rPr>
          <w:rFonts w:hint="default" w:ascii="Times New Roman" w:hAnsi="Times New Roman" w:cs="Times New Roman"/>
          <w:color w:val="auto"/>
        </w:rPr>
        <w:t>环境保护措施监督检查清单</w:t>
      </w:r>
      <w:bookmarkEnd w:id="2"/>
    </w:p>
    <w:tbl>
      <w:tblPr>
        <w:tblStyle w:val="20"/>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1560"/>
        <w:gridCol w:w="1689"/>
        <w:gridCol w:w="2541"/>
        <w:gridCol w:w="20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240" w:type="dxa"/>
            <w:tcBorders>
              <w:tl2br w:val="nil"/>
              <w:tr2bl w:val="nil"/>
            </w:tcBorders>
            <w:noWrap w:val="0"/>
            <w:vAlign w:val="top"/>
            <mc:AlternateContent>
              <mc:Choice Requires="wpsCustomData">
                <wpsCustomData:diagonals>
                  <wpsCustomData:diagonal from="10000" to="30000">
                    <wpsCustomData:border w:val="single" w:color="auto" w:sz="12" w:space="0"/>
                  </wpsCustomData:diagonal>
                </wpsCustomData:diagonals>
              </mc:Choice>
            </mc:AlternateContent>
          </w:tcPr>
          <w:p>
            <w:pPr>
              <w:keepNext w:val="0"/>
              <w:keepLines w:val="0"/>
              <w:pageBreakBefore w:val="0"/>
              <w:widowControl w:val="0"/>
              <w:kinsoku/>
              <w:overflowPunct/>
              <w:topLinePunct w:val="0"/>
              <w:autoSpaceDE/>
              <w:autoSpaceDN/>
              <w:bidi w:val="0"/>
              <w:adjustRightInd w:val="0"/>
              <w:snapToGrid w:val="0"/>
              <w:spacing w:line="360" w:lineRule="atLeast"/>
              <mc:AlternateContent>
                <mc:Choice Requires="wpsCustomData">
                  <wpsCustomData:diagonalParaType/>
                </mc:Choice>
              </mc:AlternateConten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要素</w:t>
            </w:r>
          </w:p>
          <w:p>
            <w:pPr>
              <w:keepNext w:val="0"/>
              <w:keepLines w:val="0"/>
              <w:pageBreakBefore w:val="0"/>
              <w:widowControl w:val="0"/>
              <w:kinsoku/>
              <w:overflowPunct/>
              <w:topLinePunct w:val="0"/>
              <w:autoSpaceDE/>
              <w:autoSpaceDN/>
              <w:bidi w:val="0"/>
              <w:adjustRightInd w:val="0"/>
              <w:snapToGrid w:val="0"/>
              <w:spacing w:line="360" w:lineRule="atLeast"/>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内容</w:t>
            </w:r>
          </w:p>
        </w:tc>
        <w:tc>
          <w:tcPr>
            <w:tcW w:w="1560"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line="36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排放口(编号、</w:t>
            </w:r>
          </w:p>
          <w:p>
            <w:pPr>
              <w:keepNext w:val="0"/>
              <w:keepLines w:val="0"/>
              <w:pageBreakBefore w:val="0"/>
              <w:widowControl w:val="0"/>
              <w:kinsoku/>
              <w:overflowPunct/>
              <w:topLinePunct w:val="0"/>
              <w:autoSpaceDE/>
              <w:autoSpaceDN/>
              <w:bidi w:val="0"/>
              <w:adjustRightInd w:val="0"/>
              <w:snapToGrid w:val="0"/>
              <w:spacing w:line="36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名称)/污染源</w:t>
            </w:r>
          </w:p>
        </w:tc>
        <w:tc>
          <w:tcPr>
            <w:tcW w:w="1689"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line="36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污染物项目</w:t>
            </w:r>
          </w:p>
        </w:tc>
        <w:tc>
          <w:tcPr>
            <w:tcW w:w="254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line="36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环境保护措施</w:t>
            </w:r>
          </w:p>
        </w:tc>
        <w:tc>
          <w:tcPr>
            <w:tcW w:w="204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line="36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1240"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line="36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1560" w:type="dxa"/>
            <w:tcBorders>
              <w:tl2br w:val="nil"/>
              <w:tr2bl w:val="nil"/>
            </w:tcBorders>
            <w:noWrap w:val="0"/>
            <w:vAlign w:val="center"/>
          </w:tcPr>
          <w:p>
            <w:pPr>
              <w:keepNext w:val="0"/>
              <w:keepLines w:val="0"/>
              <w:pageBreakBefore w:val="0"/>
              <w:widowControl w:val="0"/>
              <w:tabs>
                <w:tab w:val="left" w:pos="1500"/>
              </w:tabs>
              <w:kinsoku/>
              <w:wordWrap/>
              <w:overflowPunct/>
              <w:topLinePunct w:val="0"/>
              <w:autoSpaceDE/>
              <w:autoSpaceDN/>
              <w:bidi w:val="0"/>
              <w:adjustRightInd w:val="0"/>
              <w:snapToGrid w:val="0"/>
              <w:spacing w:line="360" w:lineRule="atLeas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燃气锅炉</w:t>
            </w:r>
            <w:r>
              <w:rPr>
                <w:rFonts w:hint="eastAsia" w:cs="Times New Roman"/>
                <w:color w:val="auto"/>
                <w:sz w:val="21"/>
                <w:szCs w:val="21"/>
                <w:lang w:val="en-US" w:eastAsia="zh-CN"/>
              </w:rPr>
              <w:t>排气筒</w:t>
            </w:r>
            <w:r>
              <w:rPr>
                <w:rFonts w:hint="default" w:ascii="Times New Roman" w:hAnsi="Times New Roman" w:cs="Times New Roman"/>
                <w:color w:val="auto"/>
                <w:sz w:val="21"/>
                <w:szCs w:val="21"/>
                <w:lang w:val="en-US" w:eastAsia="zh-CN"/>
              </w:rPr>
              <w:t>DA002</w:t>
            </w:r>
          </w:p>
        </w:tc>
        <w:tc>
          <w:tcPr>
            <w:tcW w:w="1689"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360" w:lineRule="atLeast"/>
              <w:jc w:val="center"/>
              <w:textAlignment w:val="baseline"/>
              <w:rPr>
                <w:rFonts w:hint="default" w:ascii="Times New Roman" w:hAnsi="Times New Roman" w:eastAsia="宋体" w:cs="Times New Roman"/>
                <w:color w:val="auto"/>
                <w:kern w:val="13"/>
                <w:position w:val="6"/>
                <w:sz w:val="21"/>
                <w:szCs w:val="21"/>
                <w:lang w:val="en-US" w:eastAsia="zh-CN" w:bidi="ar-SA"/>
              </w:rPr>
            </w:pPr>
            <w:r>
              <w:rPr>
                <w:rFonts w:hint="default" w:ascii="Times New Roman" w:hAnsi="Times New Roman" w:eastAsia="宋体" w:cs="Times New Roman"/>
                <w:color w:val="auto"/>
                <w:sz w:val="21"/>
                <w:szCs w:val="21"/>
                <w:lang w:val="en-US" w:eastAsia="zh-CN"/>
              </w:rPr>
              <w:t>颗粒物、二氧化硫、氮氧化物</w:t>
            </w:r>
          </w:p>
        </w:tc>
        <w:tc>
          <w:tcPr>
            <w:tcW w:w="254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line="360" w:lineRule="atLeast"/>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低氮燃烧后</w:t>
            </w:r>
            <w:r>
              <w:rPr>
                <w:rFonts w:hint="default" w:ascii="Times New Roman" w:hAnsi="Times New Roman" w:eastAsia="宋体" w:cs="Times New Roman"/>
                <w:color w:val="auto"/>
                <w:sz w:val="21"/>
                <w:szCs w:val="21"/>
                <w:highlight w:val="none"/>
                <w:lang w:eastAsia="zh-CN"/>
              </w:rPr>
              <w:t>通过一根</w:t>
            </w:r>
            <w:r>
              <w:rPr>
                <w:rFonts w:hint="eastAsia" w:cs="Times New Roman"/>
                <w:color w:val="auto"/>
                <w:sz w:val="21"/>
                <w:szCs w:val="21"/>
                <w:highlight w:val="none"/>
                <w:lang w:val="en-US" w:eastAsia="zh-CN"/>
              </w:rPr>
              <w:t>20米高</w:t>
            </w:r>
            <w:r>
              <w:rPr>
                <w:rFonts w:hint="default" w:ascii="Times New Roman" w:hAnsi="Times New Roman" w:eastAsia="宋体" w:cs="Times New Roman"/>
                <w:color w:val="auto"/>
                <w:sz w:val="21"/>
                <w:szCs w:val="21"/>
                <w:highlight w:val="none"/>
                <w:lang w:val="en-US" w:eastAsia="zh-CN"/>
              </w:rPr>
              <w:t>排气筒排放</w:t>
            </w:r>
          </w:p>
        </w:tc>
        <w:tc>
          <w:tcPr>
            <w:tcW w:w="2041"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atLeast"/>
              <w:jc w:val="center"/>
              <w:textAlignment w:val="baseline"/>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rPr>
              <w:t>《锅炉大气污染物排放标准》(DB37/2374-2018)表2中的重点控制区要求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240" w:type="dxa"/>
            <w:vMerge w:val="restart"/>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line="36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w:t>
            </w:r>
          </w:p>
        </w:tc>
        <w:tc>
          <w:tcPr>
            <w:tcW w:w="1560" w:type="dxa"/>
            <w:vMerge w:val="restart"/>
            <w:tcBorders>
              <w:tl2br w:val="nil"/>
              <w:tr2bl w:val="nil"/>
            </w:tcBorders>
            <w:noWrap w:val="0"/>
            <w:vAlign w:val="center"/>
          </w:tcPr>
          <w:p>
            <w:pPr>
              <w:pStyle w:val="12"/>
              <w:keepNext w:val="0"/>
              <w:keepLines w:val="0"/>
              <w:pageBreakBefore w:val="0"/>
              <w:widowControl w:val="0"/>
              <w:kinsoku/>
              <w:overflowPunct/>
              <w:topLinePunct w:val="0"/>
              <w:autoSpaceDE/>
              <w:autoSpaceDN/>
              <w:bidi w:val="0"/>
              <w:spacing w:line="360" w:lineRule="atLeast"/>
              <w:ind w:left="0" w:leftChars="0"/>
              <w:jc w:val="center"/>
              <w:rPr>
                <w:rFonts w:hint="default" w:ascii="Times New Roman" w:hAnsi="Times New Roman" w:eastAsia="宋体" w:cs="Times New Roman"/>
                <w:i w:val="0"/>
                <w:iCs/>
                <w:color w:val="auto"/>
                <w:kern w:val="13"/>
                <w:position w:val="6"/>
                <w:sz w:val="21"/>
                <w:szCs w:val="21"/>
                <w:lang w:val="en-US" w:eastAsia="zh-CN" w:bidi="ar-SA"/>
              </w:rPr>
            </w:pPr>
            <w:r>
              <w:rPr>
                <w:rFonts w:hint="default" w:ascii="Times New Roman" w:hAnsi="Times New Roman" w:eastAsia="宋体" w:cs="Times New Roman"/>
                <w:i w:val="0"/>
                <w:iCs/>
                <w:color w:val="auto"/>
                <w:kern w:val="13"/>
                <w:position w:val="6"/>
                <w:sz w:val="21"/>
                <w:szCs w:val="21"/>
                <w:lang w:val="en-US" w:eastAsia="zh-CN" w:bidi="ar-SA"/>
              </w:rPr>
              <w:t>生产废水</w:t>
            </w:r>
          </w:p>
        </w:tc>
        <w:tc>
          <w:tcPr>
            <w:tcW w:w="1689" w:type="dxa"/>
            <w:tcBorders>
              <w:tl2br w:val="nil"/>
              <w:tr2bl w:val="nil"/>
            </w:tcBorders>
            <w:noWrap w:val="0"/>
            <w:vAlign w:val="center"/>
          </w:tcPr>
          <w:p>
            <w:pPr>
              <w:pStyle w:val="12"/>
              <w:keepNext w:val="0"/>
              <w:keepLines w:val="0"/>
              <w:pageBreakBefore w:val="0"/>
              <w:widowControl w:val="0"/>
              <w:kinsoku/>
              <w:overflowPunct/>
              <w:topLinePunct w:val="0"/>
              <w:autoSpaceDE/>
              <w:autoSpaceDN/>
              <w:bidi w:val="0"/>
              <w:spacing w:line="360" w:lineRule="atLeast"/>
              <w:ind w:left="0" w:leftChars="0"/>
              <w:jc w:val="center"/>
              <w:rPr>
                <w:rFonts w:hint="default" w:ascii="Times New Roman" w:hAnsi="Times New Roman" w:eastAsia="宋体" w:cs="Times New Roman"/>
                <w:i w:val="0"/>
                <w:iCs/>
                <w:color w:val="auto"/>
                <w:kern w:val="2"/>
                <w:sz w:val="21"/>
                <w:szCs w:val="21"/>
                <w:lang w:val="en-US" w:eastAsia="zh-CN" w:bidi="ar-SA"/>
              </w:rPr>
            </w:pPr>
            <w:r>
              <w:rPr>
                <w:rFonts w:hint="default" w:ascii="Times New Roman" w:hAnsi="Times New Roman" w:eastAsia="宋体" w:cs="Times New Roman"/>
                <w:i w:val="0"/>
                <w:iCs/>
                <w:color w:val="auto"/>
                <w:sz w:val="21"/>
                <w:szCs w:val="21"/>
                <w:lang w:val="en-US" w:eastAsia="zh-CN"/>
              </w:rPr>
              <w:t>软化水制备废水</w:t>
            </w:r>
          </w:p>
        </w:tc>
        <w:tc>
          <w:tcPr>
            <w:tcW w:w="2541" w:type="dxa"/>
            <w:vMerge w:val="restart"/>
            <w:tcBorders>
              <w:tl2br w:val="nil"/>
              <w:tr2bl w:val="nil"/>
            </w:tcBorders>
            <w:noWrap w:val="0"/>
            <w:vAlign w:val="center"/>
          </w:tcPr>
          <w:p>
            <w:pPr>
              <w:pStyle w:val="12"/>
              <w:keepNext w:val="0"/>
              <w:keepLines w:val="0"/>
              <w:pageBreakBefore w:val="0"/>
              <w:widowControl w:val="0"/>
              <w:kinsoku/>
              <w:overflowPunct/>
              <w:topLinePunct w:val="0"/>
              <w:autoSpaceDE/>
              <w:autoSpaceDN/>
              <w:bidi w:val="0"/>
              <w:spacing w:line="360" w:lineRule="atLeast"/>
              <w:ind w:left="0" w:leftChars="0"/>
              <w:jc w:val="center"/>
              <w:rPr>
                <w:rFonts w:hint="default" w:ascii="Times New Roman" w:hAnsi="Times New Roman" w:eastAsia="宋体" w:cs="Times New Roman"/>
                <w:i w:val="0"/>
                <w:iCs/>
                <w:color w:val="auto"/>
                <w:kern w:val="2"/>
                <w:sz w:val="21"/>
                <w:szCs w:val="21"/>
                <w:lang w:val="en-US" w:eastAsia="zh-CN" w:bidi="ar-SA"/>
              </w:rPr>
            </w:pPr>
            <w:r>
              <w:rPr>
                <w:rFonts w:hint="default" w:ascii="Times New Roman" w:hAnsi="Times New Roman" w:eastAsia="宋体" w:cs="Times New Roman"/>
                <w:i w:val="0"/>
                <w:iCs/>
                <w:color w:val="auto"/>
                <w:kern w:val="2"/>
                <w:sz w:val="21"/>
                <w:szCs w:val="21"/>
                <w:lang w:val="en-US" w:eastAsia="zh-CN" w:bidi="ar-SA"/>
              </w:rPr>
              <w:t>经收集后排入</w:t>
            </w:r>
            <w:r>
              <w:rPr>
                <w:rFonts w:hint="eastAsia" w:cs="Times New Roman"/>
                <w:i w:val="0"/>
                <w:iCs/>
                <w:color w:val="auto"/>
                <w:sz w:val="21"/>
                <w:szCs w:val="21"/>
                <w:lang w:eastAsia="zh-CN"/>
              </w:rPr>
              <w:t>山东海奥斯生物科技股份有限公司</w:t>
            </w:r>
            <w:r>
              <w:rPr>
                <w:rFonts w:hint="default" w:ascii="Times New Roman" w:hAnsi="Times New Roman" w:eastAsia="宋体" w:cs="Times New Roman"/>
                <w:i w:val="0"/>
                <w:iCs/>
                <w:color w:val="auto"/>
                <w:sz w:val="21"/>
                <w:szCs w:val="21"/>
                <w:lang w:eastAsia="zh-CN"/>
              </w:rPr>
              <w:t>污水处理站</w:t>
            </w:r>
            <w:r>
              <w:rPr>
                <w:rFonts w:hint="default" w:ascii="Times New Roman" w:hAnsi="Times New Roman" w:eastAsia="宋体" w:cs="Times New Roman"/>
                <w:i w:val="0"/>
                <w:iCs/>
                <w:color w:val="auto"/>
                <w:kern w:val="2"/>
                <w:sz w:val="21"/>
                <w:szCs w:val="21"/>
                <w:lang w:val="en-US" w:eastAsia="zh-CN" w:bidi="ar-SA"/>
              </w:rPr>
              <w:t>，处理后排入</w:t>
            </w:r>
            <w:r>
              <w:rPr>
                <w:rFonts w:hint="default" w:ascii="Times New Roman" w:hAnsi="Times New Roman" w:eastAsia="宋体" w:cs="Times New Roman"/>
                <w:i w:val="0"/>
                <w:iCs/>
                <w:color w:val="auto"/>
                <w:sz w:val="21"/>
                <w:szCs w:val="21"/>
                <w:lang w:val="en-US" w:eastAsia="zh-CN"/>
              </w:rPr>
              <w:t>光大水务（淄博）有限公司水质净化三分厂进行</w:t>
            </w:r>
            <w:r>
              <w:rPr>
                <w:rFonts w:hint="default" w:ascii="Times New Roman" w:hAnsi="Times New Roman" w:eastAsia="宋体" w:cs="Times New Roman"/>
                <w:i w:val="0"/>
                <w:iCs/>
                <w:color w:val="auto"/>
                <w:kern w:val="2"/>
                <w:sz w:val="21"/>
                <w:szCs w:val="21"/>
                <w:lang w:val="en-US" w:eastAsia="zh-CN" w:bidi="ar-SA"/>
              </w:rPr>
              <w:t>处理</w:t>
            </w:r>
          </w:p>
        </w:tc>
        <w:tc>
          <w:tcPr>
            <w:tcW w:w="2041" w:type="dxa"/>
            <w:vMerge w:val="restart"/>
            <w:tcBorders>
              <w:tl2br w:val="nil"/>
              <w:tr2bl w:val="nil"/>
            </w:tcBorders>
            <w:noWrap w:val="0"/>
            <w:vAlign w:val="center"/>
          </w:tcPr>
          <w:p>
            <w:pPr>
              <w:pStyle w:val="12"/>
              <w:keepNext w:val="0"/>
              <w:keepLines w:val="0"/>
              <w:pageBreakBefore w:val="0"/>
              <w:widowControl w:val="0"/>
              <w:kinsoku/>
              <w:wordWrap w:val="0"/>
              <w:overflowPunct/>
              <w:topLinePunct w:val="0"/>
              <w:autoSpaceDE/>
              <w:autoSpaceDN/>
              <w:bidi w:val="0"/>
              <w:spacing w:line="360" w:lineRule="atLeast"/>
              <w:ind w:left="0" w:leftChars="0"/>
              <w:jc w:val="center"/>
              <w:rPr>
                <w:rFonts w:hint="default" w:ascii="Times New Roman" w:hAnsi="Times New Roman" w:eastAsia="宋体" w:cs="Times New Roman"/>
                <w:i w:val="0"/>
                <w:iCs/>
                <w:color w:val="auto"/>
                <w:kern w:val="13"/>
                <w:position w:val="6"/>
                <w:sz w:val="21"/>
                <w:szCs w:val="21"/>
                <w:highlight w:val="green"/>
                <w:lang w:val="en-US" w:eastAsia="zh-CN" w:bidi="ar-SA"/>
              </w:rPr>
            </w:pPr>
            <w:r>
              <w:rPr>
                <w:rFonts w:hint="default" w:ascii="Times New Roman" w:hAnsi="Times New Roman" w:eastAsia="宋体" w:cs="Times New Roman"/>
                <w:i w:val="0"/>
                <w:iCs/>
                <w:color w:val="auto"/>
                <w:sz w:val="21"/>
                <w:szCs w:val="21"/>
              </w:rPr>
              <w:t>《污水排入城镇下水道水质标准》（GB/T31962-2015）表1中B等级标准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240" w:type="dxa"/>
            <w:vMerge w:val="continue"/>
            <w:tcBorders>
              <w:tl2br w:val="nil"/>
              <w:tr2bl w:val="nil"/>
            </w:tcBorders>
            <w:noWrap w:val="0"/>
            <w:vAlign w:val="center"/>
          </w:tcPr>
          <w:p>
            <w:pPr>
              <w:pStyle w:val="12"/>
              <w:keepNext w:val="0"/>
              <w:keepLines w:val="0"/>
              <w:pageBreakBefore w:val="0"/>
              <w:widowControl w:val="0"/>
              <w:kinsoku/>
              <w:overflowPunct/>
              <w:topLinePunct w:val="0"/>
              <w:autoSpaceDE/>
              <w:autoSpaceDN/>
              <w:bidi w:val="0"/>
              <w:spacing w:line="360" w:lineRule="atLeast"/>
              <w:ind w:left="0" w:leftChars="0"/>
              <w:jc w:val="center"/>
              <w:rPr>
                <w:rFonts w:hint="default" w:ascii="Times New Roman" w:hAnsi="Times New Roman" w:eastAsia="宋体" w:cs="Times New Roman"/>
                <w:color w:val="auto"/>
                <w:sz w:val="21"/>
                <w:szCs w:val="21"/>
              </w:rPr>
            </w:pPr>
          </w:p>
        </w:tc>
        <w:tc>
          <w:tcPr>
            <w:tcW w:w="1560" w:type="dxa"/>
            <w:vMerge w:val="continue"/>
            <w:tcBorders>
              <w:tl2br w:val="nil"/>
              <w:tr2bl w:val="nil"/>
            </w:tcBorders>
            <w:noWrap w:val="0"/>
            <w:vAlign w:val="center"/>
          </w:tcPr>
          <w:p>
            <w:pPr>
              <w:pStyle w:val="12"/>
              <w:keepNext w:val="0"/>
              <w:keepLines w:val="0"/>
              <w:pageBreakBefore w:val="0"/>
              <w:widowControl w:val="0"/>
              <w:kinsoku/>
              <w:overflowPunct/>
              <w:topLinePunct w:val="0"/>
              <w:autoSpaceDE/>
              <w:autoSpaceDN/>
              <w:bidi w:val="0"/>
              <w:spacing w:line="360" w:lineRule="atLeast"/>
              <w:ind w:left="0" w:leftChars="0"/>
              <w:jc w:val="center"/>
              <w:rPr>
                <w:rFonts w:hint="default" w:ascii="Times New Roman" w:hAnsi="Times New Roman" w:eastAsia="宋体" w:cs="Times New Roman"/>
                <w:color w:val="auto"/>
                <w:sz w:val="21"/>
                <w:szCs w:val="21"/>
              </w:rPr>
            </w:pPr>
          </w:p>
        </w:tc>
        <w:tc>
          <w:tcPr>
            <w:tcW w:w="1689" w:type="dxa"/>
            <w:tcBorders>
              <w:tl2br w:val="nil"/>
              <w:tr2bl w:val="nil"/>
            </w:tcBorders>
            <w:noWrap w:val="0"/>
            <w:vAlign w:val="center"/>
          </w:tcPr>
          <w:p>
            <w:pPr>
              <w:pStyle w:val="12"/>
              <w:keepNext w:val="0"/>
              <w:keepLines w:val="0"/>
              <w:pageBreakBefore w:val="0"/>
              <w:widowControl w:val="0"/>
              <w:kinsoku/>
              <w:overflowPunct/>
              <w:topLinePunct w:val="0"/>
              <w:autoSpaceDE/>
              <w:autoSpaceDN/>
              <w:bidi w:val="0"/>
              <w:spacing w:line="360" w:lineRule="atLeast"/>
              <w:ind w:left="0" w:leftChars="0"/>
              <w:jc w:val="center"/>
              <w:rPr>
                <w:rFonts w:hint="default" w:ascii="Times New Roman" w:hAnsi="Times New Roman" w:eastAsia="宋体" w:cs="Times New Roman"/>
                <w:i w:val="0"/>
                <w:iCs/>
                <w:color w:val="auto"/>
                <w:sz w:val="21"/>
                <w:szCs w:val="21"/>
                <w:lang w:val="en-US" w:eastAsia="zh-CN"/>
              </w:rPr>
            </w:pPr>
            <w:r>
              <w:rPr>
                <w:rFonts w:hint="default" w:ascii="Times New Roman" w:hAnsi="Times New Roman" w:eastAsia="宋体" w:cs="Times New Roman"/>
                <w:i w:val="0"/>
                <w:iCs/>
                <w:color w:val="auto"/>
                <w:sz w:val="21"/>
                <w:szCs w:val="21"/>
                <w:lang w:val="en-US" w:eastAsia="zh-CN"/>
              </w:rPr>
              <w:t>锅炉废水</w:t>
            </w:r>
          </w:p>
        </w:tc>
        <w:tc>
          <w:tcPr>
            <w:tcW w:w="2541" w:type="dxa"/>
            <w:vMerge w:val="continue"/>
            <w:tcBorders>
              <w:tl2br w:val="nil"/>
              <w:tr2bl w:val="nil"/>
            </w:tcBorders>
            <w:noWrap w:val="0"/>
            <w:vAlign w:val="center"/>
          </w:tcPr>
          <w:p>
            <w:pPr>
              <w:pStyle w:val="12"/>
              <w:keepNext w:val="0"/>
              <w:keepLines w:val="0"/>
              <w:pageBreakBefore w:val="0"/>
              <w:widowControl w:val="0"/>
              <w:kinsoku/>
              <w:overflowPunct/>
              <w:topLinePunct w:val="0"/>
              <w:autoSpaceDE/>
              <w:autoSpaceDN/>
              <w:bidi w:val="0"/>
              <w:spacing w:line="360" w:lineRule="atLeast"/>
              <w:ind w:left="0" w:leftChars="0"/>
              <w:jc w:val="center"/>
              <w:rPr>
                <w:rFonts w:hint="default" w:ascii="Times New Roman" w:hAnsi="Times New Roman" w:eastAsia="宋体" w:cs="Times New Roman"/>
                <w:i w:val="0"/>
                <w:iCs/>
                <w:color w:val="auto"/>
                <w:sz w:val="21"/>
                <w:szCs w:val="21"/>
              </w:rPr>
            </w:pPr>
          </w:p>
        </w:tc>
        <w:tc>
          <w:tcPr>
            <w:tcW w:w="2041" w:type="dxa"/>
            <w:vMerge w:val="continue"/>
            <w:tcBorders>
              <w:tl2br w:val="nil"/>
              <w:tr2bl w:val="nil"/>
            </w:tcBorders>
            <w:noWrap w:val="0"/>
            <w:vAlign w:val="center"/>
          </w:tcPr>
          <w:p>
            <w:pPr>
              <w:pStyle w:val="12"/>
              <w:keepNext w:val="0"/>
              <w:keepLines w:val="0"/>
              <w:pageBreakBefore w:val="0"/>
              <w:widowControl w:val="0"/>
              <w:kinsoku/>
              <w:wordWrap w:val="0"/>
              <w:overflowPunct/>
              <w:topLinePunct w:val="0"/>
              <w:autoSpaceDE/>
              <w:autoSpaceDN/>
              <w:bidi w:val="0"/>
              <w:spacing w:line="360" w:lineRule="atLeast"/>
              <w:ind w:left="0" w:leftChars="0"/>
              <w:jc w:val="center"/>
              <w:rPr>
                <w:rFonts w:hint="default" w:ascii="Times New Roman" w:hAnsi="Times New Roman" w:eastAsia="宋体" w:cs="Times New Roman"/>
                <w:i w:val="0"/>
                <w:i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240" w:type="dxa"/>
            <w:vMerge w:val="continue"/>
            <w:tcBorders>
              <w:tl2br w:val="nil"/>
              <w:tr2bl w:val="nil"/>
            </w:tcBorders>
            <w:noWrap w:val="0"/>
            <w:vAlign w:val="center"/>
          </w:tcPr>
          <w:p>
            <w:pPr>
              <w:pStyle w:val="12"/>
              <w:keepNext w:val="0"/>
              <w:keepLines w:val="0"/>
              <w:pageBreakBefore w:val="0"/>
              <w:widowControl w:val="0"/>
              <w:kinsoku/>
              <w:overflowPunct/>
              <w:topLinePunct w:val="0"/>
              <w:autoSpaceDE/>
              <w:autoSpaceDN/>
              <w:bidi w:val="0"/>
              <w:spacing w:line="360" w:lineRule="atLeast"/>
              <w:ind w:left="0" w:leftChars="0"/>
              <w:jc w:val="center"/>
              <w:rPr>
                <w:rFonts w:hint="default" w:ascii="Times New Roman" w:hAnsi="Times New Roman" w:eastAsia="宋体" w:cs="Times New Roman"/>
                <w:color w:val="auto"/>
                <w:sz w:val="21"/>
                <w:szCs w:val="21"/>
              </w:rPr>
            </w:pPr>
          </w:p>
        </w:tc>
        <w:tc>
          <w:tcPr>
            <w:tcW w:w="1560" w:type="dxa"/>
            <w:tcBorders>
              <w:tl2br w:val="nil"/>
              <w:tr2bl w:val="nil"/>
            </w:tcBorders>
            <w:noWrap w:val="0"/>
            <w:vAlign w:val="center"/>
          </w:tcPr>
          <w:p>
            <w:pPr>
              <w:pStyle w:val="12"/>
              <w:keepNext w:val="0"/>
              <w:keepLines w:val="0"/>
              <w:pageBreakBefore w:val="0"/>
              <w:widowControl w:val="0"/>
              <w:kinsoku/>
              <w:overflowPunct/>
              <w:topLinePunct w:val="0"/>
              <w:autoSpaceDE/>
              <w:autoSpaceDN/>
              <w:bidi w:val="0"/>
              <w:spacing w:line="360" w:lineRule="atLeast"/>
              <w:ind w:left="0" w:leftChars="0"/>
              <w:jc w:val="center"/>
              <w:rPr>
                <w:rFonts w:hint="eastAsia" w:ascii="Times New Roman" w:hAnsi="Times New Roman" w:eastAsia="宋体" w:cs="Times New Roman"/>
                <w:color w:val="auto"/>
                <w:sz w:val="21"/>
                <w:szCs w:val="21"/>
                <w:lang w:eastAsia="zh-CN"/>
              </w:rPr>
            </w:pPr>
            <w:r>
              <w:rPr>
                <w:rFonts w:hint="eastAsia" w:cs="Times New Roman"/>
                <w:i w:val="0"/>
                <w:iCs/>
                <w:color w:val="auto"/>
                <w:sz w:val="21"/>
                <w:szCs w:val="21"/>
                <w:lang w:eastAsia="zh-CN"/>
              </w:rPr>
              <w:t>生活废水</w:t>
            </w:r>
          </w:p>
        </w:tc>
        <w:tc>
          <w:tcPr>
            <w:tcW w:w="1689" w:type="dxa"/>
            <w:tcBorders>
              <w:tl2br w:val="nil"/>
              <w:tr2bl w:val="nil"/>
            </w:tcBorders>
            <w:noWrap w:val="0"/>
            <w:vAlign w:val="center"/>
          </w:tcPr>
          <w:p>
            <w:pPr>
              <w:pStyle w:val="12"/>
              <w:keepNext w:val="0"/>
              <w:keepLines w:val="0"/>
              <w:pageBreakBefore w:val="0"/>
              <w:widowControl w:val="0"/>
              <w:kinsoku/>
              <w:overflowPunct/>
              <w:topLinePunct w:val="0"/>
              <w:autoSpaceDE/>
              <w:autoSpaceDN/>
              <w:bidi w:val="0"/>
              <w:spacing w:line="360" w:lineRule="atLeast"/>
              <w:ind w:left="0" w:leftChars="0"/>
              <w:jc w:val="center"/>
              <w:rPr>
                <w:rFonts w:hint="default" w:ascii="Times New Roman" w:hAnsi="Times New Roman" w:eastAsia="宋体" w:cs="Times New Roman"/>
                <w:i w:val="0"/>
                <w:iCs/>
                <w:color w:val="auto"/>
                <w:sz w:val="21"/>
                <w:szCs w:val="21"/>
                <w:lang w:val="en-US" w:eastAsia="zh-CN"/>
              </w:rPr>
            </w:pPr>
            <w:r>
              <w:rPr>
                <w:rFonts w:hint="eastAsia" w:cs="Times New Roman"/>
                <w:i w:val="0"/>
                <w:iCs/>
                <w:color w:val="auto"/>
                <w:sz w:val="21"/>
                <w:szCs w:val="21"/>
                <w:lang w:val="en-US" w:eastAsia="zh-CN"/>
              </w:rPr>
              <w:t>职工生活废水</w:t>
            </w:r>
          </w:p>
        </w:tc>
        <w:tc>
          <w:tcPr>
            <w:tcW w:w="2541" w:type="dxa"/>
            <w:vMerge w:val="continue"/>
            <w:tcBorders>
              <w:tl2br w:val="nil"/>
              <w:tr2bl w:val="nil"/>
            </w:tcBorders>
            <w:noWrap w:val="0"/>
            <w:vAlign w:val="center"/>
          </w:tcPr>
          <w:p>
            <w:pPr>
              <w:pStyle w:val="12"/>
              <w:keepNext w:val="0"/>
              <w:keepLines w:val="0"/>
              <w:pageBreakBefore w:val="0"/>
              <w:widowControl w:val="0"/>
              <w:kinsoku/>
              <w:overflowPunct/>
              <w:topLinePunct w:val="0"/>
              <w:autoSpaceDE/>
              <w:autoSpaceDN/>
              <w:bidi w:val="0"/>
              <w:spacing w:line="360" w:lineRule="atLeast"/>
              <w:ind w:left="0" w:leftChars="0"/>
              <w:jc w:val="center"/>
              <w:rPr>
                <w:rFonts w:hint="default" w:ascii="Times New Roman" w:hAnsi="Times New Roman" w:eastAsia="宋体" w:cs="Times New Roman"/>
                <w:i w:val="0"/>
                <w:iCs/>
                <w:color w:val="auto"/>
                <w:sz w:val="21"/>
                <w:szCs w:val="21"/>
              </w:rPr>
            </w:pPr>
          </w:p>
        </w:tc>
        <w:tc>
          <w:tcPr>
            <w:tcW w:w="2041" w:type="dxa"/>
            <w:vMerge w:val="continue"/>
            <w:tcBorders>
              <w:tl2br w:val="nil"/>
              <w:tr2bl w:val="nil"/>
            </w:tcBorders>
            <w:noWrap w:val="0"/>
            <w:vAlign w:val="center"/>
          </w:tcPr>
          <w:p>
            <w:pPr>
              <w:pStyle w:val="12"/>
              <w:keepNext w:val="0"/>
              <w:keepLines w:val="0"/>
              <w:pageBreakBefore w:val="0"/>
              <w:widowControl w:val="0"/>
              <w:kinsoku/>
              <w:wordWrap w:val="0"/>
              <w:overflowPunct/>
              <w:topLinePunct w:val="0"/>
              <w:autoSpaceDE/>
              <w:autoSpaceDN/>
              <w:bidi w:val="0"/>
              <w:spacing w:line="360" w:lineRule="atLeast"/>
              <w:ind w:left="0" w:leftChars="0"/>
              <w:jc w:val="center"/>
              <w:rPr>
                <w:rFonts w:hint="default" w:ascii="Times New Roman" w:hAnsi="Times New Roman" w:eastAsia="宋体" w:cs="Times New Roman"/>
                <w:i w:val="0"/>
                <w:i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40"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line="36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1560"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line="360" w:lineRule="atLeast"/>
              <w:jc w:val="center"/>
              <w:textAlignment w:val="baseline"/>
              <w:rPr>
                <w:rFonts w:hint="default" w:ascii="Times New Roman" w:hAnsi="Times New Roman" w:eastAsia="宋体" w:cs="Times New Roman"/>
                <w:color w:val="auto"/>
                <w:kern w:val="13"/>
                <w:position w:val="6"/>
                <w:sz w:val="21"/>
                <w:szCs w:val="21"/>
                <w:lang w:val="en-US" w:eastAsia="zh-CN" w:bidi="ar-SA"/>
              </w:rPr>
            </w:pPr>
            <w:r>
              <w:rPr>
                <w:rFonts w:hint="default" w:ascii="Times New Roman" w:hAnsi="Times New Roman" w:eastAsia="宋体" w:cs="Times New Roman"/>
                <w:color w:val="auto"/>
                <w:kern w:val="13"/>
                <w:position w:val="6"/>
                <w:sz w:val="21"/>
                <w:szCs w:val="21"/>
              </w:rPr>
              <w:t>生产设备</w:t>
            </w:r>
          </w:p>
        </w:tc>
        <w:tc>
          <w:tcPr>
            <w:tcW w:w="1689"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line="360" w:lineRule="atLeast"/>
              <w:jc w:val="center"/>
              <w:textAlignment w:val="baseline"/>
              <w:rPr>
                <w:rFonts w:hint="default" w:ascii="Times New Roman" w:hAnsi="Times New Roman" w:eastAsia="宋体" w:cs="Times New Roman"/>
                <w:color w:val="auto"/>
                <w:kern w:val="13"/>
                <w:position w:val="6"/>
                <w:sz w:val="21"/>
                <w:szCs w:val="21"/>
                <w:lang w:val="en-US" w:eastAsia="zh-CN" w:bidi="ar-SA"/>
              </w:rPr>
            </w:pPr>
            <w:r>
              <w:rPr>
                <w:rFonts w:hint="default" w:ascii="Times New Roman" w:hAnsi="Times New Roman" w:eastAsia="宋体" w:cs="Times New Roman"/>
                <w:color w:val="auto"/>
                <w:kern w:val="13"/>
                <w:position w:val="6"/>
                <w:sz w:val="21"/>
                <w:szCs w:val="21"/>
              </w:rPr>
              <w:t>噪声</w:t>
            </w:r>
          </w:p>
        </w:tc>
        <w:tc>
          <w:tcPr>
            <w:tcW w:w="254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line="360" w:lineRule="atLeast"/>
              <w:jc w:val="center"/>
              <w:textAlignment w:val="baseline"/>
              <w:rPr>
                <w:rFonts w:hint="default" w:ascii="Times New Roman" w:hAnsi="Times New Roman" w:eastAsia="宋体" w:cs="Times New Roman"/>
                <w:i w:val="0"/>
                <w:iCs/>
                <w:color w:val="auto"/>
                <w:kern w:val="13"/>
                <w:position w:val="6"/>
                <w:sz w:val="21"/>
                <w:szCs w:val="21"/>
                <w:lang w:val="en-US" w:eastAsia="zh-CN" w:bidi="ar-SA"/>
              </w:rPr>
            </w:pPr>
            <w:r>
              <w:rPr>
                <w:rFonts w:hint="default" w:ascii="Times New Roman" w:hAnsi="Times New Roman" w:eastAsia="宋体" w:cs="Times New Roman"/>
                <w:i w:val="0"/>
                <w:iCs/>
                <w:color w:val="auto"/>
                <w:kern w:val="13"/>
                <w:position w:val="6"/>
                <w:sz w:val="21"/>
                <w:szCs w:val="21"/>
              </w:rPr>
              <w:t>隔声、减震、距离衰减</w:t>
            </w:r>
          </w:p>
        </w:tc>
        <w:tc>
          <w:tcPr>
            <w:tcW w:w="2041"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360" w:lineRule="atLeast"/>
              <w:jc w:val="center"/>
              <w:textAlignment w:val="baseline"/>
              <w:rPr>
                <w:rFonts w:hint="default" w:ascii="Times New Roman" w:hAnsi="Times New Roman" w:eastAsia="宋体" w:cs="Times New Roman"/>
                <w:i w:val="0"/>
                <w:iCs/>
                <w:color w:val="auto"/>
                <w:kern w:val="13"/>
                <w:position w:val="6"/>
                <w:sz w:val="21"/>
                <w:szCs w:val="21"/>
                <w:lang w:val="en-US" w:eastAsia="zh-CN" w:bidi="ar-SA"/>
              </w:rPr>
            </w:pPr>
            <w:r>
              <w:rPr>
                <w:rFonts w:hint="default" w:ascii="Times New Roman" w:hAnsi="Times New Roman" w:eastAsia="宋体" w:cs="Times New Roman"/>
                <w:i w:val="0"/>
                <w:iCs/>
                <w:color w:val="auto"/>
                <w:sz w:val="21"/>
                <w:szCs w:val="21"/>
              </w:rPr>
              <w:t>厂界噪声符合《工业企业厂界环境噪声排放标准》（GB12348-2008）</w:t>
            </w:r>
            <w:r>
              <w:rPr>
                <w:rFonts w:hint="default" w:ascii="Times New Roman" w:hAnsi="Times New Roman" w:eastAsia="宋体" w:cs="Times New Roman"/>
                <w:bCs/>
                <w:i w:val="0"/>
                <w:iCs/>
                <w:color w:val="auto"/>
                <w:sz w:val="21"/>
                <w:szCs w:val="21"/>
              </w:rPr>
              <w:t>2</w:t>
            </w:r>
            <w:r>
              <w:rPr>
                <w:rFonts w:hint="default" w:ascii="Times New Roman" w:hAnsi="Times New Roman" w:eastAsia="宋体" w:cs="Times New Roman"/>
                <w:i w:val="0"/>
                <w:iCs/>
                <w:color w:val="auto"/>
                <w:sz w:val="21"/>
                <w:szCs w:val="21"/>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40"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line="36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电磁辐射</w:t>
            </w:r>
          </w:p>
        </w:tc>
        <w:tc>
          <w:tcPr>
            <w:tcW w:w="1560"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line="36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89"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line="36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54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line="36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041"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line="36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240"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line="36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7831" w:type="dxa"/>
            <w:gridSpan w:val="4"/>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line="360" w:lineRule="atLeast"/>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固体废物</w:t>
            </w:r>
            <w:r>
              <w:rPr>
                <w:rFonts w:hint="default" w:ascii="Times New Roman" w:hAnsi="Times New Roman" w:eastAsia="宋体" w:cs="Times New Roman"/>
                <w:color w:val="auto"/>
                <w:sz w:val="21"/>
                <w:szCs w:val="21"/>
                <w:lang w:val="en-US" w:eastAsia="zh-CN"/>
              </w:rPr>
              <w:t>及其处理措施</w:t>
            </w:r>
            <w:r>
              <w:rPr>
                <w:rFonts w:hint="default" w:ascii="Times New Roman" w:hAnsi="Times New Roman" w:eastAsia="宋体" w:cs="Times New Roman"/>
                <w:color w:val="auto"/>
                <w:sz w:val="21"/>
                <w:szCs w:val="21"/>
              </w:rPr>
              <w:t>管理台账</w:t>
            </w:r>
            <w:r>
              <w:rPr>
                <w:rFonts w:hint="default" w:ascii="Times New Roman" w:hAnsi="Times New Roman" w:eastAsia="宋体" w:cs="Times New Roman"/>
                <w:color w:val="auto"/>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240"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line="36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土壤及地下水污染防治措施</w:t>
            </w:r>
          </w:p>
        </w:tc>
        <w:tc>
          <w:tcPr>
            <w:tcW w:w="7831" w:type="dxa"/>
            <w:gridSpan w:val="4"/>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line="360" w:lineRule="atLeas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（1）源头控制措施积极推行实施清洁生产，实现各类废物循环利用，减少污染物的排放量；根据国家现行相关规范加强环境管理，采取防止和降低污染物跑、冒、滴、漏的措施。</w:t>
            </w:r>
          </w:p>
          <w:p>
            <w:pPr>
              <w:keepNext w:val="0"/>
              <w:keepLines w:val="0"/>
              <w:pageBreakBefore w:val="0"/>
              <w:widowControl w:val="0"/>
              <w:kinsoku/>
              <w:overflowPunct/>
              <w:topLinePunct w:val="0"/>
              <w:autoSpaceDE/>
              <w:autoSpaceDN/>
              <w:bidi w:val="0"/>
              <w:adjustRightInd w:val="0"/>
              <w:snapToGrid w:val="0"/>
              <w:spacing w:line="360" w:lineRule="atLeast"/>
              <w:jc w:val="left"/>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（2）分区防治：按照不同分区要求采取不同等级的防渗措施，并确保其可靠性和有效性</w:t>
            </w:r>
            <w:r>
              <w:rPr>
                <w:rFonts w:hint="default" w:ascii="Times New Roman" w:hAnsi="Times New Roman" w:eastAsia="宋体" w:cs="Times New Roman"/>
                <w:color w:val="auto"/>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240"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line="36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生态保护措施</w:t>
            </w:r>
          </w:p>
        </w:tc>
        <w:tc>
          <w:tcPr>
            <w:tcW w:w="7831" w:type="dxa"/>
            <w:gridSpan w:val="4"/>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line="360" w:lineRule="atLeast"/>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项目位于</w:t>
            </w:r>
            <w:r>
              <w:rPr>
                <w:rFonts w:hint="default" w:ascii="Times New Roman" w:hAnsi="Times New Roman" w:eastAsia="宋体" w:cs="Times New Roman"/>
                <w:color w:val="auto"/>
                <w:sz w:val="21"/>
                <w:szCs w:val="21"/>
                <w:u w:val="none"/>
                <w:lang w:val="en-US" w:eastAsia="zh-CN"/>
              </w:rPr>
              <w:t>山东</w:t>
            </w:r>
            <w:r>
              <w:rPr>
                <w:rFonts w:hint="default" w:ascii="Times New Roman" w:hAnsi="Times New Roman" w:eastAsia="宋体" w:cs="Times New Roman"/>
                <w:color w:val="auto"/>
                <w:sz w:val="21"/>
                <w:szCs w:val="21"/>
                <w:u w:val="none"/>
              </w:rPr>
              <w:t>省</w:t>
            </w:r>
            <w:r>
              <w:rPr>
                <w:rFonts w:hint="default" w:ascii="Times New Roman" w:hAnsi="Times New Roman" w:eastAsia="宋体" w:cs="Times New Roman"/>
                <w:color w:val="auto"/>
                <w:sz w:val="21"/>
                <w:szCs w:val="21"/>
                <w:u w:val="none"/>
                <w:lang w:val="en-US" w:eastAsia="zh-CN"/>
              </w:rPr>
              <w:t>淄博</w:t>
            </w:r>
            <w:r>
              <w:rPr>
                <w:rFonts w:hint="default" w:ascii="Times New Roman" w:hAnsi="Times New Roman" w:eastAsia="宋体" w:cs="Times New Roman"/>
                <w:color w:val="auto"/>
                <w:sz w:val="21"/>
                <w:szCs w:val="21"/>
                <w:u w:val="none"/>
              </w:rPr>
              <w:t>市</w:t>
            </w:r>
            <w:r>
              <w:rPr>
                <w:rFonts w:hint="default" w:ascii="Times New Roman" w:hAnsi="Times New Roman" w:eastAsia="宋体" w:cs="Times New Roman"/>
                <w:color w:val="auto"/>
                <w:sz w:val="21"/>
                <w:szCs w:val="21"/>
                <w:u w:val="none"/>
                <w:lang w:val="en-US" w:eastAsia="zh-CN"/>
              </w:rPr>
              <w:t>桓台</w:t>
            </w:r>
            <w:r>
              <w:rPr>
                <w:rFonts w:hint="default" w:ascii="Times New Roman" w:hAnsi="Times New Roman" w:eastAsia="宋体" w:cs="Times New Roman"/>
                <w:color w:val="auto"/>
                <w:sz w:val="21"/>
                <w:szCs w:val="21"/>
                <w:u w:val="none"/>
              </w:rPr>
              <w:t>县</w:t>
            </w:r>
            <w:r>
              <w:rPr>
                <w:rFonts w:hint="default" w:ascii="Times New Roman" w:hAnsi="Times New Roman" w:eastAsia="宋体" w:cs="Times New Roman"/>
                <w:color w:val="auto"/>
                <w:sz w:val="21"/>
                <w:szCs w:val="21"/>
                <w:u w:val="none"/>
                <w:lang w:val="en-US" w:eastAsia="zh-CN"/>
              </w:rPr>
              <w:t>果里镇张北路201号</w:t>
            </w:r>
            <w:r>
              <w:rPr>
                <w:rFonts w:hint="default" w:ascii="Times New Roman" w:hAnsi="Times New Roman" w:eastAsia="宋体" w:cs="Times New Roman"/>
                <w:color w:val="auto"/>
                <w:sz w:val="21"/>
                <w:szCs w:val="21"/>
              </w:rPr>
              <w:t>，经实地踏勘，评价区周围没有大面积的自然植被及大型野生动物群，生物多样性比较单一，生物量较少，生态环境简单，生态环境质量一般。</w:t>
            </w:r>
          </w:p>
          <w:p>
            <w:pPr>
              <w:keepNext w:val="0"/>
              <w:keepLines w:val="0"/>
              <w:pageBreakBefore w:val="0"/>
              <w:widowControl w:val="0"/>
              <w:kinsoku/>
              <w:overflowPunct/>
              <w:topLinePunct w:val="0"/>
              <w:autoSpaceDE/>
              <w:autoSpaceDN/>
              <w:bidi w:val="0"/>
              <w:adjustRightInd w:val="0"/>
              <w:snapToGrid w:val="0"/>
              <w:spacing w:line="360" w:lineRule="atLeast"/>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建议单位有专门的绿化设计方案，项目建设完成后可降低对周围生态环境的影响。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240"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line="360" w:lineRule="atLeast"/>
              <w:jc w:val="center"/>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环境风险</w:t>
            </w:r>
          </w:p>
          <w:p>
            <w:pPr>
              <w:keepNext w:val="0"/>
              <w:keepLines w:val="0"/>
              <w:pageBreakBefore w:val="0"/>
              <w:widowControl w:val="0"/>
              <w:kinsoku/>
              <w:overflowPunct/>
              <w:topLinePunct w:val="0"/>
              <w:autoSpaceDE/>
              <w:autoSpaceDN/>
              <w:bidi w:val="0"/>
              <w:adjustRightInd w:val="0"/>
              <w:snapToGrid w:val="0"/>
              <w:spacing w:line="360" w:lineRule="atLeast"/>
              <w:jc w:val="center"/>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防范措施</w:t>
            </w:r>
          </w:p>
        </w:tc>
        <w:tc>
          <w:tcPr>
            <w:tcW w:w="7831" w:type="dxa"/>
            <w:gridSpan w:val="4"/>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line="36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①锅炉房内配备灭火设施；</w:t>
            </w:r>
          </w:p>
          <w:p>
            <w:pPr>
              <w:keepNext w:val="0"/>
              <w:keepLines w:val="0"/>
              <w:pageBreakBefore w:val="0"/>
              <w:widowControl w:val="0"/>
              <w:kinsoku/>
              <w:overflowPunct/>
              <w:topLinePunct w:val="0"/>
              <w:autoSpaceDE/>
              <w:autoSpaceDN/>
              <w:bidi w:val="0"/>
              <w:adjustRightInd w:val="0"/>
              <w:snapToGrid w:val="0"/>
              <w:spacing w:line="360" w:lineRule="atLeast"/>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②定期检查电气线路，防止线路老化、设备漏电等引发火灾；</w:t>
            </w:r>
          </w:p>
          <w:p>
            <w:pPr>
              <w:keepNext w:val="0"/>
              <w:keepLines w:val="0"/>
              <w:pageBreakBefore w:val="0"/>
              <w:widowControl w:val="0"/>
              <w:kinsoku/>
              <w:overflowPunct/>
              <w:topLinePunct w:val="0"/>
              <w:autoSpaceDE/>
              <w:autoSpaceDN/>
              <w:bidi w:val="0"/>
              <w:adjustRightInd w:val="0"/>
              <w:snapToGrid w:val="0"/>
              <w:spacing w:line="360" w:lineRule="atLeast"/>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③对灭火器等消防器材，定期检查，保持完整好用，设置专人负责；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40" w:type="dxa"/>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line="360" w:lineRule="atLeast"/>
              <w:jc w:val="center"/>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其他环境</w:t>
            </w:r>
          </w:p>
          <w:p>
            <w:pPr>
              <w:keepNext w:val="0"/>
              <w:keepLines w:val="0"/>
              <w:pageBreakBefore w:val="0"/>
              <w:widowControl w:val="0"/>
              <w:kinsoku/>
              <w:overflowPunct/>
              <w:topLinePunct w:val="0"/>
              <w:autoSpaceDE/>
              <w:autoSpaceDN/>
              <w:bidi w:val="0"/>
              <w:adjustRightInd w:val="0"/>
              <w:snapToGrid w:val="0"/>
              <w:spacing w:line="360" w:lineRule="atLeast"/>
              <w:jc w:val="center"/>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rPr>
              <w:t>管理要求</w:t>
            </w:r>
          </w:p>
        </w:tc>
        <w:tc>
          <w:tcPr>
            <w:tcW w:w="7831" w:type="dxa"/>
            <w:gridSpan w:val="4"/>
            <w:tcBorders>
              <w:tl2br w:val="nil"/>
              <w:tr2bl w:val="nil"/>
            </w:tcBorders>
            <w:noWrap w:val="0"/>
            <w:vAlign w:val="center"/>
          </w:tcPr>
          <w:p>
            <w:pPr>
              <w:keepNext w:val="0"/>
              <w:keepLines w:val="0"/>
              <w:pageBreakBefore w:val="0"/>
              <w:widowControl w:val="0"/>
              <w:kinsoku/>
              <w:overflowPunct/>
              <w:topLinePunct w:val="0"/>
              <w:autoSpaceDE/>
              <w:autoSpaceDN/>
              <w:bidi w:val="0"/>
              <w:adjustRightInd w:val="0"/>
              <w:snapToGrid w:val="0"/>
              <w:spacing w:line="36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w:t>
            </w:r>
          </w:p>
        </w:tc>
      </w:tr>
    </w:tbl>
    <w:p>
      <w:pPr>
        <w:pStyle w:val="19"/>
        <w:jc w:val="center"/>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rPr>
        <w:br w:type="page"/>
      </w:r>
      <w:r>
        <w:rPr>
          <w:rStyle w:val="41"/>
          <w:rFonts w:hint="default" w:ascii="Times New Roman" w:hAnsi="Times New Roman" w:cs="Times New Roman"/>
          <w:color w:val="auto"/>
        </w:rPr>
        <w:t>六、结论</w:t>
      </w:r>
    </w:p>
    <w:tbl>
      <w:tblPr>
        <w:tblStyle w:val="20"/>
        <w:tblW w:w="9071" w:type="dxa"/>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9071"/>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4360" w:hRule="atLeast"/>
          <w:jc w:val="center"/>
        </w:trPr>
        <w:tc>
          <w:tcPr>
            <w:tcW w:w="90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color w:val="auto"/>
                <w:sz w:val="24"/>
                <w:szCs w:val="24"/>
                <w:lang w:val="en-US" w:eastAsia="zh-CN"/>
              </w:rPr>
            </w:pPr>
            <w:r>
              <w:rPr>
                <w:rFonts w:hint="default"/>
                <w:color w:val="auto"/>
                <w:sz w:val="24"/>
                <w:szCs w:val="24"/>
                <w:lang w:val="en-US" w:eastAsia="zh-CN"/>
              </w:rPr>
              <w:t>一、评价结论</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color w:val="auto"/>
                <w:sz w:val="24"/>
                <w:szCs w:val="24"/>
                <w:lang w:val="en-US" w:eastAsia="zh-CN"/>
              </w:rPr>
            </w:pPr>
            <w:r>
              <w:rPr>
                <w:rFonts w:hint="default"/>
                <w:color w:val="auto"/>
                <w:sz w:val="24"/>
                <w:szCs w:val="24"/>
                <w:lang w:val="en-US" w:eastAsia="zh-CN"/>
              </w:rPr>
              <w:t>综上所述，山东黄河龙集团有限公司蛋白肠衣项目配套20吨天然气锅炉房建设项目，项目用地不属于限制用地和禁止用地范围，拟采取的环保措施技术可靠、经济可行，污染物满足达标排放、总量控制的基本原则。在各项污染防治措施得到落实的前提下，从环境保护的角度分析，项目建设可行。</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color w:val="auto"/>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color w:val="auto"/>
                <w:sz w:val="24"/>
                <w:szCs w:val="24"/>
              </w:rPr>
            </w:pPr>
          </w:p>
          <w:p>
            <w:pPr>
              <w:pStyle w:val="2"/>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color w:val="auto"/>
                <w:sz w:val="24"/>
                <w:szCs w:val="24"/>
              </w:rPr>
            </w:pP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color w:val="auto"/>
              </w:rPr>
            </w:pPr>
          </w:p>
          <w:p>
            <w:pPr>
              <w:pStyle w:val="2"/>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color w:val="auto"/>
              </w:rPr>
            </w:pP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color w:val="auto"/>
              </w:rPr>
            </w:pPr>
          </w:p>
          <w:p>
            <w:pPr>
              <w:pStyle w:val="2"/>
              <w:rPr>
                <w:rFonts w:hint="default"/>
                <w:color w:val="auto"/>
              </w:rPr>
            </w:pPr>
          </w:p>
          <w:p>
            <w:pPr>
              <w:rPr>
                <w:rFonts w:hint="default"/>
                <w:color w:val="auto"/>
              </w:rPr>
            </w:pPr>
          </w:p>
          <w:p>
            <w:pPr>
              <w:pStyle w:val="2"/>
              <w:rPr>
                <w:rFonts w:hint="default"/>
                <w:color w:val="auto"/>
              </w:rPr>
            </w:pPr>
          </w:p>
          <w:p>
            <w:pPr>
              <w:pStyle w:val="2"/>
              <w:keepNext w:val="0"/>
              <w:keepLines w:val="0"/>
              <w:pageBreakBefore w:val="0"/>
              <w:widowControl w:val="0"/>
              <w:kinsoku/>
              <w:wordWrap/>
              <w:overflowPunct/>
              <w:topLinePunct w:val="0"/>
              <w:autoSpaceDE/>
              <w:autoSpaceDN/>
              <w:bidi w:val="0"/>
              <w:spacing w:line="360" w:lineRule="auto"/>
              <w:textAlignment w:val="auto"/>
              <w:rPr>
                <w:rFonts w:hint="default"/>
                <w:color w:val="auto"/>
              </w:rPr>
            </w:pP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color w:val="auto"/>
              </w:rPr>
            </w:pPr>
          </w:p>
          <w:p>
            <w:pPr>
              <w:pStyle w:val="2"/>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color w:val="auto"/>
              </w:rPr>
            </w:pPr>
          </w:p>
          <w:p>
            <w:pPr>
              <w:pStyle w:val="2"/>
              <w:keepNext w:val="0"/>
              <w:keepLines w:val="0"/>
              <w:pageBreakBefore w:val="0"/>
              <w:widowControl w:val="0"/>
              <w:kinsoku/>
              <w:wordWrap/>
              <w:overflowPunct/>
              <w:topLinePunct w:val="0"/>
              <w:autoSpaceDE/>
              <w:autoSpaceDN/>
              <w:bidi w:val="0"/>
              <w:spacing w:line="360" w:lineRule="auto"/>
              <w:ind w:left="0" w:leftChars="0" w:firstLine="0" w:firstLineChars="0"/>
              <w:textAlignment w:val="auto"/>
              <w:rPr>
                <w:rFonts w:hint="default"/>
                <w:color w:val="auto"/>
              </w:rPr>
            </w:pPr>
          </w:p>
          <w:p>
            <w:pPr>
              <w:rPr>
                <w:rFonts w:hint="default"/>
                <w:color w:val="auto"/>
              </w:rPr>
            </w:pP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color w:val="auto"/>
              </w:rPr>
            </w:pPr>
          </w:p>
          <w:p>
            <w:pPr>
              <w:pStyle w:val="2"/>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color w:val="auto"/>
              </w:rPr>
            </w:pP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color w:val="auto"/>
              </w:rPr>
            </w:pPr>
          </w:p>
          <w:p>
            <w:pPr>
              <w:pStyle w:val="2"/>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color w:val="auto"/>
              </w:rPr>
            </w:pP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color w:val="auto"/>
              </w:rPr>
            </w:pPr>
          </w:p>
          <w:p>
            <w:pPr>
              <w:pStyle w:val="2"/>
              <w:keepNext w:val="0"/>
              <w:keepLines w:val="0"/>
              <w:pageBreakBefore w:val="0"/>
              <w:widowControl w:val="0"/>
              <w:kinsoku/>
              <w:wordWrap/>
              <w:overflowPunct/>
              <w:topLinePunct w:val="0"/>
              <w:autoSpaceDE/>
              <w:autoSpaceDN/>
              <w:bidi w:val="0"/>
              <w:spacing w:line="360" w:lineRule="auto"/>
              <w:ind w:left="0" w:leftChars="0" w:firstLine="0" w:firstLineChars="0"/>
              <w:textAlignment w:val="auto"/>
              <w:rPr>
                <w:rFonts w:hint="default"/>
                <w:color w:val="auto"/>
              </w:rPr>
            </w:pPr>
          </w:p>
          <w:p>
            <w:pPr>
              <w:rPr>
                <w:rFonts w:hint="default"/>
                <w:color w:val="auto"/>
              </w:rPr>
            </w:pPr>
          </w:p>
          <w:p>
            <w:pPr>
              <w:pStyle w:val="2"/>
              <w:rPr>
                <w:rFonts w:hint="default"/>
                <w:color w:val="auto"/>
              </w:rPr>
            </w:pPr>
          </w:p>
          <w:p>
            <w:pPr>
              <w:rPr>
                <w:rFonts w:hint="default"/>
                <w:color w:val="auto"/>
              </w:rPr>
            </w:pPr>
          </w:p>
        </w:tc>
      </w:tr>
    </w:tbl>
    <w:p>
      <w:pPr>
        <w:rPr>
          <w:rFonts w:hint="default" w:ascii="Times New Roman" w:hAnsi="Times New Roman" w:eastAsia="宋体" w:cs="Times New Roman"/>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7"/>
        <w:bidi w:val="0"/>
        <w:rPr>
          <w:rFonts w:hint="default" w:ascii="Times New Roman" w:hAnsi="Times New Roman" w:cs="Times New Roman"/>
          <w:color w:val="auto"/>
        </w:rPr>
      </w:pPr>
      <w:r>
        <w:rPr>
          <w:rFonts w:hint="default" w:ascii="Times New Roman" w:hAnsi="Times New Roman" w:cs="Times New Roman"/>
          <w:color w:val="auto"/>
        </w:rPr>
        <w:t>附表</w:t>
      </w:r>
    </w:p>
    <w:p>
      <w:pPr>
        <w:pStyle w:val="7"/>
        <w:keepNext/>
        <w:keepLines/>
        <w:pageBreakBefore w:val="0"/>
        <w:widowControl w:val="0"/>
        <w:kinsoku/>
        <w:wordWrap/>
        <w:overflowPunct/>
        <w:topLinePunct w:val="0"/>
        <w:autoSpaceDE/>
        <w:autoSpaceDN/>
        <w:bidi w:val="0"/>
        <w:adjustRightInd/>
        <w:snapToGrid/>
        <w:spacing w:before="0" w:after="0" w:line="360" w:lineRule="auto"/>
        <w:jc w:val="center"/>
        <w:textAlignment w:val="auto"/>
        <w:outlineLvl w:val="1"/>
        <w:rPr>
          <w:rFonts w:hint="default" w:ascii="Times New Roman" w:hAnsi="Times New Roman" w:cs="Times New Roman"/>
          <w:color w:val="auto"/>
          <w:lang w:val="en-US" w:eastAsia="zh-CN"/>
        </w:rPr>
      </w:pPr>
      <w:r>
        <w:rPr>
          <w:rFonts w:hint="default" w:ascii="Times New Roman" w:hAnsi="Times New Roman" w:cs="Times New Roman"/>
          <w:color w:val="auto"/>
        </w:rPr>
        <w:t>建设项目污染物排放量汇总表</w:t>
      </w:r>
    </w:p>
    <w:tbl>
      <w:tblPr>
        <w:tblStyle w:val="20"/>
        <w:tblW w:w="1417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50"/>
        <w:gridCol w:w="2194"/>
        <w:gridCol w:w="1393"/>
        <w:gridCol w:w="1312"/>
        <w:gridCol w:w="1748"/>
        <w:gridCol w:w="1603"/>
        <w:gridCol w:w="1810"/>
        <w:gridCol w:w="1684"/>
        <w:gridCol w:w="11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50" w:type="dxa"/>
            <w:tcBorders>
              <w:tl2br w:val="nil"/>
              <w:tr2bl w:val="nil"/>
            </w:tcBorders>
            <w:noWrap w:val="0"/>
            <w:tcMar>
              <w:left w:w="28" w:type="dxa"/>
              <w:right w:w="28" w:type="dxa"/>
            </w:tcMar>
            <w:vAlign w:val="center"/>
            <mc:AlternateContent>
              <mc:Choice Requires="wpsCustomData">
                <wpsCustomData:diagonals>
                  <wpsCustomData:diagonal from="10000" to="30000">
                    <wpsCustomData:border w:val="single" w:color="auto" w:sz="12" w:space="0"/>
                  </wpsCustomData:diagonal>
                </wpsCustomData:diagonals>
              </mc:Choice>
            </mc:AlternateContent>
          </w:tcPr>
          <w:p>
            <w:pPr>
              <w:pStyle w:val="30"/>
              <w:keepNext w:val="0"/>
              <w:keepLines w:val="0"/>
              <w:pageBreakBefore w:val="0"/>
              <w:widowControl w:val="0"/>
              <w:kinsoku/>
              <w:wordWrap/>
              <w:overflowPunct/>
              <w:topLinePunct w:val="0"/>
              <w:autoSpaceDE/>
              <w:autoSpaceDN/>
              <w:bidi w:val="0"/>
              <w:spacing w:beforeLines="0" w:afterLines="0" w:line="360" w:lineRule="atLeast"/>
              <w:jc w:val="both"/>
              <w:textAlignment w:val="auto"/>
              <w:rPr>
                <w:rFonts w:hint="default" w:ascii="Times New Roman" w:hAnsi="Times New Roman" w:eastAsia="宋体" w:cs="Times New Roman"/>
                <w:snapToGrid w:val="0"/>
                <w:color w:val="auto"/>
                <w:spacing w:val="-6"/>
                <w:kern w:val="21"/>
                <w:sz w:val="21"/>
                <w:szCs w:val="21"/>
                <w:lang w:val="en-US" w:eastAsia="zh-CN"/>
              </w:rPr>
            </w:pPr>
          </w:p>
          <w:p>
            <w:pPr>
              <w:pStyle w:val="30"/>
              <w:keepNext w:val="0"/>
              <w:keepLines w:val="0"/>
              <w:pageBreakBefore w:val="0"/>
              <w:widowControl w:val="0"/>
              <w:kinsoku/>
              <w:wordWrap/>
              <w:overflowPunct/>
              <w:topLinePunct w:val="0"/>
              <w:autoSpaceDE/>
              <w:autoSpaceDN/>
              <w:bidi w:val="0"/>
              <w:snapToGrid w:val="0"/>
              <w:spacing w:beforeLines="0" w:afterLines="0" w:line="360" w:lineRule="atLeast"/>
              <w:ind w:firstLine="198" w:firstLineChars="100"/>
              <w:jc w:val="both"/>
              <w:textAlignment w:val="auto"/>
              <mc:AlternateContent>
                <mc:Choice Requires="wpsCustomData">
                  <wpsCustomData:diagonalParaType/>
                </mc:Choice>
              </mc:AlternateContent>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分类</w:t>
            </w:r>
          </w:p>
          <w:p>
            <w:pPr>
              <w:pStyle w:val="30"/>
              <w:keepNext w:val="0"/>
              <w:keepLines w:val="0"/>
              <w:pageBreakBefore w:val="0"/>
              <w:widowControl w:val="0"/>
              <w:kinsoku/>
              <w:wordWrap/>
              <w:overflowPunct/>
              <w:topLinePunct w:val="0"/>
              <w:autoSpaceDE/>
              <w:autoSpaceDN/>
              <w:bidi w:val="0"/>
              <w:spacing w:beforeLines="0" w:afterLines="0" w:line="360" w:lineRule="atLeast"/>
              <w:ind w:firstLine="198" w:firstLineChars="100"/>
              <w:jc w:val="both"/>
              <w:textAlignment w:val="auto"/>
              <w:rPr>
                <w:rFonts w:hint="default" w:ascii="Times New Roman" w:hAnsi="Times New Roman" w:eastAsia="宋体" w:cs="Times New Roman"/>
                <w:snapToGrid w:val="0"/>
                <w:color w:val="auto"/>
                <w:spacing w:val="-6"/>
                <w:kern w:val="21"/>
                <w:sz w:val="21"/>
                <w:szCs w:val="21"/>
                <w:lang w:eastAsia="zh-CN"/>
              </w:rPr>
            </w:pPr>
            <w:r>
              <w:rPr>
                <w:rFonts w:hint="default" w:ascii="Times New Roman" w:hAnsi="Times New Roman" w:eastAsia="宋体" w:cs="Times New Roman"/>
                <w:snapToGrid w:val="0"/>
                <w:color w:val="auto"/>
                <w:spacing w:val="-6"/>
                <w:kern w:val="21"/>
                <w:sz w:val="21"/>
                <w:szCs w:val="21"/>
                <w:lang w:eastAsia="zh-CN"/>
              </w:rPr>
              <w:t>项目</w:t>
            </w:r>
          </w:p>
        </w:tc>
        <w:tc>
          <w:tcPr>
            <w:tcW w:w="2194" w:type="dxa"/>
            <w:tcBorders>
              <w:tl2br w:val="nil"/>
              <w:tr2bl w:val="nil"/>
            </w:tcBorders>
            <w:noWrap w:val="0"/>
            <w:tcMar>
              <w:left w:w="28" w:type="dxa"/>
              <w:right w:w="28" w:type="dxa"/>
            </w:tcMar>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污染物名称</w:t>
            </w:r>
          </w:p>
        </w:tc>
        <w:tc>
          <w:tcPr>
            <w:tcW w:w="1393" w:type="dxa"/>
            <w:tcBorders>
              <w:tl2br w:val="nil"/>
              <w:tr2bl w:val="nil"/>
            </w:tcBorders>
            <w:noWrap w:val="0"/>
            <w:tcMar>
              <w:left w:w="28" w:type="dxa"/>
              <w:right w:w="28" w:type="dxa"/>
            </w:tcMar>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现有工程</w:t>
            </w:r>
          </w:p>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排放量（固体废物产生量）</w:t>
            </w: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1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color w:val="auto"/>
                <w:kern w:val="2"/>
                <w:sz w:val="21"/>
                <w:szCs w:val="21"/>
              </w:rPr>
              <w:t>①</w:t>
            </w:r>
            <w:r>
              <w:rPr>
                <w:rFonts w:hint="default" w:ascii="Times New Roman" w:hAnsi="Times New Roman" w:eastAsia="宋体" w:cs="Times New Roman"/>
                <w:snapToGrid w:val="0"/>
                <w:color w:val="auto"/>
                <w:spacing w:val="-6"/>
                <w:kern w:val="21"/>
                <w:sz w:val="21"/>
                <w:szCs w:val="21"/>
              </w:rPr>
              <w:fldChar w:fldCharType="end"/>
            </w:r>
          </w:p>
        </w:tc>
        <w:tc>
          <w:tcPr>
            <w:tcW w:w="1312" w:type="dxa"/>
            <w:tcBorders>
              <w:tl2br w:val="nil"/>
              <w:tr2bl w:val="nil"/>
            </w:tcBorders>
            <w:noWrap w:val="0"/>
            <w:tcMar>
              <w:left w:w="28" w:type="dxa"/>
              <w:right w:w="28" w:type="dxa"/>
            </w:tcMar>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现有工程</w:t>
            </w:r>
          </w:p>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许可排放量</w:t>
            </w:r>
          </w:p>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2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snapToGrid w:val="0"/>
                <w:color w:val="auto"/>
                <w:spacing w:val="-6"/>
                <w:kern w:val="21"/>
                <w:sz w:val="21"/>
                <w:szCs w:val="21"/>
              </w:rPr>
              <w:t>②</w:t>
            </w:r>
            <w:r>
              <w:rPr>
                <w:rFonts w:hint="default" w:ascii="Times New Roman" w:hAnsi="Times New Roman" w:eastAsia="宋体" w:cs="Times New Roman"/>
                <w:snapToGrid w:val="0"/>
                <w:color w:val="auto"/>
                <w:spacing w:val="-6"/>
                <w:kern w:val="21"/>
                <w:sz w:val="21"/>
                <w:szCs w:val="21"/>
              </w:rPr>
              <w:fldChar w:fldCharType="end"/>
            </w:r>
          </w:p>
        </w:tc>
        <w:tc>
          <w:tcPr>
            <w:tcW w:w="1748" w:type="dxa"/>
            <w:tcBorders>
              <w:tl2br w:val="nil"/>
              <w:tr2bl w:val="nil"/>
            </w:tcBorders>
            <w:noWrap w:val="0"/>
            <w:tcMar>
              <w:left w:w="28" w:type="dxa"/>
              <w:right w:w="28" w:type="dxa"/>
            </w:tcMar>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在建工程</w:t>
            </w:r>
          </w:p>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排放量（固体废物产生量）</w:t>
            </w: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3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color w:val="auto"/>
                <w:kern w:val="2"/>
                <w:sz w:val="21"/>
                <w:szCs w:val="21"/>
              </w:rPr>
              <w:t>③</w:t>
            </w:r>
            <w:r>
              <w:rPr>
                <w:rFonts w:hint="default" w:ascii="Times New Roman" w:hAnsi="Times New Roman" w:eastAsia="宋体" w:cs="Times New Roman"/>
                <w:snapToGrid w:val="0"/>
                <w:color w:val="auto"/>
                <w:spacing w:val="-6"/>
                <w:kern w:val="21"/>
                <w:sz w:val="21"/>
                <w:szCs w:val="21"/>
              </w:rPr>
              <w:fldChar w:fldCharType="end"/>
            </w:r>
          </w:p>
        </w:tc>
        <w:tc>
          <w:tcPr>
            <w:tcW w:w="1603" w:type="dxa"/>
            <w:tcBorders>
              <w:tl2br w:val="nil"/>
              <w:tr2bl w:val="nil"/>
            </w:tcBorders>
            <w:noWrap w:val="0"/>
            <w:tcMar>
              <w:left w:w="28" w:type="dxa"/>
              <w:right w:w="28" w:type="dxa"/>
            </w:tcMar>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本项目</w:t>
            </w:r>
          </w:p>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排放量（固体废物产生量）</w:t>
            </w: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4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color w:val="auto"/>
                <w:kern w:val="2"/>
                <w:sz w:val="21"/>
                <w:szCs w:val="21"/>
              </w:rPr>
              <w:t>④</w:t>
            </w:r>
            <w:r>
              <w:rPr>
                <w:rFonts w:hint="default" w:ascii="Times New Roman" w:hAnsi="Times New Roman" w:eastAsia="宋体" w:cs="Times New Roman"/>
                <w:snapToGrid w:val="0"/>
                <w:color w:val="auto"/>
                <w:spacing w:val="-6"/>
                <w:kern w:val="21"/>
                <w:sz w:val="21"/>
                <w:szCs w:val="21"/>
              </w:rPr>
              <w:fldChar w:fldCharType="end"/>
            </w:r>
          </w:p>
        </w:tc>
        <w:tc>
          <w:tcPr>
            <w:tcW w:w="1810" w:type="dxa"/>
            <w:tcBorders>
              <w:tl2br w:val="nil"/>
              <w:tr2bl w:val="nil"/>
            </w:tcBorders>
            <w:noWrap w:val="0"/>
            <w:tcMar>
              <w:left w:w="28" w:type="dxa"/>
              <w:right w:w="28" w:type="dxa"/>
            </w:tcMar>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spacing w:val="-16"/>
                <w:kern w:val="21"/>
                <w:sz w:val="21"/>
                <w:szCs w:val="21"/>
              </w:rPr>
            </w:pPr>
            <w:r>
              <w:rPr>
                <w:rFonts w:hint="default" w:ascii="Times New Roman" w:hAnsi="Times New Roman" w:eastAsia="宋体" w:cs="Times New Roman"/>
                <w:snapToGrid w:val="0"/>
                <w:color w:val="auto"/>
                <w:spacing w:val="-16"/>
                <w:kern w:val="21"/>
                <w:sz w:val="21"/>
                <w:szCs w:val="21"/>
              </w:rPr>
              <w:t>以新带老削减量</w:t>
            </w:r>
          </w:p>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spacing w:val="-16"/>
                <w:kern w:val="21"/>
                <w:sz w:val="21"/>
                <w:szCs w:val="21"/>
              </w:rPr>
            </w:pPr>
            <w:r>
              <w:rPr>
                <w:rFonts w:hint="default" w:ascii="Times New Roman" w:hAnsi="Times New Roman" w:eastAsia="宋体" w:cs="Times New Roman"/>
                <w:snapToGrid w:val="0"/>
                <w:color w:val="auto"/>
                <w:spacing w:val="-16"/>
                <w:kern w:val="21"/>
                <w:sz w:val="21"/>
                <w:szCs w:val="21"/>
              </w:rPr>
              <w:t>（新建项目不填）</w:t>
            </w:r>
            <w:r>
              <w:rPr>
                <w:rFonts w:hint="default" w:ascii="Times New Roman" w:hAnsi="Times New Roman" w:eastAsia="宋体" w:cs="Times New Roman"/>
                <w:snapToGrid w:val="0"/>
                <w:color w:val="auto"/>
                <w:spacing w:val="-16"/>
                <w:kern w:val="21"/>
                <w:sz w:val="21"/>
                <w:szCs w:val="21"/>
              </w:rPr>
              <w:fldChar w:fldCharType="begin"/>
            </w:r>
            <w:r>
              <w:rPr>
                <w:rFonts w:hint="default" w:ascii="Times New Roman" w:hAnsi="Times New Roman" w:eastAsia="宋体" w:cs="Times New Roman"/>
                <w:snapToGrid w:val="0"/>
                <w:color w:val="auto"/>
                <w:spacing w:val="-16"/>
                <w:kern w:val="21"/>
                <w:sz w:val="21"/>
                <w:szCs w:val="21"/>
              </w:rPr>
              <w:instrText xml:space="preserve"> = 5 \* GB3 \* MERGEFORMAT </w:instrText>
            </w:r>
            <w:r>
              <w:rPr>
                <w:rFonts w:hint="default" w:ascii="Times New Roman" w:hAnsi="Times New Roman" w:eastAsia="宋体" w:cs="Times New Roman"/>
                <w:snapToGrid w:val="0"/>
                <w:color w:val="auto"/>
                <w:spacing w:val="-16"/>
                <w:kern w:val="21"/>
                <w:sz w:val="21"/>
                <w:szCs w:val="21"/>
              </w:rPr>
              <w:fldChar w:fldCharType="separate"/>
            </w:r>
            <w:r>
              <w:rPr>
                <w:rFonts w:hint="default" w:ascii="Times New Roman" w:hAnsi="Times New Roman" w:eastAsia="宋体" w:cs="Times New Roman"/>
                <w:color w:val="auto"/>
                <w:kern w:val="2"/>
                <w:sz w:val="21"/>
                <w:szCs w:val="21"/>
              </w:rPr>
              <w:t>⑤</w:t>
            </w:r>
            <w:r>
              <w:rPr>
                <w:rFonts w:hint="default" w:ascii="Times New Roman" w:hAnsi="Times New Roman" w:eastAsia="宋体" w:cs="Times New Roman"/>
                <w:snapToGrid w:val="0"/>
                <w:color w:val="auto"/>
                <w:spacing w:val="-16"/>
                <w:kern w:val="21"/>
                <w:sz w:val="21"/>
                <w:szCs w:val="21"/>
              </w:rPr>
              <w:fldChar w:fldCharType="end"/>
            </w:r>
          </w:p>
        </w:tc>
        <w:tc>
          <w:tcPr>
            <w:tcW w:w="1684" w:type="dxa"/>
            <w:tcBorders>
              <w:tl2br w:val="nil"/>
              <w:tr2bl w:val="nil"/>
            </w:tcBorders>
            <w:noWrap w:val="0"/>
            <w:tcMar>
              <w:left w:w="28" w:type="dxa"/>
              <w:right w:w="28" w:type="dxa"/>
            </w:tcMar>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spacing w:val="-16"/>
                <w:kern w:val="21"/>
                <w:sz w:val="21"/>
                <w:szCs w:val="21"/>
              </w:rPr>
            </w:pPr>
            <w:r>
              <w:rPr>
                <w:rFonts w:hint="default" w:ascii="Times New Roman" w:hAnsi="Times New Roman" w:eastAsia="宋体" w:cs="Times New Roman"/>
                <w:snapToGrid w:val="0"/>
                <w:color w:val="auto"/>
                <w:spacing w:val="-16"/>
                <w:kern w:val="21"/>
                <w:sz w:val="21"/>
                <w:szCs w:val="21"/>
              </w:rPr>
              <w:t>本项目建成后</w:t>
            </w:r>
          </w:p>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spacing w:val="-16"/>
                <w:kern w:val="21"/>
                <w:sz w:val="21"/>
                <w:szCs w:val="21"/>
              </w:rPr>
            </w:pPr>
            <w:r>
              <w:rPr>
                <w:rFonts w:hint="default" w:ascii="Times New Roman" w:hAnsi="Times New Roman" w:eastAsia="宋体" w:cs="Times New Roman"/>
                <w:snapToGrid w:val="0"/>
                <w:color w:val="auto"/>
                <w:spacing w:val="-16"/>
                <w:kern w:val="21"/>
                <w:sz w:val="21"/>
                <w:szCs w:val="21"/>
              </w:rPr>
              <w:t>全厂排放量（固体废物产生量）</w:t>
            </w:r>
            <w:r>
              <w:rPr>
                <w:rFonts w:hint="default" w:ascii="Times New Roman" w:hAnsi="Times New Roman" w:eastAsia="宋体" w:cs="Times New Roman"/>
                <w:snapToGrid w:val="0"/>
                <w:color w:val="auto"/>
                <w:spacing w:val="-16"/>
                <w:kern w:val="21"/>
                <w:sz w:val="21"/>
                <w:szCs w:val="21"/>
              </w:rPr>
              <w:fldChar w:fldCharType="begin"/>
            </w:r>
            <w:r>
              <w:rPr>
                <w:rFonts w:hint="default" w:ascii="Times New Roman" w:hAnsi="Times New Roman" w:eastAsia="宋体" w:cs="Times New Roman"/>
                <w:snapToGrid w:val="0"/>
                <w:color w:val="auto"/>
                <w:spacing w:val="-16"/>
                <w:kern w:val="21"/>
                <w:sz w:val="21"/>
                <w:szCs w:val="21"/>
              </w:rPr>
              <w:instrText xml:space="preserve"> = 6 \* GB3 \* MERGEFORMAT </w:instrText>
            </w:r>
            <w:r>
              <w:rPr>
                <w:rFonts w:hint="default" w:ascii="Times New Roman" w:hAnsi="Times New Roman" w:eastAsia="宋体" w:cs="Times New Roman"/>
                <w:snapToGrid w:val="0"/>
                <w:color w:val="auto"/>
                <w:spacing w:val="-16"/>
                <w:kern w:val="21"/>
                <w:sz w:val="21"/>
                <w:szCs w:val="21"/>
              </w:rPr>
              <w:fldChar w:fldCharType="separate"/>
            </w:r>
            <w:r>
              <w:rPr>
                <w:rFonts w:hint="default" w:ascii="Times New Roman" w:hAnsi="Times New Roman" w:eastAsia="宋体" w:cs="Times New Roman"/>
                <w:color w:val="auto"/>
                <w:kern w:val="2"/>
                <w:sz w:val="21"/>
                <w:szCs w:val="21"/>
              </w:rPr>
              <w:t>⑥</w:t>
            </w:r>
            <w:r>
              <w:rPr>
                <w:rFonts w:hint="default" w:ascii="Times New Roman" w:hAnsi="Times New Roman" w:eastAsia="宋体" w:cs="Times New Roman"/>
                <w:snapToGrid w:val="0"/>
                <w:color w:val="auto"/>
                <w:spacing w:val="-16"/>
                <w:kern w:val="21"/>
                <w:sz w:val="21"/>
                <w:szCs w:val="21"/>
              </w:rPr>
              <w:fldChar w:fldCharType="end"/>
            </w:r>
          </w:p>
        </w:tc>
        <w:tc>
          <w:tcPr>
            <w:tcW w:w="1179" w:type="dxa"/>
            <w:tcBorders>
              <w:tl2br w:val="nil"/>
              <w:tr2bl w:val="nil"/>
            </w:tcBorders>
            <w:noWrap w:val="0"/>
            <w:tcMar>
              <w:left w:w="28" w:type="dxa"/>
              <w:right w:w="28" w:type="dxa"/>
            </w:tcMar>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变化量</w:t>
            </w:r>
          </w:p>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7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color w:val="auto"/>
                <w:kern w:val="2"/>
                <w:sz w:val="21"/>
                <w:szCs w:val="21"/>
              </w:rPr>
              <w:t>⑦</w:t>
            </w:r>
            <w:r>
              <w:rPr>
                <w:rFonts w:hint="default" w:ascii="Times New Roman" w:hAnsi="Times New Roman" w:eastAsia="宋体" w:cs="Times New Roman"/>
                <w:snapToGrid w:val="0"/>
                <w:color w:val="auto"/>
                <w:spacing w:val="-6"/>
                <w:kern w:val="21"/>
                <w:sz w:val="21"/>
                <w:szCs w:val="21"/>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50" w:type="dxa"/>
            <w:vMerge w:val="restar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废气</w:t>
            </w:r>
          </w:p>
        </w:tc>
        <w:tc>
          <w:tcPr>
            <w:tcW w:w="219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颗粒物</w:t>
            </w:r>
          </w:p>
        </w:tc>
        <w:tc>
          <w:tcPr>
            <w:tcW w:w="1393"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0000FF"/>
                <w:kern w:val="21"/>
                <w:sz w:val="21"/>
                <w:szCs w:val="21"/>
                <w:lang w:val="en-US" w:eastAsia="zh-CN"/>
              </w:rPr>
            </w:pPr>
            <w:r>
              <w:rPr>
                <w:rFonts w:hint="default" w:ascii="Times New Roman" w:hAnsi="Times New Roman" w:eastAsia="宋体" w:cs="Times New Roman"/>
                <w:snapToGrid w:val="0"/>
                <w:color w:val="0000FF"/>
                <w:kern w:val="21"/>
                <w:sz w:val="21"/>
                <w:szCs w:val="21"/>
                <w:lang w:val="en-US" w:eastAsia="zh-CN"/>
              </w:rPr>
              <w:t>0</w:t>
            </w:r>
            <w:r>
              <w:rPr>
                <w:rFonts w:hint="eastAsia" w:ascii="Times New Roman" w:cs="Times New Roman"/>
                <w:snapToGrid w:val="0"/>
                <w:color w:val="0000FF"/>
                <w:kern w:val="21"/>
                <w:sz w:val="21"/>
                <w:szCs w:val="21"/>
                <w:lang w:val="en-US" w:eastAsia="zh-CN"/>
              </w:rPr>
              <w:t>.037</w:t>
            </w:r>
            <w:r>
              <w:rPr>
                <w:rFonts w:hint="default" w:ascii="Times New Roman" w:hAnsi="Times New Roman" w:eastAsia="宋体" w:cs="Times New Roman"/>
                <w:b w:val="0"/>
                <w:bCs w:val="0"/>
                <w:color w:val="0000FF"/>
                <w:sz w:val="21"/>
                <w:szCs w:val="21"/>
                <w:vertAlign w:val="baseline"/>
                <w:lang w:val="en-US" w:eastAsia="zh-CN"/>
              </w:rPr>
              <w:t>t/a</w:t>
            </w:r>
          </w:p>
        </w:tc>
        <w:tc>
          <w:tcPr>
            <w:tcW w:w="1312"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0</w:t>
            </w:r>
          </w:p>
        </w:tc>
        <w:tc>
          <w:tcPr>
            <w:tcW w:w="1748"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0</w:t>
            </w:r>
          </w:p>
        </w:tc>
        <w:tc>
          <w:tcPr>
            <w:tcW w:w="1603"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1.35t/a</w:t>
            </w:r>
          </w:p>
        </w:tc>
        <w:tc>
          <w:tcPr>
            <w:tcW w:w="181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0</w:t>
            </w:r>
          </w:p>
        </w:tc>
        <w:tc>
          <w:tcPr>
            <w:tcW w:w="168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cs="Times New Roman"/>
                <w:b w:val="0"/>
                <w:bCs w:val="0"/>
                <w:color w:val="0000FF"/>
                <w:sz w:val="21"/>
                <w:szCs w:val="21"/>
                <w:vertAlign w:val="baseline"/>
                <w:lang w:val="en-US" w:eastAsia="zh-CN"/>
              </w:rPr>
              <w:t>1.387</w:t>
            </w:r>
            <w:r>
              <w:rPr>
                <w:rFonts w:hint="default" w:ascii="Times New Roman" w:hAnsi="Times New Roman" w:eastAsia="宋体" w:cs="Times New Roman"/>
                <w:b w:val="0"/>
                <w:bCs w:val="0"/>
                <w:color w:val="0000FF"/>
                <w:sz w:val="21"/>
                <w:szCs w:val="21"/>
                <w:vertAlign w:val="baseline"/>
                <w:lang w:val="en-US" w:eastAsia="zh-CN"/>
              </w:rPr>
              <w:t>/a</w:t>
            </w:r>
          </w:p>
        </w:tc>
        <w:tc>
          <w:tcPr>
            <w:tcW w:w="1179"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+1.35t/a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50"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kern w:val="21"/>
                <w:sz w:val="21"/>
                <w:szCs w:val="21"/>
              </w:rPr>
            </w:pPr>
          </w:p>
        </w:tc>
        <w:tc>
          <w:tcPr>
            <w:tcW w:w="219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b w:val="0"/>
                <w:bCs w:val="0"/>
                <w:color w:val="auto"/>
                <w:sz w:val="21"/>
                <w:szCs w:val="21"/>
                <w:lang w:val="en-US" w:eastAsia="zh-CN"/>
              </w:rPr>
              <w:t>SO</w:t>
            </w:r>
            <w:r>
              <w:rPr>
                <w:rFonts w:hint="default" w:ascii="Times New Roman" w:hAnsi="Times New Roman" w:eastAsia="宋体" w:cs="Times New Roman"/>
                <w:b w:val="0"/>
                <w:bCs w:val="0"/>
                <w:color w:val="auto"/>
                <w:sz w:val="21"/>
                <w:szCs w:val="21"/>
                <w:vertAlign w:val="subscript"/>
                <w:lang w:val="en-US" w:eastAsia="zh-CN"/>
              </w:rPr>
              <w:t>2</w:t>
            </w:r>
          </w:p>
        </w:tc>
        <w:tc>
          <w:tcPr>
            <w:tcW w:w="13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0000FF"/>
                <w:kern w:val="21"/>
                <w:sz w:val="21"/>
                <w:szCs w:val="21"/>
                <w:lang w:val="en-US" w:eastAsia="zh-CN"/>
              </w:rPr>
            </w:pPr>
            <w:r>
              <w:rPr>
                <w:rFonts w:hint="eastAsia" w:cs="Times New Roman"/>
                <w:snapToGrid w:val="0"/>
                <w:color w:val="0000FF"/>
                <w:kern w:val="21"/>
                <w:sz w:val="21"/>
                <w:szCs w:val="21"/>
                <w:lang w:val="en-US" w:eastAsia="zh-CN"/>
              </w:rPr>
              <w:t>0</w:t>
            </w:r>
          </w:p>
        </w:tc>
        <w:tc>
          <w:tcPr>
            <w:tcW w:w="13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0</w:t>
            </w:r>
          </w:p>
        </w:tc>
        <w:tc>
          <w:tcPr>
            <w:tcW w:w="17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lang w:val="en-US" w:eastAsia="zh-CN"/>
              </w:rPr>
              <w:t>0</w:t>
            </w:r>
          </w:p>
        </w:tc>
        <w:tc>
          <w:tcPr>
            <w:tcW w:w="1603"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2.60t/a</w:t>
            </w:r>
          </w:p>
        </w:tc>
        <w:tc>
          <w:tcPr>
            <w:tcW w:w="18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lang w:val="en-US" w:eastAsia="zh-CN"/>
              </w:rPr>
              <w:t>0</w:t>
            </w:r>
          </w:p>
        </w:tc>
        <w:tc>
          <w:tcPr>
            <w:tcW w:w="168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cs="Times New Roman"/>
                <w:b w:val="0"/>
                <w:bCs w:val="0"/>
                <w:color w:val="0000FF"/>
                <w:sz w:val="21"/>
                <w:szCs w:val="21"/>
                <w:vertAlign w:val="baseline"/>
                <w:lang w:val="en-US" w:eastAsia="zh-CN"/>
              </w:rPr>
              <w:t>2.60</w:t>
            </w:r>
            <w:r>
              <w:rPr>
                <w:rFonts w:hint="default" w:ascii="Times New Roman" w:hAnsi="Times New Roman" w:eastAsia="宋体" w:cs="Times New Roman"/>
                <w:b w:val="0"/>
                <w:bCs w:val="0"/>
                <w:color w:val="0000FF"/>
                <w:sz w:val="21"/>
                <w:szCs w:val="21"/>
                <w:vertAlign w:val="baseline"/>
                <w:lang w:val="en-US" w:eastAsia="zh-CN"/>
              </w:rPr>
              <w:t>t/a</w:t>
            </w:r>
          </w:p>
        </w:tc>
        <w:tc>
          <w:tcPr>
            <w:tcW w:w="1179"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+2.60t/a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50"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kern w:val="21"/>
                <w:sz w:val="21"/>
                <w:szCs w:val="21"/>
              </w:rPr>
            </w:pPr>
          </w:p>
        </w:tc>
        <w:tc>
          <w:tcPr>
            <w:tcW w:w="219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b w:val="0"/>
                <w:bCs w:val="0"/>
                <w:color w:val="auto"/>
                <w:sz w:val="21"/>
                <w:szCs w:val="21"/>
                <w:lang w:val="en-US" w:eastAsia="zh-CN"/>
              </w:rPr>
              <w:t>NO</w:t>
            </w:r>
            <w:r>
              <w:rPr>
                <w:rFonts w:hint="default" w:ascii="Times New Roman" w:hAnsi="Times New Roman" w:eastAsia="宋体" w:cs="Times New Roman"/>
                <w:b w:val="0"/>
                <w:bCs w:val="0"/>
                <w:color w:val="auto"/>
                <w:sz w:val="21"/>
                <w:szCs w:val="21"/>
                <w:vertAlign w:val="subscript"/>
                <w:lang w:val="en-US" w:eastAsia="zh-CN"/>
              </w:rPr>
              <w:t>X</w:t>
            </w:r>
          </w:p>
        </w:tc>
        <w:tc>
          <w:tcPr>
            <w:tcW w:w="13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0000FF"/>
                <w:kern w:val="21"/>
                <w:sz w:val="21"/>
                <w:szCs w:val="21"/>
                <w:lang w:val="en-US" w:eastAsia="zh-CN"/>
              </w:rPr>
            </w:pPr>
            <w:r>
              <w:rPr>
                <w:rFonts w:hint="eastAsia" w:cs="Times New Roman"/>
                <w:snapToGrid w:val="0"/>
                <w:color w:val="0000FF"/>
                <w:kern w:val="21"/>
                <w:sz w:val="21"/>
                <w:szCs w:val="21"/>
                <w:lang w:val="en-US" w:eastAsia="zh-CN"/>
              </w:rPr>
              <w:t>0</w:t>
            </w:r>
          </w:p>
        </w:tc>
        <w:tc>
          <w:tcPr>
            <w:tcW w:w="13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0</w:t>
            </w:r>
          </w:p>
        </w:tc>
        <w:tc>
          <w:tcPr>
            <w:tcW w:w="17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lang w:val="en-US" w:eastAsia="zh-CN"/>
              </w:rPr>
              <w:t>0</w:t>
            </w:r>
          </w:p>
        </w:tc>
        <w:tc>
          <w:tcPr>
            <w:tcW w:w="1603"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cs="Times New Roman"/>
                <w:b w:val="0"/>
                <w:bCs w:val="0"/>
                <w:color w:val="auto"/>
                <w:sz w:val="21"/>
                <w:szCs w:val="21"/>
                <w:vertAlign w:val="baseline"/>
                <w:lang w:val="en-US" w:eastAsia="zh-CN"/>
              </w:rPr>
              <w:t>3.94</w:t>
            </w:r>
            <w:r>
              <w:rPr>
                <w:rFonts w:hint="default" w:ascii="Times New Roman" w:hAnsi="Times New Roman" w:eastAsia="宋体" w:cs="Times New Roman"/>
                <w:b w:val="0"/>
                <w:bCs w:val="0"/>
                <w:color w:val="auto"/>
                <w:sz w:val="21"/>
                <w:szCs w:val="21"/>
                <w:vertAlign w:val="baseline"/>
                <w:lang w:val="en-US" w:eastAsia="zh-CN"/>
              </w:rPr>
              <w:t>t/a</w:t>
            </w:r>
          </w:p>
        </w:tc>
        <w:tc>
          <w:tcPr>
            <w:tcW w:w="18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lang w:val="en-US" w:eastAsia="zh-CN"/>
              </w:rPr>
              <w:t>0</w:t>
            </w:r>
          </w:p>
        </w:tc>
        <w:tc>
          <w:tcPr>
            <w:tcW w:w="1684"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0000FF"/>
                <w:kern w:val="0"/>
                <w:sz w:val="21"/>
                <w:szCs w:val="21"/>
                <w:vertAlign w:val="baseline"/>
                <w:lang w:val="en-US" w:eastAsia="zh-CN" w:bidi="ar-SA"/>
              </w:rPr>
            </w:pPr>
            <w:r>
              <w:rPr>
                <w:rFonts w:hint="eastAsia" w:cs="Times New Roman"/>
                <w:b w:val="0"/>
                <w:bCs w:val="0"/>
                <w:color w:val="0000FF"/>
                <w:sz w:val="21"/>
                <w:szCs w:val="21"/>
                <w:vertAlign w:val="baseline"/>
                <w:lang w:val="en-US" w:eastAsia="zh-CN"/>
              </w:rPr>
              <w:t>3.94</w:t>
            </w:r>
            <w:r>
              <w:rPr>
                <w:rFonts w:hint="default" w:ascii="Times New Roman" w:hAnsi="Times New Roman" w:eastAsia="宋体" w:cs="Times New Roman"/>
                <w:b w:val="0"/>
                <w:bCs w:val="0"/>
                <w:color w:val="0000FF"/>
                <w:sz w:val="21"/>
                <w:szCs w:val="21"/>
                <w:vertAlign w:val="baseline"/>
                <w:lang w:val="en-US" w:eastAsia="zh-CN"/>
              </w:rPr>
              <w:t>/a</w:t>
            </w:r>
          </w:p>
        </w:tc>
        <w:tc>
          <w:tcPr>
            <w:tcW w:w="1179"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360" w:lineRule="atLeast"/>
              <w:ind w:left="0" w:leftChars="0" w:firstLine="0" w:firstLineChars="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w:t>
            </w:r>
            <w:r>
              <w:rPr>
                <w:rFonts w:hint="eastAsia" w:cs="Times New Roman"/>
                <w:b w:val="0"/>
                <w:bCs w:val="0"/>
                <w:color w:val="auto"/>
                <w:sz w:val="21"/>
                <w:szCs w:val="21"/>
                <w:vertAlign w:val="baseline"/>
                <w:lang w:val="en-US" w:eastAsia="zh-CN"/>
              </w:rPr>
              <w:t>3.94</w:t>
            </w:r>
            <w:r>
              <w:rPr>
                <w:rFonts w:hint="default" w:ascii="Times New Roman" w:hAnsi="Times New Roman" w:eastAsia="宋体" w:cs="Times New Roman"/>
                <w:b w:val="0"/>
                <w:bCs w:val="0"/>
                <w:color w:val="auto"/>
                <w:sz w:val="21"/>
                <w:szCs w:val="21"/>
                <w:vertAlign w:val="baselin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50" w:type="dxa"/>
            <w:vMerge w:val="restar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废水</w:t>
            </w:r>
          </w:p>
        </w:tc>
        <w:tc>
          <w:tcPr>
            <w:tcW w:w="21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COD</w:t>
            </w:r>
          </w:p>
        </w:tc>
        <w:tc>
          <w:tcPr>
            <w:tcW w:w="1393"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0000FF"/>
                <w:kern w:val="21"/>
                <w:sz w:val="21"/>
                <w:szCs w:val="21"/>
                <w:lang w:val="en-US" w:eastAsia="zh-CN"/>
              </w:rPr>
            </w:pPr>
            <w:r>
              <w:rPr>
                <w:rFonts w:hint="eastAsia" w:ascii="Times New Roman" w:cs="Times New Roman"/>
                <w:b w:val="0"/>
                <w:bCs w:val="0"/>
                <w:color w:val="0000FF"/>
                <w:sz w:val="21"/>
                <w:szCs w:val="21"/>
                <w:vertAlign w:val="baseline"/>
                <w:lang w:val="en-US" w:eastAsia="zh-CN"/>
              </w:rPr>
              <w:t>1.793</w:t>
            </w:r>
            <w:r>
              <w:rPr>
                <w:rFonts w:hint="default" w:ascii="Times New Roman" w:hAnsi="Times New Roman" w:eastAsia="宋体" w:cs="Times New Roman"/>
                <w:b w:val="0"/>
                <w:bCs w:val="0"/>
                <w:color w:val="0000FF"/>
                <w:sz w:val="21"/>
                <w:szCs w:val="21"/>
                <w:vertAlign w:val="baseline"/>
                <w:lang w:val="en-US" w:eastAsia="zh-CN"/>
              </w:rPr>
              <w:t>t/a</w:t>
            </w:r>
          </w:p>
        </w:tc>
        <w:tc>
          <w:tcPr>
            <w:tcW w:w="1312"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0</w:t>
            </w:r>
          </w:p>
        </w:tc>
        <w:tc>
          <w:tcPr>
            <w:tcW w:w="1748"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0</w:t>
            </w:r>
          </w:p>
        </w:tc>
        <w:tc>
          <w:tcPr>
            <w:tcW w:w="16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kern w:val="2"/>
                <w:sz w:val="21"/>
                <w:szCs w:val="21"/>
                <w:highlight w:val="none"/>
                <w:vertAlign w:val="baseline"/>
                <w:lang w:val="en-US" w:eastAsia="zh-CN" w:bidi="ar-SA"/>
              </w:rPr>
            </w:pPr>
            <w:r>
              <w:rPr>
                <w:rFonts w:hint="eastAsia" w:cs="Times New Roman"/>
                <w:b w:val="0"/>
                <w:bCs w:val="0"/>
                <w:color w:val="0000FF"/>
                <w:sz w:val="21"/>
                <w:szCs w:val="21"/>
                <w:vertAlign w:val="baseline"/>
                <w:lang w:val="en-US" w:eastAsia="zh-CN"/>
              </w:rPr>
              <w:t>0.626</w:t>
            </w:r>
            <w:r>
              <w:rPr>
                <w:rFonts w:hint="default" w:ascii="Times New Roman" w:hAnsi="Times New Roman" w:eastAsia="宋体" w:cs="Times New Roman"/>
                <w:b w:val="0"/>
                <w:bCs w:val="0"/>
                <w:color w:val="0000FF"/>
                <w:sz w:val="21"/>
                <w:szCs w:val="21"/>
                <w:vertAlign w:val="baseline"/>
                <w:lang w:val="en-US" w:eastAsia="zh-CN"/>
              </w:rPr>
              <w:t>t/a</w:t>
            </w:r>
          </w:p>
        </w:tc>
        <w:tc>
          <w:tcPr>
            <w:tcW w:w="181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highlight w:val="none"/>
                <w:lang w:val="en-US" w:eastAsia="zh-CN"/>
              </w:rPr>
              <w:t>0</w:t>
            </w:r>
          </w:p>
        </w:tc>
        <w:tc>
          <w:tcPr>
            <w:tcW w:w="16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kern w:val="2"/>
                <w:sz w:val="21"/>
                <w:szCs w:val="21"/>
                <w:highlight w:val="none"/>
                <w:vertAlign w:val="baseline"/>
                <w:lang w:val="en-US" w:eastAsia="zh-CN" w:bidi="ar-SA"/>
              </w:rPr>
            </w:pPr>
            <w:r>
              <w:rPr>
                <w:rFonts w:hint="eastAsia" w:cs="Times New Roman"/>
                <w:b w:val="0"/>
                <w:bCs w:val="0"/>
                <w:color w:val="0000FF"/>
                <w:sz w:val="21"/>
                <w:szCs w:val="21"/>
                <w:vertAlign w:val="baseline"/>
                <w:lang w:val="en-US" w:eastAsia="zh-CN"/>
              </w:rPr>
              <w:t>2.419</w:t>
            </w:r>
            <w:r>
              <w:rPr>
                <w:rFonts w:hint="default" w:ascii="Times New Roman" w:hAnsi="Times New Roman" w:eastAsia="宋体" w:cs="Times New Roman"/>
                <w:b w:val="0"/>
                <w:bCs w:val="0"/>
                <w:color w:val="0000FF"/>
                <w:sz w:val="21"/>
                <w:szCs w:val="21"/>
                <w:vertAlign w:val="baseline"/>
                <w:lang w:val="en-US" w:eastAsia="zh-CN"/>
              </w:rPr>
              <w:t>t/a</w:t>
            </w:r>
          </w:p>
        </w:tc>
        <w:tc>
          <w:tcPr>
            <w:tcW w:w="11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kern w:val="2"/>
                <w:sz w:val="21"/>
                <w:szCs w:val="21"/>
                <w:highlight w:val="none"/>
                <w:vertAlign w:val="baseline"/>
                <w:lang w:val="en-US" w:eastAsia="zh-CN" w:bidi="ar-SA"/>
              </w:rPr>
            </w:pPr>
            <w:r>
              <w:rPr>
                <w:rFonts w:hint="eastAsia" w:cs="Times New Roman"/>
                <w:b w:val="0"/>
                <w:bCs w:val="0"/>
                <w:color w:val="0000FF"/>
                <w:sz w:val="21"/>
                <w:szCs w:val="21"/>
                <w:vertAlign w:val="baseline"/>
                <w:lang w:val="en-US" w:eastAsia="zh-CN"/>
              </w:rPr>
              <w:t>+0.626</w:t>
            </w:r>
            <w:r>
              <w:rPr>
                <w:rFonts w:hint="default" w:ascii="Times New Roman" w:hAnsi="Times New Roman" w:eastAsia="宋体" w:cs="Times New Roman"/>
                <w:b w:val="0"/>
                <w:bCs w:val="0"/>
                <w:color w:val="0000FF"/>
                <w:sz w:val="21"/>
                <w:szCs w:val="21"/>
                <w:vertAlign w:val="baselin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50"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kern w:val="21"/>
                <w:sz w:val="21"/>
                <w:szCs w:val="21"/>
              </w:rPr>
            </w:pPr>
          </w:p>
        </w:tc>
        <w:tc>
          <w:tcPr>
            <w:tcW w:w="21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氨氮</w:t>
            </w:r>
          </w:p>
        </w:tc>
        <w:tc>
          <w:tcPr>
            <w:tcW w:w="13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0000FF"/>
                <w:kern w:val="21"/>
                <w:sz w:val="21"/>
                <w:szCs w:val="21"/>
                <w:lang w:val="en-US" w:eastAsia="zh-CN"/>
              </w:rPr>
            </w:pPr>
            <w:r>
              <w:rPr>
                <w:rFonts w:hint="eastAsia" w:cs="Times New Roman"/>
                <w:b w:val="0"/>
                <w:bCs w:val="0"/>
                <w:color w:val="0000FF"/>
                <w:sz w:val="21"/>
                <w:szCs w:val="21"/>
                <w:vertAlign w:val="baseline"/>
                <w:lang w:val="en-US" w:eastAsia="zh-CN"/>
              </w:rPr>
              <w:t>0.171</w:t>
            </w:r>
            <w:r>
              <w:rPr>
                <w:rFonts w:hint="default" w:ascii="Times New Roman" w:hAnsi="Times New Roman" w:eastAsia="宋体" w:cs="Times New Roman"/>
                <w:b w:val="0"/>
                <w:bCs w:val="0"/>
                <w:color w:val="0000FF"/>
                <w:sz w:val="21"/>
                <w:szCs w:val="21"/>
                <w:vertAlign w:val="baseline"/>
                <w:lang w:val="en-US" w:eastAsia="zh-CN"/>
              </w:rPr>
              <w:t>t/a</w:t>
            </w:r>
          </w:p>
        </w:tc>
        <w:tc>
          <w:tcPr>
            <w:tcW w:w="13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0</w:t>
            </w:r>
          </w:p>
        </w:tc>
        <w:tc>
          <w:tcPr>
            <w:tcW w:w="17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lang w:val="en-US" w:eastAsia="zh-CN"/>
              </w:rPr>
              <w:t>0</w:t>
            </w:r>
          </w:p>
        </w:tc>
        <w:tc>
          <w:tcPr>
            <w:tcW w:w="16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kern w:val="2"/>
                <w:sz w:val="21"/>
                <w:szCs w:val="21"/>
                <w:highlight w:val="none"/>
                <w:vertAlign w:val="baseline"/>
                <w:lang w:val="en-US" w:eastAsia="zh-CN" w:bidi="ar-SA"/>
              </w:rPr>
            </w:pPr>
            <w:r>
              <w:rPr>
                <w:rFonts w:hint="eastAsia" w:cs="Times New Roman"/>
                <w:color w:val="0000FF"/>
                <w:sz w:val="21"/>
                <w:szCs w:val="21"/>
                <w:highlight w:val="none"/>
                <w:vertAlign w:val="baseline"/>
                <w:lang w:val="en-US" w:eastAsia="zh-CN"/>
              </w:rPr>
              <w:t>0.085</w:t>
            </w:r>
            <w:r>
              <w:rPr>
                <w:rFonts w:hint="default" w:ascii="Times New Roman" w:hAnsi="Times New Roman" w:eastAsia="宋体" w:cs="Times New Roman"/>
                <w:b w:val="0"/>
                <w:bCs w:val="0"/>
                <w:color w:val="0000FF"/>
                <w:sz w:val="21"/>
                <w:szCs w:val="21"/>
                <w:vertAlign w:val="baseline"/>
                <w:lang w:val="en-US" w:eastAsia="zh-CN"/>
              </w:rPr>
              <w:t>t/a</w:t>
            </w:r>
          </w:p>
        </w:tc>
        <w:tc>
          <w:tcPr>
            <w:tcW w:w="18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lang w:val="en-US" w:eastAsia="zh-CN"/>
              </w:rPr>
              <w:t>0</w:t>
            </w:r>
          </w:p>
        </w:tc>
        <w:tc>
          <w:tcPr>
            <w:tcW w:w="16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kern w:val="2"/>
                <w:sz w:val="21"/>
                <w:szCs w:val="21"/>
                <w:highlight w:val="none"/>
                <w:vertAlign w:val="baseline"/>
                <w:lang w:val="en-US" w:eastAsia="zh-CN" w:bidi="ar-SA"/>
              </w:rPr>
            </w:pPr>
            <w:r>
              <w:rPr>
                <w:rFonts w:hint="eastAsia" w:cs="Times New Roman"/>
                <w:b w:val="0"/>
                <w:bCs w:val="0"/>
                <w:color w:val="0000FF"/>
                <w:sz w:val="21"/>
                <w:szCs w:val="21"/>
                <w:vertAlign w:val="baseline"/>
                <w:lang w:val="en-US" w:eastAsia="zh-CN"/>
              </w:rPr>
              <w:t>0.256</w:t>
            </w:r>
            <w:r>
              <w:rPr>
                <w:rFonts w:hint="default" w:ascii="Times New Roman" w:hAnsi="Times New Roman" w:eastAsia="宋体" w:cs="Times New Roman"/>
                <w:b w:val="0"/>
                <w:bCs w:val="0"/>
                <w:color w:val="0000FF"/>
                <w:sz w:val="21"/>
                <w:szCs w:val="21"/>
                <w:vertAlign w:val="baseline"/>
                <w:lang w:val="en-US" w:eastAsia="zh-CN"/>
              </w:rPr>
              <w:t>t/a</w:t>
            </w:r>
          </w:p>
        </w:tc>
        <w:tc>
          <w:tcPr>
            <w:tcW w:w="11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kern w:val="2"/>
                <w:sz w:val="21"/>
                <w:szCs w:val="21"/>
                <w:highlight w:val="none"/>
                <w:vertAlign w:val="baseline"/>
                <w:lang w:val="en-US" w:eastAsia="zh-CN" w:bidi="ar-SA"/>
              </w:rPr>
            </w:pPr>
            <w:r>
              <w:rPr>
                <w:rFonts w:hint="eastAsia" w:cs="Times New Roman"/>
                <w:color w:val="0000FF"/>
                <w:sz w:val="21"/>
                <w:szCs w:val="21"/>
                <w:highlight w:val="none"/>
                <w:vertAlign w:val="baseline"/>
                <w:lang w:val="en-US" w:eastAsia="zh-CN"/>
              </w:rPr>
              <w:t>+0.085</w:t>
            </w:r>
            <w:r>
              <w:rPr>
                <w:rFonts w:hint="default" w:ascii="Times New Roman" w:hAnsi="Times New Roman" w:eastAsia="宋体" w:cs="Times New Roman"/>
                <w:b w:val="0"/>
                <w:bCs w:val="0"/>
                <w:color w:val="0000FF"/>
                <w:sz w:val="21"/>
                <w:szCs w:val="21"/>
                <w:vertAlign w:val="baselin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50"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kern w:val="21"/>
                <w:sz w:val="21"/>
                <w:szCs w:val="21"/>
              </w:rPr>
            </w:pPr>
          </w:p>
        </w:tc>
        <w:tc>
          <w:tcPr>
            <w:tcW w:w="21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SS</w:t>
            </w:r>
          </w:p>
        </w:tc>
        <w:tc>
          <w:tcPr>
            <w:tcW w:w="13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0</w:t>
            </w:r>
          </w:p>
        </w:tc>
        <w:tc>
          <w:tcPr>
            <w:tcW w:w="13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0</w:t>
            </w:r>
          </w:p>
        </w:tc>
        <w:tc>
          <w:tcPr>
            <w:tcW w:w="17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lang w:val="en-US" w:eastAsia="zh-CN"/>
              </w:rPr>
              <w:t>0</w:t>
            </w:r>
          </w:p>
        </w:tc>
        <w:tc>
          <w:tcPr>
            <w:tcW w:w="16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kern w:val="2"/>
                <w:sz w:val="21"/>
                <w:szCs w:val="21"/>
                <w:highlight w:val="none"/>
                <w:vertAlign w:val="baseline"/>
                <w:lang w:val="en-US" w:eastAsia="zh-CN" w:bidi="ar-SA"/>
              </w:rPr>
            </w:pPr>
            <w:r>
              <w:rPr>
                <w:rFonts w:hint="eastAsia" w:cs="Times New Roman"/>
                <w:b w:val="0"/>
                <w:bCs w:val="0"/>
                <w:color w:val="0000FF"/>
                <w:sz w:val="21"/>
                <w:szCs w:val="21"/>
                <w:vertAlign w:val="baseline"/>
                <w:lang w:val="en-US" w:eastAsia="zh-CN"/>
              </w:rPr>
              <w:t>0.521</w:t>
            </w:r>
            <w:r>
              <w:rPr>
                <w:rFonts w:hint="default" w:ascii="Times New Roman" w:hAnsi="Times New Roman" w:eastAsia="宋体" w:cs="Times New Roman"/>
                <w:b w:val="0"/>
                <w:bCs w:val="0"/>
                <w:color w:val="0000FF"/>
                <w:sz w:val="21"/>
                <w:szCs w:val="21"/>
                <w:vertAlign w:val="baseline"/>
                <w:lang w:val="en-US" w:eastAsia="zh-CN"/>
              </w:rPr>
              <w:t>t/a</w:t>
            </w:r>
          </w:p>
        </w:tc>
        <w:tc>
          <w:tcPr>
            <w:tcW w:w="18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snapToGrid w:val="0"/>
                <w:color w:val="auto"/>
                <w:kern w:val="21"/>
                <w:sz w:val="21"/>
                <w:szCs w:val="21"/>
                <w:lang w:val="en-US" w:eastAsia="zh-CN"/>
              </w:rPr>
              <w:t>0</w:t>
            </w:r>
          </w:p>
        </w:tc>
        <w:tc>
          <w:tcPr>
            <w:tcW w:w="16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kern w:val="2"/>
                <w:sz w:val="21"/>
                <w:szCs w:val="21"/>
                <w:highlight w:val="none"/>
                <w:vertAlign w:val="baseline"/>
                <w:lang w:val="en-US" w:eastAsia="zh-CN" w:bidi="ar-SA"/>
              </w:rPr>
            </w:pPr>
            <w:r>
              <w:rPr>
                <w:rFonts w:hint="eastAsia" w:cs="Times New Roman"/>
                <w:b w:val="0"/>
                <w:bCs w:val="0"/>
                <w:color w:val="0000FF"/>
                <w:sz w:val="21"/>
                <w:szCs w:val="21"/>
                <w:vertAlign w:val="baseline"/>
                <w:lang w:val="en-US" w:eastAsia="zh-CN"/>
              </w:rPr>
              <w:t>0.521</w:t>
            </w:r>
            <w:r>
              <w:rPr>
                <w:rFonts w:hint="default" w:ascii="Times New Roman" w:hAnsi="Times New Roman" w:eastAsia="宋体" w:cs="Times New Roman"/>
                <w:b w:val="0"/>
                <w:bCs w:val="0"/>
                <w:color w:val="0000FF"/>
                <w:sz w:val="21"/>
                <w:szCs w:val="21"/>
                <w:vertAlign w:val="baseline"/>
                <w:lang w:val="en-US" w:eastAsia="zh-CN"/>
              </w:rPr>
              <w:t>t/a</w:t>
            </w:r>
          </w:p>
        </w:tc>
        <w:tc>
          <w:tcPr>
            <w:tcW w:w="11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beforeLines="0" w:afterLines="0" w:line="360" w:lineRule="atLeast"/>
              <w:jc w:val="center"/>
              <w:textAlignment w:val="auto"/>
              <w:rPr>
                <w:rFonts w:hint="default" w:ascii="Times New Roman" w:hAnsi="Times New Roman" w:eastAsia="宋体" w:cs="Times New Roman"/>
                <w:color w:val="0000FF"/>
                <w:kern w:val="2"/>
                <w:sz w:val="21"/>
                <w:szCs w:val="21"/>
                <w:highlight w:val="none"/>
                <w:vertAlign w:val="baseline"/>
                <w:lang w:val="en-US" w:eastAsia="zh-CN" w:bidi="ar-SA"/>
              </w:rPr>
            </w:pPr>
            <w:r>
              <w:rPr>
                <w:rFonts w:hint="eastAsia" w:cs="Times New Roman"/>
                <w:b w:val="0"/>
                <w:bCs w:val="0"/>
                <w:color w:val="0000FF"/>
                <w:sz w:val="21"/>
                <w:szCs w:val="21"/>
                <w:vertAlign w:val="baseline"/>
                <w:lang w:val="en-US" w:eastAsia="zh-CN"/>
              </w:rPr>
              <w:t>+0.521</w:t>
            </w:r>
            <w:r>
              <w:rPr>
                <w:rFonts w:hint="default" w:ascii="Times New Roman" w:hAnsi="Times New Roman" w:eastAsia="宋体" w:cs="Times New Roman"/>
                <w:b w:val="0"/>
                <w:bCs w:val="0"/>
                <w:color w:val="0000FF"/>
                <w:sz w:val="21"/>
                <w:szCs w:val="21"/>
                <w:vertAlign w:val="baseline"/>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50" w:type="dxa"/>
            <w:vMerge w:val="restar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eastAsia" w:ascii="Times New Roman" w:hAnsi="Times New Roman" w:eastAsia="宋体" w:cs="Times New Roman"/>
                <w:snapToGrid w:val="0"/>
                <w:color w:val="auto"/>
                <w:kern w:val="21"/>
                <w:sz w:val="21"/>
                <w:szCs w:val="21"/>
                <w:lang w:eastAsia="zh-CN"/>
              </w:rPr>
            </w:pPr>
            <w:r>
              <w:rPr>
                <w:rFonts w:hint="eastAsia" w:ascii="Times New Roman" w:cs="Times New Roman"/>
                <w:snapToGrid w:val="0"/>
                <w:color w:val="auto"/>
                <w:kern w:val="21"/>
                <w:sz w:val="21"/>
                <w:szCs w:val="21"/>
                <w:lang w:eastAsia="zh-CN"/>
              </w:rPr>
              <w:t>固体废物</w:t>
            </w:r>
          </w:p>
        </w:tc>
        <w:tc>
          <w:tcPr>
            <w:tcW w:w="2194"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cs="Times New Roman"/>
                <w:color w:val="auto"/>
                <w:sz w:val="21"/>
                <w:szCs w:val="21"/>
                <w:highlight w:val="none"/>
                <w:vertAlign w:val="baseline"/>
                <w:lang w:val="en-US" w:eastAsia="zh-CN"/>
              </w:rPr>
              <w:t>生活垃圾</w:t>
            </w:r>
          </w:p>
        </w:tc>
        <w:tc>
          <w:tcPr>
            <w:tcW w:w="1393"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0000FF"/>
                <w:kern w:val="21"/>
                <w:sz w:val="21"/>
                <w:szCs w:val="21"/>
                <w:lang w:val="en-US" w:eastAsia="zh-CN" w:bidi="ar-SA"/>
              </w:rPr>
            </w:pPr>
            <w:r>
              <w:rPr>
                <w:rFonts w:hint="eastAsia" w:ascii="Times New Roman" w:cs="Times New Roman"/>
                <w:snapToGrid w:val="0"/>
                <w:color w:val="0000FF"/>
                <w:kern w:val="21"/>
                <w:sz w:val="21"/>
                <w:szCs w:val="21"/>
                <w:lang w:val="en-US" w:eastAsia="zh-CN"/>
              </w:rPr>
              <w:t>42t/a</w:t>
            </w:r>
          </w:p>
        </w:tc>
        <w:tc>
          <w:tcPr>
            <w:tcW w:w="1312"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cs="Times New Roman"/>
                <w:snapToGrid w:val="0"/>
                <w:color w:val="auto"/>
                <w:kern w:val="21"/>
                <w:sz w:val="21"/>
                <w:szCs w:val="21"/>
                <w:lang w:val="en-US" w:eastAsia="zh-CN"/>
              </w:rPr>
              <w:t>0</w:t>
            </w:r>
          </w:p>
        </w:tc>
        <w:tc>
          <w:tcPr>
            <w:tcW w:w="1748"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rPr>
              <w:t>0</w:t>
            </w:r>
          </w:p>
        </w:tc>
        <w:tc>
          <w:tcPr>
            <w:tcW w:w="1603"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0000FF"/>
                <w:kern w:val="21"/>
                <w:sz w:val="21"/>
                <w:szCs w:val="21"/>
                <w:highlight w:val="none"/>
                <w:lang w:val="en-US" w:eastAsia="zh-CN"/>
              </w:rPr>
              <w:t>0.60t/a</w:t>
            </w:r>
          </w:p>
        </w:tc>
        <w:tc>
          <w:tcPr>
            <w:tcW w:w="181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rPr>
              <w:t>0</w:t>
            </w:r>
          </w:p>
        </w:tc>
        <w:tc>
          <w:tcPr>
            <w:tcW w:w="1684"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0000FF"/>
                <w:kern w:val="21"/>
                <w:sz w:val="21"/>
                <w:szCs w:val="21"/>
                <w:highlight w:val="none"/>
                <w:lang w:val="en-US" w:eastAsia="zh-CN" w:bidi="ar-SA"/>
              </w:rPr>
            </w:pPr>
            <w:r>
              <w:rPr>
                <w:rFonts w:hint="eastAsia" w:ascii="Times New Roman" w:cs="Times New Roman"/>
                <w:snapToGrid w:val="0"/>
                <w:color w:val="0000FF"/>
                <w:kern w:val="21"/>
                <w:sz w:val="21"/>
                <w:szCs w:val="21"/>
                <w:highlight w:val="none"/>
                <w:lang w:val="en-US" w:eastAsia="zh-CN"/>
              </w:rPr>
              <w:t>42.60t/a</w:t>
            </w:r>
          </w:p>
        </w:tc>
        <w:tc>
          <w:tcPr>
            <w:tcW w:w="1179"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0000FF"/>
                <w:kern w:val="21"/>
                <w:sz w:val="21"/>
                <w:szCs w:val="21"/>
                <w:highlight w:val="none"/>
                <w:lang w:val="en-US" w:eastAsia="zh-CN" w:bidi="ar-SA"/>
              </w:rPr>
            </w:pPr>
            <w:r>
              <w:rPr>
                <w:rFonts w:hint="eastAsia" w:ascii="Times New Roman" w:cs="Times New Roman"/>
                <w:snapToGrid w:val="0"/>
                <w:color w:val="0000FF"/>
                <w:kern w:val="21"/>
                <w:sz w:val="21"/>
                <w:szCs w:val="21"/>
                <w:highlight w:val="none"/>
                <w:lang w:val="en-US" w:eastAsia="zh-CN"/>
              </w:rPr>
              <w:t>+0.60t/a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50"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eastAsia" w:ascii="Times New Roman" w:cs="Times New Roman"/>
                <w:snapToGrid w:val="0"/>
                <w:color w:val="auto"/>
                <w:kern w:val="21"/>
                <w:sz w:val="21"/>
                <w:szCs w:val="21"/>
                <w:lang w:eastAsia="zh-CN"/>
              </w:rPr>
            </w:pPr>
          </w:p>
        </w:tc>
        <w:tc>
          <w:tcPr>
            <w:tcW w:w="2194"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cs="Times New Roman"/>
                <w:color w:val="auto"/>
                <w:sz w:val="21"/>
                <w:szCs w:val="21"/>
                <w:highlight w:val="none"/>
                <w:vertAlign w:val="baseline"/>
                <w:lang w:val="en-US" w:eastAsia="zh-CN"/>
              </w:rPr>
              <w:t>废包装袋、废酒瓶</w:t>
            </w:r>
          </w:p>
        </w:tc>
        <w:tc>
          <w:tcPr>
            <w:tcW w:w="1393"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0000FF"/>
                <w:kern w:val="21"/>
                <w:sz w:val="21"/>
                <w:szCs w:val="21"/>
                <w:lang w:val="en-US" w:eastAsia="zh-CN" w:bidi="ar-SA"/>
              </w:rPr>
            </w:pPr>
            <w:r>
              <w:rPr>
                <w:rFonts w:hint="eastAsia" w:ascii="Times New Roman" w:cs="Times New Roman"/>
                <w:snapToGrid w:val="0"/>
                <w:color w:val="0000FF"/>
                <w:kern w:val="21"/>
                <w:sz w:val="21"/>
                <w:szCs w:val="21"/>
                <w:lang w:val="en-US" w:eastAsia="zh-CN"/>
              </w:rPr>
              <w:t>0.55t/a</w:t>
            </w:r>
          </w:p>
        </w:tc>
        <w:tc>
          <w:tcPr>
            <w:tcW w:w="1312"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cs="Times New Roman"/>
                <w:snapToGrid w:val="0"/>
                <w:color w:val="auto"/>
                <w:kern w:val="21"/>
                <w:sz w:val="21"/>
                <w:szCs w:val="21"/>
                <w:lang w:val="en-US" w:eastAsia="zh-CN"/>
              </w:rPr>
              <w:t>0</w:t>
            </w:r>
          </w:p>
        </w:tc>
        <w:tc>
          <w:tcPr>
            <w:tcW w:w="1748"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rPr>
              <w:t>0</w:t>
            </w:r>
          </w:p>
        </w:tc>
        <w:tc>
          <w:tcPr>
            <w:tcW w:w="1603"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rPr>
              <w:t>0</w:t>
            </w:r>
          </w:p>
        </w:tc>
        <w:tc>
          <w:tcPr>
            <w:tcW w:w="181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rPr>
              <w:t>0</w:t>
            </w:r>
          </w:p>
        </w:tc>
        <w:tc>
          <w:tcPr>
            <w:tcW w:w="1684"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0000FF"/>
                <w:kern w:val="21"/>
                <w:sz w:val="21"/>
                <w:szCs w:val="21"/>
                <w:lang w:val="en-US" w:eastAsia="zh-CN" w:bidi="ar-SA"/>
              </w:rPr>
            </w:pPr>
            <w:r>
              <w:rPr>
                <w:rFonts w:hint="eastAsia" w:ascii="Times New Roman" w:cs="Times New Roman"/>
                <w:snapToGrid w:val="0"/>
                <w:color w:val="0000FF"/>
                <w:kern w:val="21"/>
                <w:sz w:val="21"/>
                <w:szCs w:val="21"/>
                <w:lang w:val="en-US" w:eastAsia="zh-CN"/>
              </w:rPr>
              <w:t>0.55t/a</w:t>
            </w:r>
          </w:p>
        </w:tc>
        <w:tc>
          <w:tcPr>
            <w:tcW w:w="1179"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50" w:type="dxa"/>
            <w:vMerge w:val="continue"/>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eastAsia" w:ascii="Times New Roman" w:cs="Times New Roman"/>
                <w:snapToGrid w:val="0"/>
                <w:color w:val="auto"/>
                <w:kern w:val="21"/>
                <w:sz w:val="21"/>
                <w:szCs w:val="21"/>
                <w:lang w:eastAsia="zh-CN"/>
              </w:rPr>
            </w:pPr>
          </w:p>
        </w:tc>
        <w:tc>
          <w:tcPr>
            <w:tcW w:w="2194"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cs="Times New Roman"/>
                <w:color w:val="auto"/>
                <w:sz w:val="21"/>
                <w:szCs w:val="21"/>
                <w:highlight w:val="none"/>
                <w:vertAlign w:val="baseline"/>
                <w:lang w:val="en-US" w:eastAsia="zh-CN"/>
              </w:rPr>
              <w:t>杂质、酒糟、边角料</w:t>
            </w:r>
          </w:p>
        </w:tc>
        <w:tc>
          <w:tcPr>
            <w:tcW w:w="1393"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0000FF"/>
                <w:kern w:val="21"/>
                <w:sz w:val="21"/>
                <w:szCs w:val="21"/>
                <w:lang w:val="en-US" w:eastAsia="zh-CN" w:bidi="ar-SA"/>
              </w:rPr>
            </w:pPr>
            <w:r>
              <w:rPr>
                <w:rFonts w:hint="eastAsia" w:ascii="Times New Roman" w:cs="Times New Roman"/>
                <w:snapToGrid w:val="0"/>
                <w:color w:val="0000FF"/>
                <w:kern w:val="21"/>
                <w:sz w:val="21"/>
                <w:szCs w:val="21"/>
                <w:lang w:val="en-US" w:eastAsia="zh-CN"/>
              </w:rPr>
              <w:t>13.0t/a</w:t>
            </w:r>
          </w:p>
        </w:tc>
        <w:tc>
          <w:tcPr>
            <w:tcW w:w="1312"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cs="Times New Roman"/>
                <w:snapToGrid w:val="0"/>
                <w:color w:val="auto"/>
                <w:kern w:val="21"/>
                <w:sz w:val="21"/>
                <w:szCs w:val="21"/>
                <w:lang w:val="en-US" w:eastAsia="zh-CN"/>
              </w:rPr>
              <w:t>0</w:t>
            </w:r>
          </w:p>
        </w:tc>
        <w:tc>
          <w:tcPr>
            <w:tcW w:w="1748"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rPr>
              <w:t>0</w:t>
            </w:r>
          </w:p>
        </w:tc>
        <w:tc>
          <w:tcPr>
            <w:tcW w:w="1603"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rPr>
              <w:t>0</w:t>
            </w:r>
          </w:p>
        </w:tc>
        <w:tc>
          <w:tcPr>
            <w:tcW w:w="1810"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rPr>
              <w:t>0</w:t>
            </w:r>
          </w:p>
        </w:tc>
        <w:tc>
          <w:tcPr>
            <w:tcW w:w="1684"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eastAsia" w:ascii="Times New Roman" w:hAnsi="Times New Roman" w:eastAsia="宋体" w:cs="Times New Roman"/>
                <w:snapToGrid w:val="0"/>
                <w:color w:val="0000FF"/>
                <w:kern w:val="21"/>
                <w:sz w:val="21"/>
                <w:szCs w:val="21"/>
                <w:lang w:val="en-US" w:eastAsia="zh-CN" w:bidi="ar-SA"/>
              </w:rPr>
            </w:pPr>
            <w:r>
              <w:rPr>
                <w:rFonts w:hint="eastAsia" w:ascii="Times New Roman" w:cs="Times New Roman"/>
                <w:snapToGrid w:val="0"/>
                <w:color w:val="0000FF"/>
                <w:kern w:val="21"/>
                <w:sz w:val="21"/>
                <w:szCs w:val="21"/>
                <w:lang w:val="en-US" w:eastAsia="zh-CN"/>
              </w:rPr>
              <w:t>13.0t/a</w:t>
            </w:r>
          </w:p>
        </w:tc>
        <w:tc>
          <w:tcPr>
            <w:tcW w:w="1179" w:type="dxa"/>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spacing w:beforeLines="0" w:afterLines="0" w:line="360" w:lineRule="atLeast"/>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eastAsia" w:ascii="Times New Roman" w:cs="Times New Roman"/>
                <w:snapToGrid w:val="0"/>
                <w:color w:val="auto"/>
                <w:kern w:val="21"/>
                <w:sz w:val="21"/>
                <w:szCs w:val="21"/>
                <w:highlight w:val="none"/>
                <w:lang w:val="en-US" w:eastAsia="zh-CN"/>
              </w:rPr>
              <w:t>0</w:t>
            </w:r>
          </w:p>
        </w:tc>
      </w:tr>
    </w:tbl>
    <w:p>
      <w:pPr>
        <w:rPr>
          <w:rFonts w:hint="default" w:ascii="Times New Roman" w:hAnsi="Times New Roman" w:cs="Times New Roman"/>
          <w:color w:val="auto"/>
        </w:rPr>
      </w:pPr>
    </w:p>
    <w:sectPr>
      <w:headerReference r:id="rId6" w:type="default"/>
      <w:footerReference r:id="rId7" w:type="default"/>
      <w:pgSz w:w="16838" w:h="11906" w:orient="landscape"/>
      <w:pgMar w:top="1701" w:right="1531" w:bottom="1701" w:left="1531" w:header="851" w:footer="850" w:gutter="0"/>
      <w:pgBorders>
        <w:top w:val="none" w:sz="0" w:space="0"/>
        <w:left w:val="none" w:sz="0" w:space="0"/>
        <w:bottom w:val="none" w:sz="0" w:space="0"/>
        <w:right w:val="none" w:sz="0" w:space="0"/>
      </w:pgBorders>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80F3C52"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4"/>
      </w:rPr>
    </w:pPr>
    <w:r>
      <w:fldChar w:fldCharType="begin"/>
    </w:r>
    <w:r>
      <w:rPr>
        <w:rStyle w:val="24"/>
      </w:rPr>
      <w:instrText xml:space="preserve">PAGE  </w:instrText>
    </w:r>
    <w:r>
      <w:fldChar w:fldCharType="end"/>
    </w:r>
  </w:p>
  <w:p>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CTuEBAADBAwAADgAAAGRycy9lMm9Eb2MueG1srVPNjtMwEL4j8Q6W&#10;7zRpJVZV1XS1UC1CQoC07AO4jtNY8p880yblAeANOHHhznP1ORg7SReWyx72koxnxt/M9814fd1b&#10;w44qgvau4vNZyZly0tfa7St+/+X21ZIzQOFqYbxTFT8p4Nebly/WXViphW+9qVVkBOJg1YWKt4hh&#10;VRQgW2UFzHxQjoKNj1YgHeO+qKPoCN2aYlGWV0XnYx2ilwqAvNshyEfE+BRA3zRaqq2XB6scDqhR&#10;GYFECVodgG9yt02jJH5qGlDITMWJKeYvFSF7l77FZi1W+yhCq+XYgnhKC484WaEdFb1AbQUKdoj6&#10;PyirZfTgG5xJb4uBSFaEWMzLR9rctSKozIWkhnARHZ4PVn48fo5M1xW/4swJSwM///h+/vn7/Osb&#10;m5eL10mhLsCKEu8CpWL/xve0N5MfyJmI90206U+UGMVJ39NFX9Ujk+nScrFclhSSFJsOhF88XA8R&#10;8J3yliWj4pEGmHUVxw+AQ+qUkqo5f6uNyUM07h8HYSZPkXofekwW9rt+JLTz9Yn40EugOq2PXznr&#10;aA8q7mjtOTPvHcmcVmYy4mTsJkM4SRcrjpwN5lscVusQot63edlSUxBuDkidZgKpjaH22B1NNksw&#10;bmFanb/POevh5W3+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D74wJO4QEAAMEDAAAOAAAA&#10;AAAAAAEAIAAAAB4BAABkcnMvZTJvRG9jLnhtbFBLBQYAAAAABgAGAFkBAABxBQAAAAA=&#10;">
              <v:fill on="f" focussize="0,0"/>
              <v:stroke on="f"/>
              <v:imagedata o:title=""/>
              <o:lock v:ext="edit" aspectratio="f"/>
              <v:textbox inset="0mm,0mm,0mm,0mm" style="mso-fit-shape-to-text:t;">
                <w:txbxContent>
                  <w:p>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A8Af+ABAADBAwAADgAAAGRycy9lMm9Eb2MueG1srVPNjtMwEL4j8Q6W&#10;7zRpD2xVNV0tVIuQECAt+wCu4zSW/CfPtEl5AHgDTly481x9DsZO0oXlsoe9JOOZ8TfzfTNeX/fW&#10;sKOKoL2r+HxWcqac9LV2+4rff7l9teQMULhaGO9UxU8K+PXm5Yt1F1Zq4VtvahUZgThYdaHiLWJY&#10;FQXIVlkBMx+Uo2DjoxVIx7gv6ig6QremWJTl66LzsQ7RSwVA3u0Q5CNifAqgbxot1dbLg1UOB9So&#10;jECiBK0OwDe526ZREj81DShkpuLEFPOXipC9S99isxarfRSh1XJsQTylhUecrNCOil6gtgIFO0T9&#10;H5TVMnrwDc6kt8VAJCtCLOblI23uWhFU5kJSQ7iIDs8HKz8eP0em64pfceaEpYGff3w///x9/vWN&#10;zcvFVVKoC7CixLtAqdi/8T3tzeQHcibifRNt+hMlRnHS93TRV/XIZLq0XCyXJYUkxaYD4RcP10ME&#10;fKe8ZcmoeKQBZl3F8QPgkDqlpGrO32pj8hCN+8dBmMlTpN6HHpOF/a4fCe18fSI+9BKoTuvjV846&#10;2oOKO1p7zsx7RzKnlZmMOBm7yRBO0sWKI2eD+RaH1TqEqPdtXrbUFISbA1KnmUBqY6g9dkeTzRKM&#10;W5hW5+9zznp4eZ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OQPAH/gAQAAwQMAAA4AAAAA&#10;AAAAAQAgAAAAHgEAAGRycy9lMm9Eb2MueG1sUEsFBgAAAAAGAAYAWQEAAHAFAAAAAA==&#10;">
              <v:fill on="f" focussize="0,0"/>
              <v:stroke on="f"/>
              <v:imagedata o:title=""/>
              <o:lock v:ext="edit" aspectratio="f"/>
              <v:textbox inset="0mm,0mm,0mm,0mm" style="mso-fit-shape-to-text:t;">
                <w:txbxContent>
                  <w:p>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bottom w:val="none" w:color="auto" w:sz="0" w:space="0"/>
      </w:pBdr>
      <w:snapToGrid w:val="0"/>
      <w:jc w:val="center"/>
      <w:rPr>
        <w:rFonts w:ascii="Calibri" w:hAnsi="Calibri" w:eastAsia="宋体" w:cs="Times New Roman"/>
        <w:kern w:val="2"/>
        <w:sz w:val="18"/>
        <w:szCs w:val="18"/>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410E82"/>
    <w:multiLevelType w:val="singleLevel"/>
    <w:tmpl w:val="85410E82"/>
    <w:lvl w:ilvl="0" w:tentative="0">
      <w:start w:val="4"/>
      <w:numFmt w:val="chineseCounting"/>
      <w:suff w:val="nothing"/>
      <w:lvlText w:val="%1、"/>
      <w:lvlJc w:val="left"/>
      <w:rPr>
        <w:rFonts w:hint="eastAsia"/>
      </w:rPr>
    </w:lvl>
  </w:abstractNum>
  <w:abstractNum w:abstractNumId="1">
    <w:nsid w:val="9243147C"/>
    <w:multiLevelType w:val="singleLevel"/>
    <w:tmpl w:val="9243147C"/>
    <w:lvl w:ilvl="0" w:tentative="0">
      <w:start w:val="1"/>
      <w:numFmt w:val="decimal"/>
      <w:lvlText w:val="%1."/>
      <w:lvlJc w:val="left"/>
      <w:pPr>
        <w:tabs>
          <w:tab w:val="left" w:pos="312"/>
        </w:tabs>
      </w:pPr>
    </w:lvl>
  </w:abstractNum>
  <w:abstractNum w:abstractNumId="2">
    <w:nsid w:val="B147AD77"/>
    <w:multiLevelType w:val="singleLevel"/>
    <w:tmpl w:val="B147AD77"/>
    <w:lvl w:ilvl="0" w:tentative="0">
      <w:start w:val="1"/>
      <w:numFmt w:val="decimal"/>
      <w:suff w:val="nothing"/>
      <w:lvlText w:val="%1、"/>
      <w:lvlJc w:val="left"/>
    </w:lvl>
  </w:abstractNum>
  <w:abstractNum w:abstractNumId="3">
    <w:nsid w:val="F9CCAA62"/>
    <w:multiLevelType w:val="singleLevel"/>
    <w:tmpl w:val="F9CCAA62"/>
    <w:lvl w:ilvl="0" w:tentative="0">
      <w:start w:val="1"/>
      <w:numFmt w:val="chineseCounting"/>
      <w:suff w:val="nothing"/>
      <w:lvlText w:val="%1、"/>
      <w:lvlJc w:val="left"/>
      <w:rPr>
        <w:rFonts w:hint="eastAsia"/>
      </w:rPr>
    </w:lvl>
  </w:abstractNum>
  <w:abstractNum w:abstractNumId="4">
    <w:nsid w:val="04749D84"/>
    <w:multiLevelType w:val="singleLevel"/>
    <w:tmpl w:val="04749D84"/>
    <w:lvl w:ilvl="0" w:tentative="0">
      <w:start w:val="5"/>
      <w:numFmt w:val="decimal"/>
      <w:suff w:val="nothing"/>
      <w:lvlText w:val="（%1）"/>
      <w:lvlJc w:val="left"/>
      <w:pPr>
        <w:ind w:left="480" w:leftChars="0" w:firstLine="0" w:firstLineChars="0"/>
      </w:pPr>
    </w:lvl>
  </w:abstractNum>
  <w:abstractNum w:abstractNumId="5">
    <w:nsid w:val="05781F2D"/>
    <w:multiLevelType w:val="singleLevel"/>
    <w:tmpl w:val="05781F2D"/>
    <w:lvl w:ilvl="0" w:tentative="0">
      <w:start w:val="2"/>
      <w:numFmt w:val="decimal"/>
      <w:suff w:val="nothing"/>
      <w:lvlText w:val="%1、"/>
      <w:lvlJc w:val="left"/>
      <w:pPr>
        <w:ind w:left="465" w:firstLine="0"/>
      </w:pPr>
    </w:lvl>
  </w:abstractNum>
  <w:abstractNum w:abstractNumId="6">
    <w:nsid w:val="2255F13C"/>
    <w:multiLevelType w:val="singleLevel"/>
    <w:tmpl w:val="2255F13C"/>
    <w:lvl w:ilvl="0" w:tentative="0">
      <w:start w:val="1"/>
      <w:numFmt w:val="chineseCounting"/>
      <w:suff w:val="nothing"/>
      <w:lvlText w:val="%1、"/>
      <w:lvlJc w:val="left"/>
      <w:rPr>
        <w:rFonts w:hint="eastAsia"/>
      </w:rPr>
    </w:lvl>
  </w:abstractNum>
  <w:abstractNum w:abstractNumId="7">
    <w:nsid w:val="48AD0380"/>
    <w:multiLevelType w:val="singleLevel"/>
    <w:tmpl w:val="48AD0380"/>
    <w:lvl w:ilvl="0" w:tentative="0">
      <w:start w:val="1"/>
      <w:numFmt w:val="lowerLetter"/>
      <w:suff w:val="space"/>
      <w:lvlText w:val="%1)"/>
      <w:lvlJc w:val="left"/>
    </w:lvl>
  </w:abstractNum>
  <w:abstractNum w:abstractNumId="8">
    <w:nsid w:val="4C2BE7EC"/>
    <w:multiLevelType w:val="singleLevel"/>
    <w:tmpl w:val="4C2BE7EC"/>
    <w:lvl w:ilvl="0" w:tentative="0">
      <w:start w:val="1"/>
      <w:numFmt w:val="chineseCounting"/>
      <w:suff w:val="nothing"/>
      <w:lvlText w:val="%1、"/>
      <w:lvlJc w:val="left"/>
      <w:rPr>
        <w:rFonts w:hint="eastAsia"/>
      </w:rPr>
    </w:lvl>
  </w:abstractNum>
  <w:abstractNum w:abstractNumId="9">
    <w:nsid w:val="4C6F2CA2"/>
    <w:multiLevelType w:val="singleLevel"/>
    <w:tmpl w:val="4C6F2CA2"/>
    <w:lvl w:ilvl="0" w:tentative="0">
      <w:start w:val="1"/>
      <w:numFmt w:val="decimal"/>
      <w:suff w:val="nothing"/>
      <w:lvlText w:val="%1、"/>
      <w:lvlJc w:val="left"/>
    </w:lvl>
  </w:abstractNum>
  <w:abstractNum w:abstractNumId="10">
    <w:nsid w:val="7EA406DA"/>
    <w:multiLevelType w:val="singleLevel"/>
    <w:tmpl w:val="7EA406DA"/>
    <w:lvl w:ilvl="0" w:tentative="0">
      <w:start w:val="2"/>
      <w:numFmt w:val="decimal"/>
      <w:suff w:val="nothing"/>
      <w:lvlText w:val="（%1）"/>
      <w:lvlJc w:val="left"/>
    </w:lvl>
  </w:abstractNum>
  <w:num w:numId="1">
    <w:abstractNumId w:val="3"/>
  </w:num>
  <w:num w:numId="2">
    <w:abstractNumId w:val="10"/>
  </w:num>
  <w:num w:numId="3">
    <w:abstractNumId w:val="6"/>
  </w:num>
  <w:num w:numId="4">
    <w:abstractNumId w:val="5"/>
  </w:num>
  <w:num w:numId="5">
    <w:abstractNumId w:val="9"/>
  </w:num>
  <w:num w:numId="6">
    <w:abstractNumId w:val="2"/>
  </w:num>
  <w:num w:numId="7">
    <w:abstractNumId w:val="1"/>
  </w:num>
  <w:num w:numId="8">
    <w:abstractNumId w:val="8"/>
  </w:num>
  <w:num w:numId="9">
    <w:abstractNumId w:val="0"/>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BhYjg4Mjg0YzM5ZWRkNTE0M2M4YTc3ZTM3ZWQ3NGYifQ=="/>
  </w:docVars>
  <w:rsids>
    <w:rsidRoot w:val="00000000"/>
    <w:rsid w:val="00104512"/>
    <w:rsid w:val="0139182C"/>
    <w:rsid w:val="013C56FA"/>
    <w:rsid w:val="01B61701"/>
    <w:rsid w:val="02063662"/>
    <w:rsid w:val="02BE527A"/>
    <w:rsid w:val="03247937"/>
    <w:rsid w:val="033C0D35"/>
    <w:rsid w:val="03C07382"/>
    <w:rsid w:val="04447FB3"/>
    <w:rsid w:val="0500700E"/>
    <w:rsid w:val="05177476"/>
    <w:rsid w:val="0582056D"/>
    <w:rsid w:val="05E02018"/>
    <w:rsid w:val="06335C36"/>
    <w:rsid w:val="06571A10"/>
    <w:rsid w:val="06A645B1"/>
    <w:rsid w:val="06E5755B"/>
    <w:rsid w:val="071562F1"/>
    <w:rsid w:val="094D790A"/>
    <w:rsid w:val="0AD54E99"/>
    <w:rsid w:val="0B1071E8"/>
    <w:rsid w:val="0BC63EC1"/>
    <w:rsid w:val="0BD50FFF"/>
    <w:rsid w:val="0BD60544"/>
    <w:rsid w:val="0BED5D76"/>
    <w:rsid w:val="0C5001B2"/>
    <w:rsid w:val="0C6A4177"/>
    <w:rsid w:val="0CFE0637"/>
    <w:rsid w:val="0D075C93"/>
    <w:rsid w:val="0D3220BE"/>
    <w:rsid w:val="0D410B0B"/>
    <w:rsid w:val="0DF17FD1"/>
    <w:rsid w:val="0E3A6FAA"/>
    <w:rsid w:val="0E6574A4"/>
    <w:rsid w:val="0EC3558E"/>
    <w:rsid w:val="0EEE55B4"/>
    <w:rsid w:val="0EFE115B"/>
    <w:rsid w:val="0F572ED0"/>
    <w:rsid w:val="0FCE2878"/>
    <w:rsid w:val="0FFD2549"/>
    <w:rsid w:val="10421A6B"/>
    <w:rsid w:val="10432DF3"/>
    <w:rsid w:val="104A1F3F"/>
    <w:rsid w:val="1053340B"/>
    <w:rsid w:val="108A23C8"/>
    <w:rsid w:val="10D65CBD"/>
    <w:rsid w:val="11530FFE"/>
    <w:rsid w:val="115D3AC3"/>
    <w:rsid w:val="116D4025"/>
    <w:rsid w:val="118C7305"/>
    <w:rsid w:val="119F7994"/>
    <w:rsid w:val="11AB19A5"/>
    <w:rsid w:val="122447BE"/>
    <w:rsid w:val="12A74C66"/>
    <w:rsid w:val="132A1A0A"/>
    <w:rsid w:val="133000AE"/>
    <w:rsid w:val="1392511B"/>
    <w:rsid w:val="13AE5449"/>
    <w:rsid w:val="149C2397"/>
    <w:rsid w:val="14A16D5C"/>
    <w:rsid w:val="14BA7C05"/>
    <w:rsid w:val="14BE16BC"/>
    <w:rsid w:val="14F31C4F"/>
    <w:rsid w:val="14FA355B"/>
    <w:rsid w:val="154869FB"/>
    <w:rsid w:val="1582753E"/>
    <w:rsid w:val="15C607AA"/>
    <w:rsid w:val="15D41271"/>
    <w:rsid w:val="15D55EE6"/>
    <w:rsid w:val="15D76DF1"/>
    <w:rsid w:val="16161084"/>
    <w:rsid w:val="1636714D"/>
    <w:rsid w:val="16AB3203"/>
    <w:rsid w:val="17073708"/>
    <w:rsid w:val="17422C56"/>
    <w:rsid w:val="17684CA4"/>
    <w:rsid w:val="182E4326"/>
    <w:rsid w:val="184616CA"/>
    <w:rsid w:val="188034D7"/>
    <w:rsid w:val="18C7747A"/>
    <w:rsid w:val="19325D31"/>
    <w:rsid w:val="199B6DF5"/>
    <w:rsid w:val="19FF6223"/>
    <w:rsid w:val="1A847E44"/>
    <w:rsid w:val="1A855966"/>
    <w:rsid w:val="1AAB64B8"/>
    <w:rsid w:val="1AC13CB4"/>
    <w:rsid w:val="1B313FC9"/>
    <w:rsid w:val="1B622EE4"/>
    <w:rsid w:val="1B662AAD"/>
    <w:rsid w:val="1C2B591E"/>
    <w:rsid w:val="1C2C45DF"/>
    <w:rsid w:val="1C2E5379"/>
    <w:rsid w:val="1CB33AD0"/>
    <w:rsid w:val="1D645DCC"/>
    <w:rsid w:val="1D855C9C"/>
    <w:rsid w:val="1DCE60E0"/>
    <w:rsid w:val="1E3D5D47"/>
    <w:rsid w:val="1E760B71"/>
    <w:rsid w:val="1E782BAA"/>
    <w:rsid w:val="1E850D4B"/>
    <w:rsid w:val="1E94424E"/>
    <w:rsid w:val="1E9C63EC"/>
    <w:rsid w:val="1F3C251B"/>
    <w:rsid w:val="202F03D3"/>
    <w:rsid w:val="20786C44"/>
    <w:rsid w:val="20E6131D"/>
    <w:rsid w:val="2179303F"/>
    <w:rsid w:val="21825668"/>
    <w:rsid w:val="22995516"/>
    <w:rsid w:val="229D44C2"/>
    <w:rsid w:val="23050739"/>
    <w:rsid w:val="23085B95"/>
    <w:rsid w:val="23A91789"/>
    <w:rsid w:val="24FC0946"/>
    <w:rsid w:val="251C32C0"/>
    <w:rsid w:val="253027CD"/>
    <w:rsid w:val="25325A20"/>
    <w:rsid w:val="253E38AE"/>
    <w:rsid w:val="256B103E"/>
    <w:rsid w:val="257A2100"/>
    <w:rsid w:val="260A28C3"/>
    <w:rsid w:val="263E40D6"/>
    <w:rsid w:val="264546EA"/>
    <w:rsid w:val="26981D4F"/>
    <w:rsid w:val="272A11D3"/>
    <w:rsid w:val="28762657"/>
    <w:rsid w:val="28827719"/>
    <w:rsid w:val="29216AF1"/>
    <w:rsid w:val="29456162"/>
    <w:rsid w:val="2968694A"/>
    <w:rsid w:val="29A7676B"/>
    <w:rsid w:val="2ACF6448"/>
    <w:rsid w:val="2B0100FD"/>
    <w:rsid w:val="2B065713"/>
    <w:rsid w:val="2B5B6A8B"/>
    <w:rsid w:val="2BBB51EC"/>
    <w:rsid w:val="2C6200FB"/>
    <w:rsid w:val="2C8773A2"/>
    <w:rsid w:val="2CD13C00"/>
    <w:rsid w:val="2D596732"/>
    <w:rsid w:val="2E243294"/>
    <w:rsid w:val="2E516563"/>
    <w:rsid w:val="2E5D7CBC"/>
    <w:rsid w:val="2E6D76C5"/>
    <w:rsid w:val="2FA7666F"/>
    <w:rsid w:val="2FFF490E"/>
    <w:rsid w:val="307909EE"/>
    <w:rsid w:val="30ED1FF3"/>
    <w:rsid w:val="312E08E1"/>
    <w:rsid w:val="312F3756"/>
    <w:rsid w:val="31315BB7"/>
    <w:rsid w:val="3167062E"/>
    <w:rsid w:val="31C04B39"/>
    <w:rsid w:val="31D148C2"/>
    <w:rsid w:val="324F0636"/>
    <w:rsid w:val="328525B4"/>
    <w:rsid w:val="32D63C1D"/>
    <w:rsid w:val="32EF402E"/>
    <w:rsid w:val="32F66610"/>
    <w:rsid w:val="33211F4D"/>
    <w:rsid w:val="335F33A3"/>
    <w:rsid w:val="336052AA"/>
    <w:rsid w:val="336D4581"/>
    <w:rsid w:val="343F257E"/>
    <w:rsid w:val="34501AD6"/>
    <w:rsid w:val="34E639E3"/>
    <w:rsid w:val="357E2A76"/>
    <w:rsid w:val="35F477E0"/>
    <w:rsid w:val="366745A8"/>
    <w:rsid w:val="367125DA"/>
    <w:rsid w:val="36743E79"/>
    <w:rsid w:val="370D5A6A"/>
    <w:rsid w:val="375E4F7D"/>
    <w:rsid w:val="378A310E"/>
    <w:rsid w:val="37F60FE9"/>
    <w:rsid w:val="380B4369"/>
    <w:rsid w:val="38861C24"/>
    <w:rsid w:val="38943F85"/>
    <w:rsid w:val="395D171A"/>
    <w:rsid w:val="39C173D5"/>
    <w:rsid w:val="39D135AB"/>
    <w:rsid w:val="3A0B086B"/>
    <w:rsid w:val="3A6104DC"/>
    <w:rsid w:val="3A8C54D0"/>
    <w:rsid w:val="3A973B8B"/>
    <w:rsid w:val="3AEC0481"/>
    <w:rsid w:val="3B143534"/>
    <w:rsid w:val="3B7E2844"/>
    <w:rsid w:val="3BB97B51"/>
    <w:rsid w:val="3C5F1DD5"/>
    <w:rsid w:val="3CC727DB"/>
    <w:rsid w:val="3CFA2A91"/>
    <w:rsid w:val="3D2B6B26"/>
    <w:rsid w:val="3D79524D"/>
    <w:rsid w:val="3DA02ADC"/>
    <w:rsid w:val="3DB0633C"/>
    <w:rsid w:val="3DB11CDB"/>
    <w:rsid w:val="3E477F0C"/>
    <w:rsid w:val="3E4C69CC"/>
    <w:rsid w:val="3E5B2CB1"/>
    <w:rsid w:val="3E9D4299"/>
    <w:rsid w:val="3EB23790"/>
    <w:rsid w:val="3EF73C24"/>
    <w:rsid w:val="3F770324"/>
    <w:rsid w:val="3F7950EC"/>
    <w:rsid w:val="40147C4B"/>
    <w:rsid w:val="40161AFD"/>
    <w:rsid w:val="402A16A5"/>
    <w:rsid w:val="40C64412"/>
    <w:rsid w:val="40CD597F"/>
    <w:rsid w:val="41355ABA"/>
    <w:rsid w:val="42113AF3"/>
    <w:rsid w:val="42134546"/>
    <w:rsid w:val="427C7093"/>
    <w:rsid w:val="42881B58"/>
    <w:rsid w:val="436D5ED7"/>
    <w:rsid w:val="4399409D"/>
    <w:rsid w:val="43F83D8A"/>
    <w:rsid w:val="4410092E"/>
    <w:rsid w:val="44A973E3"/>
    <w:rsid w:val="44BD2328"/>
    <w:rsid w:val="44E73A68"/>
    <w:rsid w:val="452049F8"/>
    <w:rsid w:val="45A76119"/>
    <w:rsid w:val="45DF0188"/>
    <w:rsid w:val="45F544DB"/>
    <w:rsid w:val="46641814"/>
    <w:rsid w:val="475549C6"/>
    <w:rsid w:val="480D1B18"/>
    <w:rsid w:val="48697F88"/>
    <w:rsid w:val="48700F36"/>
    <w:rsid w:val="48F0092A"/>
    <w:rsid w:val="49127EB7"/>
    <w:rsid w:val="497267E5"/>
    <w:rsid w:val="497B62BE"/>
    <w:rsid w:val="497F5EB7"/>
    <w:rsid w:val="498E1224"/>
    <w:rsid w:val="49A93559"/>
    <w:rsid w:val="4A0549D2"/>
    <w:rsid w:val="4A190B67"/>
    <w:rsid w:val="4A38723F"/>
    <w:rsid w:val="4B492087"/>
    <w:rsid w:val="4B49722A"/>
    <w:rsid w:val="4BCA2908"/>
    <w:rsid w:val="4C017B05"/>
    <w:rsid w:val="4C0946A1"/>
    <w:rsid w:val="4C14668A"/>
    <w:rsid w:val="4CF7156D"/>
    <w:rsid w:val="4CFD0D57"/>
    <w:rsid w:val="4D001E0C"/>
    <w:rsid w:val="4D0D7491"/>
    <w:rsid w:val="4D117426"/>
    <w:rsid w:val="4D857D45"/>
    <w:rsid w:val="4E176807"/>
    <w:rsid w:val="4E4C5A03"/>
    <w:rsid w:val="4E736C4C"/>
    <w:rsid w:val="4E7A3318"/>
    <w:rsid w:val="4ECF6F50"/>
    <w:rsid w:val="4ED617EC"/>
    <w:rsid w:val="4F1B0EDE"/>
    <w:rsid w:val="4F5166AD"/>
    <w:rsid w:val="4F781CAD"/>
    <w:rsid w:val="4FA46BC2"/>
    <w:rsid w:val="4FDC6455"/>
    <w:rsid w:val="509C09FC"/>
    <w:rsid w:val="50FE0AB7"/>
    <w:rsid w:val="51D8555A"/>
    <w:rsid w:val="52CB2465"/>
    <w:rsid w:val="53190D5F"/>
    <w:rsid w:val="53223824"/>
    <w:rsid w:val="53F12388"/>
    <w:rsid w:val="54613A57"/>
    <w:rsid w:val="5476039F"/>
    <w:rsid w:val="549F5C15"/>
    <w:rsid w:val="54AB6860"/>
    <w:rsid w:val="54AF6350"/>
    <w:rsid w:val="55071EEC"/>
    <w:rsid w:val="55333DC2"/>
    <w:rsid w:val="56001A88"/>
    <w:rsid w:val="562375D6"/>
    <w:rsid w:val="567E1F8B"/>
    <w:rsid w:val="575B6A4B"/>
    <w:rsid w:val="57702D43"/>
    <w:rsid w:val="57BC76B1"/>
    <w:rsid w:val="57D51F9B"/>
    <w:rsid w:val="57FD04E1"/>
    <w:rsid w:val="586E36A1"/>
    <w:rsid w:val="58D030CB"/>
    <w:rsid w:val="593432C8"/>
    <w:rsid w:val="59670124"/>
    <w:rsid w:val="5B071CBC"/>
    <w:rsid w:val="5B426C97"/>
    <w:rsid w:val="5B5C08B4"/>
    <w:rsid w:val="5B5E5BA6"/>
    <w:rsid w:val="5B9E376B"/>
    <w:rsid w:val="5BB4249E"/>
    <w:rsid w:val="5BF11C35"/>
    <w:rsid w:val="5BFA110D"/>
    <w:rsid w:val="5C245D20"/>
    <w:rsid w:val="5C3F42E8"/>
    <w:rsid w:val="5C4929AC"/>
    <w:rsid w:val="5CC0147E"/>
    <w:rsid w:val="5CC87A7D"/>
    <w:rsid w:val="5CCD21DC"/>
    <w:rsid w:val="5CE5279F"/>
    <w:rsid w:val="5D597AB1"/>
    <w:rsid w:val="5D5D1516"/>
    <w:rsid w:val="5D77094C"/>
    <w:rsid w:val="5D902A97"/>
    <w:rsid w:val="5DEB351B"/>
    <w:rsid w:val="5DEE7DFC"/>
    <w:rsid w:val="5E317DD6"/>
    <w:rsid w:val="5EAB1065"/>
    <w:rsid w:val="5F1F1988"/>
    <w:rsid w:val="5F7B6B3B"/>
    <w:rsid w:val="60BF6FA8"/>
    <w:rsid w:val="61043DE5"/>
    <w:rsid w:val="61065ED9"/>
    <w:rsid w:val="61304F12"/>
    <w:rsid w:val="61AA7CBB"/>
    <w:rsid w:val="61BA59B7"/>
    <w:rsid w:val="61CA6EC6"/>
    <w:rsid w:val="61FA0819"/>
    <w:rsid w:val="62314E35"/>
    <w:rsid w:val="63A40B8B"/>
    <w:rsid w:val="651C2952"/>
    <w:rsid w:val="652B7140"/>
    <w:rsid w:val="65AF6E4B"/>
    <w:rsid w:val="65B732B6"/>
    <w:rsid w:val="65BE2ADE"/>
    <w:rsid w:val="6630667E"/>
    <w:rsid w:val="664E20BB"/>
    <w:rsid w:val="66574FF7"/>
    <w:rsid w:val="669C3645"/>
    <w:rsid w:val="66F45E44"/>
    <w:rsid w:val="66F65058"/>
    <w:rsid w:val="68A25E43"/>
    <w:rsid w:val="68DA4BFA"/>
    <w:rsid w:val="698E4B09"/>
    <w:rsid w:val="6A4B51AA"/>
    <w:rsid w:val="6A5214D7"/>
    <w:rsid w:val="6A6F1F24"/>
    <w:rsid w:val="6AB102D8"/>
    <w:rsid w:val="6AB32FB2"/>
    <w:rsid w:val="6ABB7BFC"/>
    <w:rsid w:val="6ACA5A68"/>
    <w:rsid w:val="6B2D7B77"/>
    <w:rsid w:val="6B710F06"/>
    <w:rsid w:val="6BBD1834"/>
    <w:rsid w:val="6C2471CC"/>
    <w:rsid w:val="6C5068A3"/>
    <w:rsid w:val="6C8934D3"/>
    <w:rsid w:val="6C8E0AE9"/>
    <w:rsid w:val="6CE32BE3"/>
    <w:rsid w:val="6D056A3C"/>
    <w:rsid w:val="6E806ACE"/>
    <w:rsid w:val="6F0E0283"/>
    <w:rsid w:val="6F520DA1"/>
    <w:rsid w:val="6FB150D6"/>
    <w:rsid w:val="6FC56DBD"/>
    <w:rsid w:val="6FCD3A83"/>
    <w:rsid w:val="703D260A"/>
    <w:rsid w:val="704917F3"/>
    <w:rsid w:val="706406DD"/>
    <w:rsid w:val="70AC59E2"/>
    <w:rsid w:val="7105426E"/>
    <w:rsid w:val="7129761C"/>
    <w:rsid w:val="715552F2"/>
    <w:rsid w:val="715673E9"/>
    <w:rsid w:val="7197140C"/>
    <w:rsid w:val="71C56D5B"/>
    <w:rsid w:val="71CE229B"/>
    <w:rsid w:val="71D62354"/>
    <w:rsid w:val="71E74F23"/>
    <w:rsid w:val="71ED1E0E"/>
    <w:rsid w:val="71EF2FF8"/>
    <w:rsid w:val="7218332F"/>
    <w:rsid w:val="72582F77"/>
    <w:rsid w:val="72D42587"/>
    <w:rsid w:val="72E748B9"/>
    <w:rsid w:val="73170A9E"/>
    <w:rsid w:val="732F323D"/>
    <w:rsid w:val="73366557"/>
    <w:rsid w:val="73440164"/>
    <w:rsid w:val="73777251"/>
    <w:rsid w:val="73EA1227"/>
    <w:rsid w:val="741A6A09"/>
    <w:rsid w:val="74602E78"/>
    <w:rsid w:val="74D57EA9"/>
    <w:rsid w:val="74F001B7"/>
    <w:rsid w:val="74F5201F"/>
    <w:rsid w:val="751656EF"/>
    <w:rsid w:val="75855496"/>
    <w:rsid w:val="75B15371"/>
    <w:rsid w:val="75FD7C83"/>
    <w:rsid w:val="76216770"/>
    <w:rsid w:val="7622503A"/>
    <w:rsid w:val="7636124F"/>
    <w:rsid w:val="76A342F7"/>
    <w:rsid w:val="76CD12D3"/>
    <w:rsid w:val="76DF1C5E"/>
    <w:rsid w:val="77154D4F"/>
    <w:rsid w:val="77547621"/>
    <w:rsid w:val="777C0DB5"/>
    <w:rsid w:val="77951EB9"/>
    <w:rsid w:val="77E837A3"/>
    <w:rsid w:val="785E3A03"/>
    <w:rsid w:val="786152A8"/>
    <w:rsid w:val="789D0970"/>
    <w:rsid w:val="78DF261A"/>
    <w:rsid w:val="791308CA"/>
    <w:rsid w:val="796E711F"/>
    <w:rsid w:val="79797D4B"/>
    <w:rsid w:val="79A846F9"/>
    <w:rsid w:val="7A0348C4"/>
    <w:rsid w:val="7B02185D"/>
    <w:rsid w:val="7B45111E"/>
    <w:rsid w:val="7B4A02D1"/>
    <w:rsid w:val="7B6965AE"/>
    <w:rsid w:val="7C0B7241"/>
    <w:rsid w:val="7CEF361E"/>
    <w:rsid w:val="7CFF1888"/>
    <w:rsid w:val="7DBD6D0B"/>
    <w:rsid w:val="7E6A2F6E"/>
    <w:rsid w:val="7FA26A8C"/>
    <w:rsid w:val="7FE231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qFormat/>
    <w:uiPriority w:val="0"/>
    <w:pPr>
      <w:keepNext/>
      <w:keepLines/>
      <w:spacing w:before="340" w:beforeLines="0" w:beforeAutospacing="0" w:after="330" w:afterLines="0" w:afterAutospacing="0" w:line="240" w:lineRule="auto"/>
      <w:jc w:val="left"/>
      <w:outlineLvl w:val="0"/>
    </w:pPr>
    <w:rPr>
      <w:rFonts w:eastAsia="黑体" w:asciiTheme="minorAscii" w:hAnsiTheme="minorAscii"/>
      <w:b/>
      <w:kern w:val="44"/>
      <w:sz w:val="24"/>
      <w:szCs w:val="22"/>
    </w:rPr>
  </w:style>
  <w:style w:type="paragraph" w:styleId="7">
    <w:name w:val="heading 2"/>
    <w:basedOn w:val="1"/>
    <w:next w:val="1"/>
    <w:link w:val="41"/>
    <w:unhideWhenUsed/>
    <w:qFormat/>
    <w:uiPriority w:val="0"/>
    <w:pPr>
      <w:keepNext/>
      <w:keepLines/>
      <w:spacing w:before="260" w:beforeLines="0" w:beforeAutospacing="0" w:after="260" w:afterLines="0" w:afterAutospacing="0" w:line="360" w:lineRule="auto"/>
      <w:outlineLvl w:val="1"/>
    </w:pPr>
    <w:rPr>
      <w:rFonts w:ascii="Arial" w:hAnsi="Arial" w:eastAsia="黑体"/>
      <w:b/>
      <w:sz w:val="32"/>
    </w:rPr>
  </w:style>
  <w:style w:type="paragraph" w:styleId="8">
    <w:name w:val="heading 4"/>
    <w:basedOn w:val="1"/>
    <w:next w:val="1"/>
    <w:link w:val="42"/>
    <w:unhideWhenUsed/>
    <w:qFormat/>
    <w:uiPriority w:val="0"/>
    <w:pPr>
      <w:keepNext/>
      <w:keepLines/>
      <w:spacing w:before="280" w:beforeLines="0" w:beforeAutospacing="0" w:after="290" w:afterLines="0" w:afterAutospacing="0" w:line="360" w:lineRule="atLeast"/>
      <w:outlineLvl w:val="3"/>
    </w:pPr>
    <w:rPr>
      <w:rFonts w:ascii="Arial" w:hAnsi="Arial" w:eastAsia="黑体"/>
      <w:b/>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unhideWhenUsed/>
    <w:qFormat/>
    <w:uiPriority w:val="99"/>
    <w:pPr>
      <w:ind w:firstLine="420" w:firstLineChars="200"/>
    </w:pPr>
  </w:style>
  <w:style w:type="paragraph" w:styleId="3">
    <w:name w:val="Body Text Indent"/>
    <w:basedOn w:val="1"/>
    <w:next w:val="4"/>
    <w:qFormat/>
    <w:uiPriority w:val="0"/>
    <w:pPr>
      <w:spacing w:after="120"/>
      <w:ind w:left="420" w:leftChars="200"/>
    </w:pPr>
    <w:rPr>
      <w:kern w:val="0"/>
      <w:sz w:val="24"/>
      <w:szCs w:val="20"/>
    </w:rPr>
  </w:style>
  <w:style w:type="paragraph" w:customStyle="1" w:styleId="4">
    <w:name w:val="样式 正文文本缩进 + 行距: 1.5 倍行距"/>
    <w:basedOn w:val="5"/>
    <w:next w:val="1"/>
    <w:qFormat/>
    <w:uiPriority w:val="0"/>
    <w:pPr>
      <w:spacing w:after="120" w:line="360" w:lineRule="auto"/>
      <w:ind w:left="90" w:leftChars="32" w:firstLine="560" w:firstLineChars="200"/>
    </w:pPr>
    <w:rPr>
      <w:rFonts w:cs="宋体"/>
      <w:sz w:val="24"/>
    </w:rPr>
  </w:style>
  <w:style w:type="paragraph" w:customStyle="1" w:styleId="5">
    <w:name w:val="Body Text Indent"/>
    <w:basedOn w:val="1"/>
    <w:next w:val="4"/>
    <w:qFormat/>
    <w:uiPriority w:val="0"/>
    <w:pPr>
      <w:spacing w:after="120" w:afterLines="0"/>
      <w:ind w:left="420" w:leftChars="200"/>
    </w:pPr>
    <w:rPr>
      <w:rFonts w:ascii="Times New Roman" w:hAnsi="Times New Roman" w:eastAsia="宋体"/>
      <w:sz w:val="24"/>
    </w:rPr>
  </w:style>
  <w:style w:type="paragraph" w:styleId="9">
    <w:name w:val="Normal Indent"/>
    <w:basedOn w:val="1"/>
    <w:next w:val="2"/>
    <w:qFormat/>
    <w:uiPriority w:val="0"/>
    <w:pPr>
      <w:ind w:firstLine="420" w:firstLineChars="200"/>
    </w:pPr>
    <w:rPr>
      <w:szCs w:val="20"/>
    </w:rPr>
  </w:style>
  <w:style w:type="paragraph" w:styleId="10">
    <w:name w:val="annotation text"/>
    <w:basedOn w:val="1"/>
    <w:semiHidden/>
    <w:qFormat/>
    <w:uiPriority w:val="0"/>
    <w:pPr>
      <w:jc w:val="left"/>
    </w:pPr>
    <w:rPr>
      <w:kern w:val="0"/>
      <w:sz w:val="24"/>
      <w:szCs w:val="20"/>
    </w:rPr>
  </w:style>
  <w:style w:type="paragraph" w:styleId="11">
    <w:name w:val="Body Text"/>
    <w:basedOn w:val="1"/>
    <w:qFormat/>
    <w:uiPriority w:val="0"/>
    <w:pPr>
      <w:widowControl/>
      <w:snapToGrid w:val="0"/>
      <w:spacing w:before="60" w:after="160" w:line="259" w:lineRule="auto"/>
      <w:ind w:right="113"/>
    </w:pPr>
    <w:rPr>
      <w:kern w:val="0"/>
      <w:sz w:val="18"/>
      <w:szCs w:val="20"/>
    </w:rPr>
  </w:style>
  <w:style w:type="paragraph" w:styleId="12">
    <w:name w:val="toc 3"/>
    <w:basedOn w:val="1"/>
    <w:next w:val="1"/>
    <w:qFormat/>
    <w:uiPriority w:val="0"/>
    <w:pPr>
      <w:ind w:left="420"/>
      <w:jc w:val="left"/>
    </w:pPr>
    <w:rPr>
      <w:i/>
      <w:sz w:val="20"/>
      <w:szCs w:val="20"/>
    </w:rPr>
  </w:style>
  <w:style w:type="paragraph" w:styleId="13">
    <w:name w:val="Plain Text"/>
    <w:basedOn w:val="1"/>
    <w:next w:val="1"/>
    <w:qFormat/>
    <w:uiPriority w:val="0"/>
    <w:rPr>
      <w:rFonts w:ascii="宋体" w:hAnsi="Courier New"/>
      <w:szCs w:val="20"/>
    </w:rPr>
  </w:style>
  <w:style w:type="paragraph" w:styleId="14">
    <w:name w:val="Body Text Indent 2"/>
    <w:basedOn w:val="1"/>
    <w:qFormat/>
    <w:uiPriority w:val="0"/>
    <w:pPr>
      <w:spacing w:before="240" w:beforeLines="0" w:line="360" w:lineRule="auto"/>
      <w:ind w:firstLine="560" w:firstLineChars="200"/>
    </w:pPr>
    <w:rPr>
      <w:sz w:val="28"/>
    </w:rPr>
  </w:style>
  <w:style w:type="paragraph" w:styleId="15">
    <w:name w:val="footer"/>
    <w:basedOn w:val="1"/>
    <w:qFormat/>
    <w:uiPriority w:val="99"/>
    <w:pPr>
      <w:tabs>
        <w:tab w:val="center" w:pos="4153"/>
        <w:tab w:val="right" w:pos="8306"/>
      </w:tabs>
      <w:snapToGrid w:val="0"/>
      <w:jc w:val="left"/>
    </w:pPr>
    <w:rPr>
      <w:kern w:val="0"/>
      <w:sz w:val="18"/>
      <w:szCs w:val="20"/>
    </w:rPr>
  </w:style>
  <w:style w:type="paragraph" w:styleId="16">
    <w:name w:val="header"/>
    <w:basedOn w:val="1"/>
    <w:next w:val="17"/>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7">
    <w:name w:val="样式5"/>
    <w:basedOn w:val="18"/>
    <w:next w:val="1"/>
    <w:qFormat/>
    <w:uiPriority w:val="0"/>
    <w:pPr>
      <w:snapToGrid w:val="0"/>
      <w:spacing w:before="62" w:beforeLines="20" w:after="62" w:afterLines="20" w:line="480" w:lineRule="exact"/>
      <w:ind w:firstLine="523" w:firstLineChars="218"/>
      <w:jc w:val="both"/>
    </w:pPr>
    <w:rPr>
      <w:i/>
      <w:iCs/>
      <w:kern w:val="2"/>
      <w:sz w:val="24"/>
      <w:szCs w:val="20"/>
    </w:rPr>
  </w:style>
  <w:style w:type="paragraph" w:customStyle="1" w:styleId="18">
    <w:name w:val="正文1"/>
    <w:basedOn w:val="1"/>
    <w:next w:val="1"/>
    <w:qFormat/>
    <w:uiPriority w:val="0"/>
    <w:pPr>
      <w:adjustRightInd w:val="0"/>
      <w:snapToGrid w:val="0"/>
      <w:spacing w:line="500" w:lineRule="atLeast"/>
      <w:ind w:firstLine="567"/>
    </w:pPr>
    <w:rPr>
      <w:sz w:val="28"/>
    </w:rPr>
  </w:style>
  <w:style w:type="paragraph" w:styleId="19">
    <w:name w:val="Normal (Web)"/>
    <w:basedOn w:val="1"/>
    <w:qFormat/>
    <w:uiPriority w:val="0"/>
    <w:pPr>
      <w:widowControl/>
      <w:spacing w:before="100" w:beforeAutospacing="1" w:after="100" w:afterAutospacing="1"/>
      <w:jc w:val="left"/>
    </w:pPr>
    <w:rPr>
      <w:rFonts w:ascii="宋体" w:hAnsi="宋体"/>
      <w:kern w:val="0"/>
      <w:sz w:val="24"/>
      <w:szCs w:val="20"/>
    </w:rPr>
  </w:style>
  <w:style w:type="table" w:styleId="21">
    <w:name w:val="Table Grid"/>
    <w:basedOn w:val="2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22"/>
    <w:rPr>
      <w:b/>
      <w:bCs/>
    </w:rPr>
  </w:style>
  <w:style w:type="character" w:styleId="24">
    <w:name w:val="page number"/>
    <w:basedOn w:val="22"/>
    <w:qFormat/>
    <w:uiPriority w:val="0"/>
  </w:style>
  <w:style w:type="character" w:styleId="25">
    <w:name w:val="FollowedHyperlink"/>
    <w:basedOn w:val="22"/>
    <w:qFormat/>
    <w:uiPriority w:val="0"/>
    <w:rPr>
      <w:color w:val="800080"/>
      <w:u w:val="none"/>
    </w:rPr>
  </w:style>
  <w:style w:type="character" w:styleId="26">
    <w:name w:val="Hyperlink"/>
    <w:basedOn w:val="22"/>
    <w:qFormat/>
    <w:uiPriority w:val="0"/>
    <w:rPr>
      <w:color w:val="0000FF"/>
      <w:u w:val="none"/>
    </w:rPr>
  </w:style>
  <w:style w:type="paragraph" w:customStyle="1" w:styleId="27">
    <w:name w:val="正文.."/>
    <w:basedOn w:val="1"/>
    <w:qFormat/>
    <w:uiPriority w:val="0"/>
    <w:pPr>
      <w:ind w:right="120" w:rightChars="50" w:firstLine="480" w:firstLineChars="200"/>
    </w:pPr>
    <w:rPr>
      <w:rFonts w:hint="default" w:asciiTheme="minorAscii" w:hAnsiTheme="minorAscii"/>
      <w:sz w:val="24"/>
      <w:szCs w:val="22"/>
    </w:rPr>
  </w:style>
  <w:style w:type="paragraph" w:customStyle="1" w:styleId="28">
    <w:name w:val="正文文本缩进1"/>
    <w:basedOn w:val="1"/>
    <w:next w:val="4"/>
    <w:qFormat/>
    <w:uiPriority w:val="0"/>
    <w:pPr>
      <w:ind w:left="420" w:leftChars="200"/>
    </w:pPr>
    <w:rPr>
      <w:rFonts w:ascii="Times New Roman" w:hAnsi="Times New Roman" w:eastAsia="宋体"/>
      <w:sz w:val="24"/>
    </w:rPr>
  </w:style>
  <w:style w:type="paragraph" w:customStyle="1" w:styleId="29">
    <w:name w:val="样式 标题 1一级标题 + 段前: 0.5 行 段后: 0.5 行"/>
    <w:basedOn w:val="6"/>
    <w:qFormat/>
    <w:uiPriority w:val="99"/>
    <w:pPr>
      <w:spacing w:line="320" w:lineRule="exact"/>
      <w:outlineLvl w:val="9"/>
    </w:pPr>
    <w:rPr>
      <w:spacing w:val="-6"/>
      <w:sz w:val="21"/>
      <w:szCs w:val="21"/>
    </w:rPr>
  </w:style>
  <w:style w:type="paragraph" w:customStyle="1" w:styleId="30">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31">
    <w:name w:val="样式4"/>
    <w:basedOn w:val="1"/>
    <w:qFormat/>
    <w:uiPriority w:val="0"/>
    <w:pPr>
      <w:spacing w:line="360" w:lineRule="auto"/>
      <w:ind w:firstLine="200" w:firstLineChars="200"/>
      <w:jc w:val="left"/>
    </w:pPr>
    <w:rPr>
      <w:rFonts w:ascii="Calibri" w:hAnsi="Calibri" w:eastAsia="宋体" w:cs="Times New Roman"/>
      <w:sz w:val="28"/>
      <w:szCs w:val="22"/>
    </w:rPr>
  </w:style>
  <w:style w:type="paragraph" w:customStyle="1" w:styleId="32">
    <w:name w:val="表中文字1"/>
    <w:basedOn w:val="1"/>
    <w:qFormat/>
    <w:uiPriority w:val="0"/>
    <w:pPr>
      <w:widowControl/>
      <w:jc w:val="center"/>
    </w:pPr>
    <w:rPr>
      <w:rFonts w:ascii="Arial" w:hAnsi="Arial" w:cs="Arial"/>
      <w:kern w:val="0"/>
      <w:szCs w:val="21"/>
    </w:rPr>
  </w:style>
  <w:style w:type="paragraph" w:customStyle="1" w:styleId="33">
    <w:name w:val="Table Paragraph"/>
    <w:basedOn w:val="1"/>
    <w:qFormat/>
    <w:uiPriority w:val="1"/>
    <w:rPr>
      <w:rFonts w:ascii="宋体" w:hAnsi="宋体" w:cs="宋体"/>
      <w:lang w:val="zh-CN" w:bidi="zh-CN"/>
    </w:rPr>
  </w:style>
  <w:style w:type="paragraph" w:customStyle="1" w:styleId="34">
    <w:name w:val="表格-居中"/>
    <w:basedOn w:val="1"/>
    <w:qFormat/>
    <w:uiPriority w:val="0"/>
    <w:pPr>
      <w:spacing w:line="320" w:lineRule="exact"/>
      <w:jc w:val="center"/>
    </w:pPr>
    <w:rPr>
      <w:rFonts w:ascii="宋体"/>
      <w:szCs w:val="21"/>
    </w:rPr>
  </w:style>
  <w:style w:type="paragraph" w:customStyle="1" w:styleId="35">
    <w:name w:val="char"/>
    <w:basedOn w:val="1"/>
    <w:qFormat/>
    <w:uiPriority w:val="0"/>
    <w:pPr>
      <w:widowControl/>
      <w:spacing w:after="160" w:afterLines="0" w:line="240" w:lineRule="exact"/>
      <w:jc w:val="left"/>
    </w:pPr>
  </w:style>
  <w:style w:type="paragraph" w:styleId="36">
    <w:name w:val="List Paragraph"/>
    <w:basedOn w:val="1"/>
    <w:qFormat/>
    <w:uiPriority w:val="34"/>
    <w:pPr>
      <w:ind w:firstLine="420" w:firstLineChars="200"/>
    </w:pPr>
    <w:rPr>
      <w:sz w:val="24"/>
    </w:rPr>
  </w:style>
  <w:style w:type="paragraph" w:customStyle="1" w:styleId="37">
    <w:name w:val="表格内容"/>
    <w:basedOn w:val="9"/>
    <w:next w:val="1"/>
    <w:qFormat/>
    <w:uiPriority w:val="0"/>
    <w:pPr>
      <w:adjustRightInd w:val="0"/>
      <w:snapToGrid w:val="0"/>
      <w:jc w:val="center"/>
    </w:pPr>
    <w:rPr>
      <w:color w:val="000000"/>
      <w:szCs w:val="21"/>
    </w:rPr>
  </w:style>
  <w:style w:type="paragraph" w:customStyle="1" w:styleId="3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39">
    <w:name w:val="font21"/>
    <w:basedOn w:val="22"/>
    <w:qFormat/>
    <w:uiPriority w:val="0"/>
    <w:rPr>
      <w:rFonts w:hint="default" w:ascii="Times New Roman" w:hAnsi="Times New Roman" w:cs="Times New Roman"/>
      <w:color w:val="000000"/>
      <w:sz w:val="21"/>
      <w:szCs w:val="21"/>
      <w:u w:val="none"/>
    </w:rPr>
  </w:style>
  <w:style w:type="character" w:customStyle="1" w:styleId="40">
    <w:name w:val="font11"/>
    <w:basedOn w:val="22"/>
    <w:qFormat/>
    <w:uiPriority w:val="0"/>
    <w:rPr>
      <w:rFonts w:hint="eastAsia" w:ascii="宋体" w:hAnsi="宋体" w:eastAsia="宋体" w:cs="宋体"/>
      <w:color w:val="000000"/>
      <w:sz w:val="21"/>
      <w:szCs w:val="21"/>
      <w:u w:val="none"/>
    </w:rPr>
  </w:style>
  <w:style w:type="character" w:customStyle="1" w:styleId="41">
    <w:name w:val="标题 2 Char"/>
    <w:link w:val="7"/>
    <w:qFormat/>
    <w:uiPriority w:val="0"/>
    <w:rPr>
      <w:rFonts w:ascii="Arial" w:hAnsi="Arial" w:eastAsia="黑体"/>
      <w:b/>
      <w:sz w:val="32"/>
    </w:rPr>
  </w:style>
  <w:style w:type="character" w:customStyle="1" w:styleId="42">
    <w:name w:val="标题 4 Char"/>
    <w:link w:val="8"/>
    <w:qFormat/>
    <w:uiPriority w:val="0"/>
    <w:rPr>
      <w:rFonts w:ascii="Arial" w:hAnsi="Arial" w:eastAsia="黑体"/>
      <w:b/>
      <w:sz w:val="21"/>
    </w:rPr>
  </w:style>
  <w:style w:type="character" w:customStyle="1" w:styleId="43">
    <w:name w:val="font31"/>
    <w:basedOn w:val="22"/>
    <w:qFormat/>
    <w:uiPriority w:val="0"/>
    <w:rPr>
      <w:rFonts w:hint="eastAsia" w:ascii="宋体" w:hAnsi="宋体" w:eastAsia="宋体" w:cs="宋体"/>
      <w:color w:val="000000"/>
      <w:sz w:val="21"/>
      <w:szCs w:val="21"/>
      <w:u w:val="none"/>
      <w:vertAlign w:val="subscript"/>
    </w:rPr>
  </w:style>
  <w:style w:type="paragraph" w:customStyle="1" w:styleId="44">
    <w:name w:val="样式 正文 行距: 固定值 25 磅"/>
    <w:basedOn w:val="1"/>
    <w:qFormat/>
    <w:uiPriority w:val="0"/>
    <w:pPr>
      <w:adjustRightInd w:val="0"/>
      <w:spacing w:line="500" w:lineRule="exact"/>
      <w:ind w:firstLine="200" w:firstLineChars="200"/>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26.jpeg"/><Relationship Id="rId44" Type="http://schemas.openxmlformats.org/officeDocument/2006/relationships/image" Target="media/image25.jpeg"/><Relationship Id="rId43" Type="http://schemas.openxmlformats.org/officeDocument/2006/relationships/image" Target="media/image24.jpeg"/><Relationship Id="rId42" Type="http://schemas.openxmlformats.org/officeDocument/2006/relationships/image" Target="media/image23.jpeg"/><Relationship Id="rId41" Type="http://schemas.openxmlformats.org/officeDocument/2006/relationships/image" Target="media/image22.jpeg"/><Relationship Id="rId40" Type="http://schemas.openxmlformats.org/officeDocument/2006/relationships/image" Target="media/image21.jpeg"/><Relationship Id="rId4" Type="http://schemas.openxmlformats.org/officeDocument/2006/relationships/footer" Target="footer2.xml"/><Relationship Id="rId39" Type="http://schemas.openxmlformats.org/officeDocument/2006/relationships/image" Target="media/image20.jpeg"/><Relationship Id="rId38" Type="http://schemas.openxmlformats.org/officeDocument/2006/relationships/image" Target="media/image19.jpeg"/><Relationship Id="rId37" Type="http://schemas.openxmlformats.org/officeDocument/2006/relationships/image" Target="media/image18.jpeg"/><Relationship Id="rId36" Type="http://schemas.openxmlformats.org/officeDocument/2006/relationships/image" Target="media/image17.jpeg"/><Relationship Id="rId35" Type="http://schemas.openxmlformats.org/officeDocument/2006/relationships/image" Target="media/image16.jpeg"/><Relationship Id="rId34" Type="http://schemas.openxmlformats.org/officeDocument/2006/relationships/image" Target="media/image15.jpeg"/><Relationship Id="rId33" Type="http://schemas.openxmlformats.org/officeDocument/2006/relationships/image" Target="media/image14.jpeg"/><Relationship Id="rId32" Type="http://schemas.openxmlformats.org/officeDocument/2006/relationships/image" Target="media/image13.emf"/><Relationship Id="rId31" Type="http://schemas.openxmlformats.org/officeDocument/2006/relationships/oleObject" Target="embeddings/oleObject11.bin"/><Relationship Id="rId30" Type="http://schemas.openxmlformats.org/officeDocument/2006/relationships/image" Target="media/image12.emf"/><Relationship Id="rId3" Type="http://schemas.openxmlformats.org/officeDocument/2006/relationships/footer" Target="footer1.xml"/><Relationship Id="rId29" Type="http://schemas.openxmlformats.org/officeDocument/2006/relationships/oleObject" Target="embeddings/oleObject10.bin"/><Relationship Id="rId28" Type="http://schemas.openxmlformats.org/officeDocument/2006/relationships/image" Target="media/image11.emf"/><Relationship Id="rId27" Type="http://schemas.openxmlformats.org/officeDocument/2006/relationships/oleObject" Target="embeddings/oleObject9.bin"/><Relationship Id="rId26" Type="http://schemas.openxmlformats.org/officeDocument/2006/relationships/image" Target="media/image10.emf"/><Relationship Id="rId25" Type="http://schemas.openxmlformats.org/officeDocument/2006/relationships/oleObject" Target="embeddings/oleObject8.bin"/><Relationship Id="rId24" Type="http://schemas.openxmlformats.org/officeDocument/2006/relationships/image" Target="media/image9.emf"/><Relationship Id="rId23" Type="http://schemas.openxmlformats.org/officeDocument/2006/relationships/oleObject" Target="embeddings/oleObject7.bin"/><Relationship Id="rId22" Type="http://schemas.openxmlformats.org/officeDocument/2006/relationships/image" Target="media/image8.emf"/><Relationship Id="rId21" Type="http://schemas.openxmlformats.org/officeDocument/2006/relationships/oleObject" Target="embeddings/oleObject6.bin"/><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5.bin"/><Relationship Id="rId17" Type="http://schemas.openxmlformats.org/officeDocument/2006/relationships/image" Target="media/image5.emf"/><Relationship Id="rId16" Type="http://schemas.openxmlformats.org/officeDocument/2006/relationships/oleObject" Target="embeddings/oleObject4.bin"/><Relationship Id="rId15" Type="http://schemas.openxmlformats.org/officeDocument/2006/relationships/image" Target="media/image4.emf"/><Relationship Id="rId14" Type="http://schemas.openxmlformats.org/officeDocument/2006/relationships/oleObject" Target="embeddings/oleObject3.bin"/><Relationship Id="rId13" Type="http://schemas.openxmlformats.org/officeDocument/2006/relationships/image" Target="media/image3.emf"/><Relationship Id="rId12" Type="http://schemas.openxmlformats.org/officeDocument/2006/relationships/oleObject" Target="embeddings/oleObject2.bin"/><Relationship Id="rId11" Type="http://schemas.openxmlformats.org/officeDocument/2006/relationships/image" Target="media/image2.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78</Pages>
  <Words>36474</Words>
  <Characters>44640</Characters>
  <Lines>0</Lines>
  <Paragraphs>0</Paragraphs>
  <TotalTime>37</TotalTime>
  <ScaleCrop>false</ScaleCrop>
  <LinksUpToDate>false</LinksUpToDate>
  <CharactersWithSpaces>44944</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2022-10-19T00:07:00Z</dcterms:created>
  <dc:creator>Administrator</dc:creator>
  <cp:lastModifiedBy>温玉彤 ҉҉҉҉҉҉҉</cp:lastModifiedBy>
  <dcterms:modified xsi:type="dcterms:W3CDTF">2022-12-02T01:27:27Z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35F979570D5F4FD89BF97DFCE184729B</vt:lpwstr>
  </property>
</Properties>
</file>