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6"/>
          <w:szCs w:val="36"/>
          <w:highlight w:val="none"/>
        </w:rPr>
      </w:pPr>
    </w:p>
    <w:p>
      <w:pPr>
        <w:rPr>
          <w:rFonts w:hint="default" w:ascii="Times New Roman" w:hAnsi="Times New Roman" w:eastAsia="仿宋_GB2312" w:cs="Times New Roman"/>
          <w:sz w:val="36"/>
          <w:szCs w:val="36"/>
          <w:highlight w:val="none"/>
        </w:rPr>
      </w:pPr>
    </w:p>
    <w:p>
      <w:pPr>
        <w:rPr>
          <w:rFonts w:hint="default" w:ascii="Times New Roman" w:hAnsi="Times New Roman" w:eastAsia="仿宋_GB2312" w:cs="Times New Roman"/>
          <w:sz w:val="36"/>
          <w:szCs w:val="36"/>
          <w:highlight w:val="none"/>
        </w:rPr>
      </w:pPr>
    </w:p>
    <w:p>
      <w:pPr>
        <w:rPr>
          <w:rFonts w:hint="default" w:ascii="Times New Roman" w:hAnsi="Times New Roman" w:eastAsia="仿宋_GB2312" w:cs="Times New Roman"/>
          <w:sz w:val="36"/>
          <w:szCs w:val="36"/>
          <w:highlight w:val="none"/>
        </w:rPr>
      </w:pPr>
    </w:p>
    <w:p>
      <w:pPr>
        <w:rPr>
          <w:rFonts w:hint="default" w:ascii="Times New Roman" w:hAnsi="Times New Roman" w:eastAsia="仿宋_GB2312" w:cs="Times New Roman"/>
          <w:sz w:val="36"/>
          <w:szCs w:val="36"/>
          <w:highlight w:val="none"/>
        </w:rPr>
      </w:pPr>
    </w:p>
    <w:p>
      <w:pPr>
        <w:adjustRightInd w:val="0"/>
        <w:snapToGrid w:val="0"/>
        <w:jc w:val="center"/>
        <w:outlineLvl w:val="0"/>
        <w:rPr>
          <w:rFonts w:hint="default" w:ascii="Times New Roman" w:hAnsi="Times New Roman" w:eastAsia="方正小标宋_GBK" w:cs="Times New Roman"/>
          <w:bCs/>
          <w:sz w:val="72"/>
          <w:szCs w:val="72"/>
          <w:highlight w:val="none"/>
        </w:rPr>
      </w:pPr>
      <w:r>
        <w:rPr>
          <w:rFonts w:hint="default" w:ascii="Times New Roman" w:hAnsi="Times New Roman" w:eastAsia="方正小标宋_GBK" w:cs="Times New Roman"/>
          <w:bCs/>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highlight w:val="none"/>
        </w:rPr>
      </w:pPr>
      <w:r>
        <w:rPr>
          <w:rFonts w:hint="default" w:ascii="Times New Roman" w:hAnsi="Times New Roman" w:eastAsia="楷体_GB2312" w:cs="Times New Roman"/>
          <w:bCs/>
          <w:sz w:val="48"/>
          <w:szCs w:val="48"/>
          <w:highlight w:val="none"/>
        </w:rPr>
        <w:t>（污染影响类）</w:t>
      </w:r>
    </w:p>
    <w:p>
      <w:pPr>
        <w:adjustRightInd w:val="0"/>
        <w:snapToGrid w:val="0"/>
        <w:spacing w:line="288" w:lineRule="auto"/>
        <w:jc w:val="center"/>
        <w:rPr>
          <w:rFonts w:hint="default" w:ascii="Times New Roman" w:hAnsi="Times New Roman" w:eastAsia="华文仿宋" w:cs="Times New Roman"/>
          <w:color w:val="000000"/>
          <w:kern w:val="44"/>
          <w:sz w:val="44"/>
          <w:szCs w:val="44"/>
          <w:highlight w:val="none"/>
        </w:rPr>
      </w:pPr>
    </w:p>
    <w:p>
      <w:pPr>
        <w:jc w:val="center"/>
        <w:rPr>
          <w:rFonts w:hint="default" w:ascii="Times New Roman" w:hAnsi="Times New Roman" w:eastAsia="仿宋" w:cs="Times New Roman"/>
          <w:sz w:val="52"/>
          <w:szCs w:val="52"/>
          <w:highlight w:val="none"/>
        </w:rPr>
      </w:pPr>
    </w:p>
    <w:p>
      <w:pPr>
        <w:ind w:firstLine="1040"/>
        <w:rPr>
          <w:rFonts w:hint="default" w:ascii="Times New Roman" w:hAnsi="Times New Roman" w:eastAsia="仿宋" w:cs="Times New Roman"/>
          <w:sz w:val="44"/>
          <w:szCs w:val="44"/>
          <w:highlight w:val="none"/>
        </w:rPr>
      </w:pPr>
    </w:p>
    <w:p>
      <w:pPr>
        <w:ind w:firstLine="1040"/>
        <w:rPr>
          <w:rFonts w:hint="default" w:ascii="Times New Roman" w:hAnsi="Times New Roman" w:eastAsia="仿宋" w:cs="Times New Roman"/>
          <w:sz w:val="44"/>
          <w:szCs w:val="44"/>
          <w:highlight w:val="none"/>
        </w:rPr>
      </w:pPr>
    </w:p>
    <w:p>
      <w:pPr>
        <w:ind w:firstLine="1040"/>
        <w:rPr>
          <w:rFonts w:hint="default" w:ascii="Times New Roman" w:hAnsi="Times New Roman" w:eastAsia="仿宋" w:cs="Times New Roman"/>
          <w:sz w:val="44"/>
          <w:szCs w:val="44"/>
          <w:highlight w:val="none"/>
        </w:rPr>
      </w:pPr>
    </w:p>
    <w:p>
      <w:pPr>
        <w:ind w:firstLine="1040"/>
        <w:rPr>
          <w:rFonts w:hint="default" w:ascii="Times New Roman" w:hAnsi="Times New Roman" w:eastAsia="仿宋" w:cs="Times New Roman"/>
          <w:sz w:val="44"/>
          <w:szCs w:val="44"/>
          <w:highlight w:val="none"/>
        </w:rPr>
      </w:pPr>
    </w:p>
    <w:p>
      <w:pPr>
        <w:adjustRightInd w:val="0"/>
        <w:snapToGrid w:val="0"/>
        <w:spacing w:line="288" w:lineRule="auto"/>
        <w:ind w:firstLine="1040"/>
        <w:rPr>
          <w:rFonts w:hint="default" w:ascii="Times New Roman" w:hAnsi="Times New Roman" w:eastAsia="仿宋_GB2312" w:cs="Times New Roman"/>
          <w:sz w:val="36"/>
          <w:szCs w:val="36"/>
          <w:highlight w:val="none"/>
          <w:u w:val="single"/>
          <w:lang w:val="en-US"/>
        </w:rPr>
      </w:pPr>
      <w:r>
        <w:rPr>
          <w:rFonts w:hint="default" w:ascii="Times New Roman" w:hAnsi="Times New Roman" w:eastAsia="仿宋_GB2312" w:cs="Times New Roman"/>
          <w:sz w:val="36"/>
          <w:szCs w:val="36"/>
          <w:highlight w:val="none"/>
        </w:rPr>
        <w:t>项目名称：</w:t>
      </w:r>
      <w:r>
        <w:rPr>
          <w:rFonts w:hint="default" w:ascii="Times New Roman" w:hAnsi="Times New Roman" w:eastAsia="仿宋_GB2312" w:cs="Times New Roman"/>
          <w:spacing w:val="-17"/>
          <w:sz w:val="36"/>
          <w:szCs w:val="36"/>
          <w:highlight w:val="none"/>
          <w:u w:val="single"/>
          <w:lang w:val="en-US" w:eastAsia="zh-CN"/>
        </w:rPr>
        <w:t xml:space="preserve">桓台昱丰包装制品厂塑料制品生产项目         </w:t>
      </w:r>
    </w:p>
    <w:p>
      <w:pPr>
        <w:adjustRightInd w:val="0"/>
        <w:snapToGrid w:val="0"/>
        <w:spacing w:line="288" w:lineRule="auto"/>
        <w:ind w:firstLine="1040"/>
        <w:rPr>
          <w:rFonts w:hint="default" w:ascii="Times New Roman" w:hAnsi="Times New Roman" w:eastAsia="仿宋_GB2312" w:cs="Times New Roman"/>
          <w:sz w:val="36"/>
          <w:szCs w:val="36"/>
          <w:highlight w:val="none"/>
          <w:u w:val="single"/>
        </w:rPr>
      </w:pPr>
      <w:r>
        <w:rPr>
          <w:rFonts w:hint="default" w:ascii="Times New Roman" w:hAnsi="Times New Roman" w:eastAsia="仿宋_GB2312" w:cs="Times New Roman"/>
          <w:sz w:val="36"/>
          <w:szCs w:val="36"/>
          <w:highlight w:val="none"/>
        </w:rPr>
        <w:t>建设单位（盖章）：</w:t>
      </w:r>
      <w:r>
        <w:rPr>
          <w:rFonts w:hint="default" w:ascii="Times New Roman" w:hAnsi="Times New Roman" w:eastAsia="仿宋_GB2312" w:cs="Times New Roman"/>
          <w:spacing w:val="-17"/>
          <w:sz w:val="36"/>
          <w:szCs w:val="36"/>
          <w:highlight w:val="none"/>
          <w:u w:val="single"/>
          <w:lang w:val="en-US" w:eastAsia="zh-CN"/>
        </w:rPr>
        <w:t>桓台昱丰包装制品厂</w:t>
      </w:r>
      <w:r>
        <w:rPr>
          <w:rFonts w:hint="default" w:ascii="Times New Roman" w:hAnsi="Times New Roman" w:eastAsia="仿宋_GB2312" w:cs="Times New Roman"/>
          <w:sz w:val="36"/>
          <w:szCs w:val="36"/>
          <w:highlight w:val="none"/>
          <w:u w:val="single"/>
        </w:rPr>
        <w:t xml:space="preserve">                   </w:t>
      </w:r>
    </w:p>
    <w:p>
      <w:pPr>
        <w:adjustRightInd w:val="0"/>
        <w:snapToGrid w:val="0"/>
        <w:spacing w:line="288" w:lineRule="auto"/>
        <w:ind w:firstLine="1040"/>
        <w:rPr>
          <w:rFonts w:hint="default" w:ascii="Times New Roman" w:hAnsi="Times New Roman" w:eastAsia="仿宋_GB2312" w:cs="Times New Roman"/>
          <w:sz w:val="36"/>
          <w:szCs w:val="36"/>
          <w:highlight w:val="none"/>
          <w:u w:val="single"/>
        </w:rPr>
      </w:pPr>
      <w:r>
        <w:rPr>
          <w:rFonts w:hint="default" w:ascii="Times New Roman" w:hAnsi="Times New Roman" w:eastAsia="仿宋_GB2312" w:cs="Times New Roman"/>
          <w:sz w:val="36"/>
          <w:szCs w:val="36"/>
          <w:highlight w:val="none"/>
        </w:rPr>
        <w:t>编制日期：</w:t>
      </w:r>
      <w:r>
        <w:rPr>
          <w:rFonts w:hint="default" w:ascii="Times New Roman" w:hAnsi="Times New Roman" w:eastAsia="仿宋_GB2312" w:cs="Times New Roman"/>
          <w:sz w:val="36"/>
          <w:szCs w:val="36"/>
          <w:highlight w:val="none"/>
          <w:u w:val="single"/>
        </w:rPr>
        <w:t xml:space="preserve">       202</w:t>
      </w:r>
      <w:r>
        <w:rPr>
          <w:rFonts w:hint="default" w:ascii="Times New Roman" w:hAnsi="Times New Roman" w:eastAsia="仿宋_GB2312" w:cs="Times New Roman"/>
          <w:sz w:val="36"/>
          <w:szCs w:val="36"/>
          <w:highlight w:val="none"/>
          <w:u w:val="single"/>
          <w:lang w:val="en-US" w:eastAsia="zh-CN"/>
        </w:rPr>
        <w:t>3</w:t>
      </w:r>
      <w:r>
        <w:rPr>
          <w:rFonts w:hint="default" w:ascii="Times New Roman" w:hAnsi="Times New Roman" w:eastAsia="仿宋_GB2312" w:cs="Times New Roman"/>
          <w:sz w:val="36"/>
          <w:szCs w:val="36"/>
          <w:highlight w:val="none"/>
          <w:u w:val="single"/>
        </w:rPr>
        <w:t>年</w:t>
      </w:r>
      <w:r>
        <w:rPr>
          <w:rFonts w:hint="eastAsia" w:eastAsia="仿宋_GB2312" w:cs="Times New Roman"/>
          <w:sz w:val="36"/>
          <w:szCs w:val="36"/>
          <w:highlight w:val="none"/>
          <w:u w:val="single"/>
          <w:lang w:val="en-US" w:eastAsia="zh-CN"/>
        </w:rPr>
        <w:t>2</w:t>
      </w:r>
      <w:r>
        <w:rPr>
          <w:rFonts w:hint="default" w:ascii="Times New Roman" w:hAnsi="Times New Roman" w:eastAsia="仿宋_GB2312" w:cs="Times New Roman"/>
          <w:sz w:val="36"/>
          <w:szCs w:val="36"/>
          <w:highlight w:val="none"/>
          <w:u w:val="single"/>
        </w:rPr>
        <w:t xml:space="preserve">月                    </w:t>
      </w:r>
    </w:p>
    <w:p>
      <w:pPr>
        <w:adjustRightInd w:val="0"/>
        <w:snapToGrid w:val="0"/>
        <w:spacing w:line="288" w:lineRule="auto"/>
        <w:ind w:firstLine="1040"/>
        <w:rPr>
          <w:rFonts w:hint="default" w:ascii="Times New Roman" w:hAnsi="Times New Roman" w:eastAsia="仿宋_GB2312" w:cs="Times New Roman"/>
          <w:sz w:val="36"/>
          <w:szCs w:val="36"/>
          <w:highlight w:val="none"/>
          <w:u w:val="single"/>
        </w:rPr>
      </w:pPr>
      <w:bookmarkStart w:id="0" w:name="_Hlk57884087"/>
    </w:p>
    <w:p>
      <w:pPr>
        <w:adjustRightInd w:val="0"/>
        <w:snapToGrid w:val="0"/>
        <w:spacing w:line="288" w:lineRule="auto"/>
        <w:ind w:firstLine="1040"/>
        <w:rPr>
          <w:rFonts w:hint="default" w:ascii="Times New Roman" w:hAnsi="Times New Roman" w:eastAsia="仿宋_GB2312" w:cs="Times New Roman"/>
          <w:sz w:val="36"/>
          <w:szCs w:val="36"/>
          <w:highlight w:val="none"/>
        </w:rPr>
      </w:pPr>
    </w:p>
    <w:p>
      <w:pPr>
        <w:adjustRightInd w:val="0"/>
        <w:snapToGrid w:val="0"/>
        <w:spacing w:line="288" w:lineRule="auto"/>
        <w:ind w:firstLine="1040"/>
        <w:rPr>
          <w:rFonts w:hint="default" w:ascii="Times New Roman" w:hAnsi="Times New Roman" w:eastAsia="仿宋_GB2312" w:cs="Times New Roman"/>
          <w:sz w:val="36"/>
          <w:szCs w:val="36"/>
          <w:highlight w:val="none"/>
        </w:rPr>
      </w:pPr>
    </w:p>
    <w:p>
      <w:pPr>
        <w:adjustRightInd w:val="0"/>
        <w:snapToGrid w:val="0"/>
        <w:spacing w:line="288" w:lineRule="auto"/>
        <w:ind w:firstLine="1040"/>
        <w:rPr>
          <w:rFonts w:hint="default" w:ascii="Times New Roman" w:hAnsi="Times New Roman" w:eastAsia="仿宋_GB2312" w:cs="Times New Roman"/>
          <w:sz w:val="36"/>
          <w:szCs w:val="36"/>
          <w:highlight w:val="none"/>
        </w:rPr>
      </w:pPr>
    </w:p>
    <w:p>
      <w:pPr>
        <w:adjustRightInd w:val="0"/>
        <w:snapToGrid w:val="0"/>
        <w:spacing w:line="288" w:lineRule="auto"/>
        <w:ind w:firstLine="1040"/>
        <w:rPr>
          <w:rFonts w:hint="default" w:ascii="Times New Roman" w:hAnsi="Times New Roman" w:eastAsia="仿宋_GB2312" w:cs="Times New Roman"/>
          <w:sz w:val="36"/>
          <w:szCs w:val="36"/>
          <w:highlight w:val="none"/>
        </w:rPr>
      </w:pPr>
    </w:p>
    <w:bookmarkEnd w:id="0"/>
    <w:p>
      <w:pPr>
        <w:adjustRightInd w:val="0"/>
        <w:snapToGrid w:val="0"/>
        <w:spacing w:line="288" w:lineRule="auto"/>
        <w:jc w:val="center"/>
        <w:rPr>
          <w:rFonts w:hint="default" w:ascii="Times New Roman" w:hAnsi="Times New Roman" w:eastAsia="楷体_GB2312" w:cs="Times New Roman"/>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default" w:ascii="Times New Roman" w:hAnsi="Times New Roman" w:eastAsia="楷体_GB2312" w:cs="Times New Roman"/>
          <w:sz w:val="36"/>
          <w:szCs w:val="36"/>
          <w:highlight w:val="none"/>
        </w:rPr>
        <w:t>中华人民共和国生态环境部制</w:t>
      </w:r>
    </w:p>
    <w:p>
      <w:pPr>
        <w:adjustRightInd w:val="0"/>
        <w:snapToGrid w:val="0"/>
        <w:spacing w:line="288" w:lineRule="auto"/>
        <w:jc w:val="center"/>
        <w:rPr>
          <w:rFonts w:hint="default" w:ascii="Times New Roman" w:hAnsi="Times New Roman" w:eastAsia="楷体_GB2312" w:cs="Times New Roman"/>
          <w:sz w:val="36"/>
          <w:szCs w:val="36"/>
          <w:highlight w:val="none"/>
        </w:rPr>
      </w:pPr>
    </w:p>
    <w:p>
      <w:pPr>
        <w:adjustRightInd w:val="0"/>
        <w:snapToGrid w:val="0"/>
        <w:spacing w:line="288" w:lineRule="auto"/>
        <w:jc w:val="center"/>
        <w:rPr>
          <w:rFonts w:hint="default" w:ascii="Times New Roman" w:hAnsi="Times New Roman" w:eastAsia="楷体_GB2312" w:cs="Times New Roman"/>
          <w:sz w:val="36"/>
          <w:szCs w:val="36"/>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9"/>
        <w:jc w:val="center"/>
        <w:outlineLvl w:val="0"/>
        <w:rPr>
          <w:rFonts w:hint="default" w:ascii="Times New Roman" w:hAnsi="Times New Roman" w:eastAsia="黑体" w:cs="Times New Roman"/>
          <w:snapToGrid w:val="0"/>
          <w:sz w:val="30"/>
          <w:szCs w:val="30"/>
          <w:highlight w:val="none"/>
        </w:rPr>
      </w:pPr>
      <w:r>
        <w:rPr>
          <w:rFonts w:hint="default" w:ascii="Times New Roman" w:hAnsi="Times New Roman" w:eastAsia="黑体" w:cs="Times New Roman"/>
          <w:snapToGrid w:val="0"/>
          <w:sz w:val="30"/>
          <w:szCs w:val="30"/>
          <w:highlight w:val="none"/>
        </w:rPr>
        <w:t>一、建设项目基本情况</w:t>
      </w:r>
    </w:p>
    <w:tbl>
      <w:tblPr>
        <w:tblStyle w:val="23"/>
        <w:tblW w:w="89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52"/>
        <w:gridCol w:w="844"/>
        <w:gridCol w:w="1676"/>
        <w:gridCol w:w="1910"/>
        <w:gridCol w:w="4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建设项目名称</w:t>
            </w:r>
          </w:p>
        </w:tc>
        <w:tc>
          <w:tcPr>
            <w:tcW w:w="7693" w:type="dxa"/>
            <w:gridSpan w:val="3"/>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桓台昱丰包装制品厂塑料制品生产项目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项目代码</w:t>
            </w:r>
          </w:p>
        </w:tc>
        <w:tc>
          <w:tcPr>
            <w:tcW w:w="7693" w:type="dxa"/>
            <w:gridSpan w:val="3"/>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2302-370321-89-01-574153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建设单位联系人</w:t>
            </w:r>
          </w:p>
        </w:tc>
        <w:tc>
          <w:tcPr>
            <w:tcW w:w="1676"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马昌征</w:t>
            </w:r>
          </w:p>
        </w:tc>
        <w:tc>
          <w:tcPr>
            <w:tcW w:w="1910"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联系方式</w:t>
            </w:r>
          </w:p>
        </w:tc>
        <w:tc>
          <w:tcPr>
            <w:tcW w:w="4107"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18953373835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建设地点</w:t>
            </w:r>
          </w:p>
        </w:tc>
        <w:tc>
          <w:tcPr>
            <w:tcW w:w="7693" w:type="dxa"/>
            <w:gridSpan w:val="3"/>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山东省淄博市桓台县果里镇德阳学校东100米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地理坐标</w:t>
            </w:r>
          </w:p>
        </w:tc>
        <w:tc>
          <w:tcPr>
            <w:tcW w:w="7693" w:type="dxa"/>
            <w:gridSpan w:val="3"/>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lang w:val="en-US" w:eastAsia="zh-CN"/>
              </w:rPr>
              <w:t>118</w:t>
            </w:r>
            <w:r>
              <w:rPr>
                <w:rFonts w:hint="default" w:ascii="Times New Roman" w:hAnsi="Times New Roman" w:cs="Times New Roman"/>
                <w:sz w:val="24"/>
                <w:szCs w:val="24"/>
                <w:highlight w:val="none"/>
              </w:rPr>
              <w:t>度</w:t>
            </w:r>
            <w:r>
              <w:rPr>
                <w:rFonts w:hint="eastAsia" w:cs="Times New Roman"/>
                <w:sz w:val="24"/>
                <w:szCs w:val="24"/>
                <w:highlight w:val="none"/>
                <w:u w:val="single"/>
                <w:lang w:val="en-US" w:eastAsia="zh-CN"/>
              </w:rPr>
              <w:t>5</w:t>
            </w:r>
            <w:r>
              <w:rPr>
                <w:rFonts w:hint="default" w:ascii="Times New Roman" w:hAnsi="Times New Roman" w:cs="Times New Roman"/>
                <w:sz w:val="24"/>
                <w:szCs w:val="24"/>
                <w:highlight w:val="none"/>
              </w:rPr>
              <w:t>分</w:t>
            </w:r>
            <w:r>
              <w:rPr>
                <w:rFonts w:hint="eastAsia" w:cs="Times New Roman"/>
                <w:sz w:val="24"/>
                <w:szCs w:val="24"/>
                <w:highlight w:val="none"/>
                <w:u w:val="single"/>
                <w:lang w:val="en-US" w:eastAsia="zh-CN"/>
              </w:rPr>
              <w:t>18.153</w:t>
            </w:r>
            <w:r>
              <w:rPr>
                <w:rFonts w:hint="default" w:ascii="Times New Roman" w:hAnsi="Times New Roman" w:cs="Times New Roman"/>
                <w:sz w:val="24"/>
                <w:szCs w:val="24"/>
                <w:highlight w:val="none"/>
              </w:rPr>
              <w:t>秒，</w:t>
            </w:r>
            <w:r>
              <w:rPr>
                <w:rFonts w:hint="default" w:ascii="Times New Roman" w:hAnsi="Times New Roman" w:cs="Times New Roman"/>
                <w:sz w:val="24"/>
                <w:szCs w:val="24"/>
                <w:highlight w:val="none"/>
                <w:u w:val="single"/>
                <w:lang w:val="en-US" w:eastAsia="zh-CN"/>
              </w:rPr>
              <w:t>36</w:t>
            </w:r>
            <w:r>
              <w:rPr>
                <w:rFonts w:hint="default" w:ascii="Times New Roman" w:hAnsi="Times New Roman" w:cs="Times New Roman"/>
                <w:sz w:val="24"/>
                <w:szCs w:val="24"/>
                <w:highlight w:val="none"/>
              </w:rPr>
              <w:t>度</w:t>
            </w:r>
            <w:r>
              <w:rPr>
                <w:rFonts w:hint="eastAsia" w:cs="Times New Roman"/>
                <w:sz w:val="24"/>
                <w:szCs w:val="24"/>
                <w:highlight w:val="none"/>
                <w:u w:val="single"/>
                <w:lang w:val="en-US" w:eastAsia="zh-CN"/>
              </w:rPr>
              <w:t>54</w:t>
            </w:r>
            <w:r>
              <w:rPr>
                <w:rFonts w:hint="default" w:ascii="Times New Roman" w:hAnsi="Times New Roman" w:cs="Times New Roman"/>
                <w:sz w:val="24"/>
                <w:szCs w:val="24"/>
                <w:highlight w:val="none"/>
              </w:rPr>
              <w:t>分</w:t>
            </w:r>
            <w:r>
              <w:rPr>
                <w:rFonts w:hint="eastAsia" w:cs="Times New Roman"/>
                <w:sz w:val="24"/>
                <w:szCs w:val="24"/>
                <w:highlight w:val="none"/>
                <w:u w:val="single"/>
                <w:lang w:val="en-US" w:eastAsia="zh-CN"/>
              </w:rPr>
              <w:t>46.039</w:t>
            </w:r>
            <w:r>
              <w:rPr>
                <w:rFonts w:hint="default" w:ascii="Times New Roman" w:hAnsi="Times New Roman" w:cs="Times New Roman"/>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国民经济</w:t>
            </w:r>
          </w:p>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行业类别</w:t>
            </w:r>
          </w:p>
        </w:tc>
        <w:tc>
          <w:tcPr>
            <w:tcW w:w="1676"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C2921塑料薄膜制造</w:t>
            </w:r>
          </w:p>
        </w:tc>
        <w:tc>
          <w:tcPr>
            <w:tcW w:w="1910" w:type="dxa"/>
            <w:noWrap w:val="0"/>
            <w:vAlign w:val="center"/>
          </w:tcPr>
          <w:p>
            <w:pPr>
              <w:adjustRightInd w:val="0"/>
              <w:snapToGrid w:val="0"/>
              <w:jc w:val="center"/>
              <w:rPr>
                <w:rFonts w:hint="default" w:ascii="Times New Roman" w:hAnsi="Times New Roman" w:cs="Times New Roman"/>
                <w:color w:val="auto"/>
                <w:sz w:val="24"/>
                <w:szCs w:val="24"/>
                <w:highlight w:val="none"/>
              </w:rPr>
            </w:pPr>
            <w:bookmarkStart w:id="1" w:name="_Hlk49843745"/>
            <w:r>
              <w:rPr>
                <w:rFonts w:hint="default" w:ascii="Times New Roman" w:hAnsi="Times New Roman" w:cs="Times New Roman"/>
                <w:color w:val="auto"/>
                <w:sz w:val="24"/>
                <w:szCs w:val="24"/>
                <w:highlight w:val="none"/>
              </w:rPr>
              <w:t>建设项目</w:t>
            </w:r>
          </w:p>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行业类别</w:t>
            </w:r>
            <w:bookmarkEnd w:id="1"/>
          </w:p>
        </w:tc>
        <w:tc>
          <w:tcPr>
            <w:tcW w:w="4107" w:type="dxa"/>
            <w:noWrap w:val="0"/>
            <w:vAlign w:val="center"/>
          </w:tcPr>
          <w:p>
            <w:pPr>
              <w:keepNext w:val="0"/>
              <w:keepLines w:val="0"/>
              <w:widowControl/>
              <w:suppressLineNumbers w:val="0"/>
              <w:jc w:val="left"/>
              <w:rPr>
                <w:rFonts w:hint="default" w:ascii="Times New Roman" w:hAnsi="Times New Roman"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 xml:space="preserve">二十六、橡胶和塑料制品业 29 </w:t>
            </w:r>
            <w:r>
              <w:rPr>
                <w:rFonts w:hint="default" w:ascii="Times New Roman" w:hAnsi="Times New Roman" w:cs="Times New Roman"/>
                <w:color w:val="auto"/>
                <w:sz w:val="24"/>
                <w:szCs w:val="24"/>
                <w:highlight w:val="none"/>
                <w:lang w:val="en-US" w:eastAsia="zh-CN"/>
              </w:rPr>
              <w:t>53</w:t>
            </w:r>
            <w:r>
              <w:rPr>
                <w:rFonts w:hint="default" w:ascii="Times New Roman" w:hAnsi="Times New Roman" w:eastAsia="宋体" w:cs="Times New Roman"/>
                <w:color w:val="auto"/>
                <w:sz w:val="24"/>
                <w:szCs w:val="24"/>
                <w:highlight w:val="none"/>
                <w:lang w:val="en-US" w:eastAsia="zh-CN"/>
              </w:rPr>
              <w:t>塑料制品业 292“其他（年用非溶剂型低VOCs含量涂料10吨以下的除外）”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建设性质</w:t>
            </w:r>
          </w:p>
        </w:tc>
        <w:tc>
          <w:tcPr>
            <w:tcW w:w="1676" w:type="dxa"/>
            <w:noWrap w:val="0"/>
            <w:vAlign w:val="center"/>
          </w:tcPr>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新建（迁建）</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改建</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扩建</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技术改造</w:t>
            </w:r>
          </w:p>
        </w:tc>
        <w:tc>
          <w:tcPr>
            <w:tcW w:w="1910"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建设项目</w:t>
            </w:r>
          </w:p>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申报情形</w:t>
            </w:r>
          </w:p>
        </w:tc>
        <w:tc>
          <w:tcPr>
            <w:tcW w:w="4107" w:type="dxa"/>
            <w:noWrap w:val="0"/>
            <w:vAlign w:val="center"/>
          </w:tcPr>
          <w:p>
            <w:pPr>
              <w:jc w:val="left"/>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w:t>
            </w:r>
            <w:r>
              <w:rPr>
                <w:rFonts w:hint="default" w:ascii="Times New Roman" w:hAnsi="Times New Roman" w:cs="Times New Roman"/>
                <w:sz w:val="24"/>
                <w:szCs w:val="24"/>
                <w:highlight w:val="none"/>
              </w:rPr>
              <w:t xml:space="preserve">首次申报项目             </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□不予批准后再次申报项目</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□超五年重新审核项目     </w:t>
            </w:r>
          </w:p>
          <w:p>
            <w:pPr>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w:t>
            </w:r>
          </w:p>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备案部门</w:t>
            </w:r>
          </w:p>
        </w:tc>
        <w:tc>
          <w:tcPr>
            <w:tcW w:w="1676"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桓台县</w:t>
            </w:r>
            <w:r>
              <w:rPr>
                <w:rFonts w:hint="default" w:ascii="Times New Roman" w:hAnsi="Times New Roman" w:cs="Times New Roman"/>
                <w:sz w:val="24"/>
                <w:szCs w:val="24"/>
                <w:highlight w:val="none"/>
              </w:rPr>
              <w:t>行政审批服务局</w:t>
            </w:r>
          </w:p>
        </w:tc>
        <w:tc>
          <w:tcPr>
            <w:tcW w:w="1910"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w:t>
            </w:r>
          </w:p>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备案文号</w:t>
            </w:r>
          </w:p>
        </w:tc>
        <w:tc>
          <w:tcPr>
            <w:tcW w:w="4107"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lang w:val="en-US" w:eastAsia="zh-CN"/>
              </w:rPr>
              <w:t>2302-370321-89-01-574153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总投资（万元）</w:t>
            </w:r>
          </w:p>
        </w:tc>
        <w:tc>
          <w:tcPr>
            <w:tcW w:w="1676" w:type="dxa"/>
            <w:noWrap w:val="0"/>
            <w:vAlign w:val="center"/>
          </w:tcPr>
          <w:p>
            <w:pPr>
              <w:adjustRightInd w:val="0"/>
              <w:snapToGrid w:val="0"/>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00</w:t>
            </w:r>
            <w:r>
              <w:rPr>
                <w:rFonts w:hint="eastAsia" w:cs="Times New Roman"/>
                <w:sz w:val="24"/>
                <w:szCs w:val="24"/>
                <w:highlight w:val="none"/>
                <w:lang w:val="en-US" w:eastAsia="zh-CN"/>
              </w:rPr>
              <w:t>.00</w:t>
            </w:r>
          </w:p>
        </w:tc>
        <w:tc>
          <w:tcPr>
            <w:tcW w:w="1910"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环保投资（万元）</w:t>
            </w:r>
          </w:p>
        </w:tc>
        <w:tc>
          <w:tcPr>
            <w:tcW w:w="4107"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w:t>
            </w:r>
            <w:r>
              <w:rPr>
                <w:rFonts w:hint="default" w:ascii="Times New Roman" w:hAnsi="Times New Roman" w:cs="Times New Roman"/>
                <w:sz w:val="24"/>
                <w:szCs w:val="24"/>
                <w:highlight w:val="none"/>
                <w:lang w:val="en-US" w:eastAsia="zh-CN"/>
              </w:rPr>
              <w:t>0</w:t>
            </w:r>
            <w:r>
              <w:rPr>
                <w:rFonts w:hint="eastAsia" w:cs="Times New Roman"/>
                <w:sz w:val="24"/>
                <w:szCs w:val="24"/>
                <w:highlight w:val="none"/>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环保投资占比（%）</w:t>
            </w:r>
          </w:p>
        </w:tc>
        <w:tc>
          <w:tcPr>
            <w:tcW w:w="1676"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6.7</w:t>
            </w:r>
          </w:p>
        </w:tc>
        <w:tc>
          <w:tcPr>
            <w:tcW w:w="1910"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施工工期</w:t>
            </w:r>
          </w:p>
        </w:tc>
        <w:tc>
          <w:tcPr>
            <w:tcW w:w="4107" w:type="dxa"/>
            <w:noWrap w:val="0"/>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96"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是否开工建设</w:t>
            </w:r>
          </w:p>
        </w:tc>
        <w:tc>
          <w:tcPr>
            <w:tcW w:w="1676" w:type="dxa"/>
            <w:noWrap w:val="0"/>
            <w:vAlign w:val="center"/>
          </w:tcPr>
          <w:p>
            <w:pPr>
              <w:adjustRightInd w:val="0"/>
              <w:snapToGrid w:val="0"/>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否</w:t>
            </w:r>
          </w:p>
          <w:p>
            <w:pPr>
              <w:adjustRightInd w:val="0"/>
              <w:snapToGrid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是：</w:t>
            </w:r>
            <w:r>
              <w:rPr>
                <w:rFonts w:hint="default" w:ascii="Times New Roman" w:hAnsi="Times New Roman" w:cs="Times New Roman"/>
                <w:sz w:val="24"/>
                <w:szCs w:val="24"/>
                <w:highlight w:val="none"/>
                <w:u w:val="single"/>
              </w:rPr>
              <w:t xml:space="preserve">             </w:t>
            </w:r>
          </w:p>
        </w:tc>
        <w:tc>
          <w:tcPr>
            <w:tcW w:w="191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 w:val="24"/>
                <w:szCs w:val="24"/>
                <w:highlight w:val="none"/>
              </w:rPr>
            </w:pPr>
            <w:r>
              <w:rPr>
                <w:rFonts w:hint="default" w:ascii="Times New Roman" w:hAnsi="Times New Roman" w:cs="Times New Roman"/>
                <w:color w:val="auto"/>
                <w:spacing w:val="-6"/>
                <w:sz w:val="24"/>
                <w:szCs w:val="24"/>
                <w:highlight w:val="none"/>
              </w:rPr>
              <w:t>用地</w:t>
            </w:r>
          </w:p>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面积（m</w:t>
            </w:r>
            <w:r>
              <w:rPr>
                <w:rFonts w:hint="default" w:ascii="Times New Roman" w:hAnsi="Times New Roman" w:cs="Times New Roman"/>
                <w:color w:val="auto"/>
                <w:spacing w:val="-6"/>
                <w:sz w:val="24"/>
                <w:szCs w:val="24"/>
                <w:highlight w:val="none"/>
                <w:vertAlign w:val="superscript"/>
              </w:rPr>
              <w:t>2</w:t>
            </w:r>
            <w:r>
              <w:rPr>
                <w:rFonts w:hint="default" w:ascii="Times New Roman" w:hAnsi="Times New Roman" w:cs="Times New Roman"/>
                <w:color w:val="auto"/>
                <w:spacing w:val="-6"/>
                <w:sz w:val="24"/>
                <w:szCs w:val="24"/>
                <w:highlight w:val="none"/>
              </w:rPr>
              <w:t>）</w:t>
            </w:r>
          </w:p>
        </w:tc>
        <w:tc>
          <w:tcPr>
            <w:tcW w:w="410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6" w:type="dxa"/>
            <w:gridSpan w:val="2"/>
            <w:noWrap w:val="0"/>
            <w:vAlign w:val="center"/>
          </w:tcPr>
          <w:p>
            <w:pPr>
              <w:autoSpaceDE w:val="0"/>
              <w:autoSpaceDN w:val="0"/>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专项评价设置情况</w:t>
            </w:r>
          </w:p>
        </w:tc>
        <w:tc>
          <w:tcPr>
            <w:tcW w:w="7693" w:type="dxa"/>
            <w:gridSpan w:val="3"/>
            <w:noWrap w:val="0"/>
            <w:vAlign w:val="center"/>
          </w:tcPr>
          <w:tbl>
            <w:tblPr>
              <w:tblStyle w:val="23"/>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402"/>
              <w:gridCol w:w="198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专项评价的类别</w:t>
                  </w:r>
                </w:p>
              </w:tc>
              <w:tc>
                <w:tcPr>
                  <w:tcW w:w="3402" w:type="dxa"/>
                  <w:noWrap w:val="0"/>
                  <w:vAlign w:val="center"/>
                </w:tcPr>
                <w:p>
                  <w:pPr>
                    <w:autoSpaceDE w:val="0"/>
                    <w:autoSpaceDN w:val="0"/>
                    <w:adjustRightInd w:val="0"/>
                    <w:snapToGrid w:val="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设置原则</w:t>
                  </w:r>
                </w:p>
              </w:tc>
              <w:tc>
                <w:tcPr>
                  <w:tcW w:w="1985" w:type="dxa"/>
                  <w:noWrap w:val="0"/>
                  <w:vAlign w:val="center"/>
                </w:tcPr>
                <w:p>
                  <w:pPr>
                    <w:autoSpaceDE w:val="0"/>
                    <w:autoSpaceDN w:val="0"/>
                    <w:adjustRightInd w:val="0"/>
                    <w:snapToGrid w:val="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本项目情况</w:t>
                  </w:r>
                </w:p>
              </w:tc>
              <w:tc>
                <w:tcPr>
                  <w:tcW w:w="754" w:type="dxa"/>
                  <w:noWrap w:val="0"/>
                  <w:vAlign w:val="center"/>
                </w:tcPr>
                <w:p>
                  <w:pPr>
                    <w:autoSpaceDE w:val="0"/>
                    <w:autoSpaceDN w:val="0"/>
                    <w:adjustRightInd w:val="0"/>
                    <w:snapToGrid w:val="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大气</w:t>
                  </w:r>
                </w:p>
              </w:tc>
              <w:tc>
                <w:tcPr>
                  <w:tcW w:w="3402"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排放废气含有毒有害污染物、二噁英、苯并[a]芘、氰化物、氯气且厂界外500米范围内有环境空气保护目标的建设项目</w:t>
                  </w:r>
                </w:p>
              </w:tc>
              <w:tc>
                <w:tcPr>
                  <w:tcW w:w="1985"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本项目废气主要污染物为VOC</w:t>
                  </w:r>
                  <w:r>
                    <w:rPr>
                      <w:rFonts w:hint="default" w:ascii="Times New Roman" w:hAnsi="Times New Roman" w:cs="Times New Roman"/>
                      <w:kern w:val="0"/>
                      <w:sz w:val="21"/>
                      <w:szCs w:val="21"/>
                      <w:highlight w:val="none"/>
                      <w:lang w:val="en-US" w:eastAsia="zh-CN"/>
                    </w:rPr>
                    <w:t>s</w:t>
                  </w:r>
                  <w:r>
                    <w:rPr>
                      <w:rFonts w:hint="default" w:ascii="Times New Roman" w:hAnsi="Times New Roman" w:cs="Times New Roman"/>
                      <w:kern w:val="0"/>
                      <w:sz w:val="21"/>
                      <w:szCs w:val="21"/>
                      <w:highlight w:val="none"/>
                    </w:rPr>
                    <w:t>，不涉及前述污染物</w:t>
                  </w:r>
                </w:p>
              </w:tc>
              <w:tc>
                <w:tcPr>
                  <w:tcW w:w="75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地表水</w:t>
                  </w:r>
                </w:p>
              </w:tc>
              <w:tc>
                <w:tcPr>
                  <w:tcW w:w="3402"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新增工业废水直排建设项目（槽罐车外送污水处理厂的除外）；新增废水直排的污水集中处理厂</w:t>
                  </w:r>
                </w:p>
              </w:tc>
              <w:tc>
                <w:tcPr>
                  <w:tcW w:w="1985" w:type="dxa"/>
                  <w:noWrap w:val="0"/>
                  <w:vAlign w:val="center"/>
                </w:tcPr>
                <w:p>
                  <w:pPr>
                    <w:autoSpaceDE w:val="0"/>
                    <w:autoSpaceDN w:val="0"/>
                    <w:adjustRightInd w:val="0"/>
                    <w:snapToGrid w:val="0"/>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cs="Times New Roman"/>
                      <w:kern w:val="0"/>
                      <w:sz w:val="21"/>
                      <w:szCs w:val="21"/>
                      <w:highlight w:val="none"/>
                    </w:rPr>
                    <w:t>本项目</w:t>
                  </w:r>
                  <w:r>
                    <w:rPr>
                      <w:rFonts w:hint="default" w:ascii="Times New Roman" w:hAnsi="Times New Roman" w:cs="Times New Roman"/>
                      <w:kern w:val="0"/>
                      <w:sz w:val="21"/>
                      <w:szCs w:val="21"/>
                      <w:highlight w:val="none"/>
                      <w:lang w:val="en-US" w:eastAsia="zh-CN"/>
                    </w:rPr>
                    <w:t>无</w:t>
                  </w:r>
                  <w:r>
                    <w:rPr>
                      <w:rFonts w:hint="default" w:ascii="Times New Roman" w:hAnsi="Times New Roman" w:cs="Times New Roman"/>
                      <w:kern w:val="0"/>
                      <w:sz w:val="21"/>
                      <w:szCs w:val="21"/>
                      <w:highlight w:val="none"/>
                    </w:rPr>
                    <w:t>废水</w:t>
                  </w:r>
                  <w:r>
                    <w:rPr>
                      <w:rFonts w:hint="default" w:ascii="Times New Roman" w:hAnsi="Times New Roman" w:cs="Times New Roman"/>
                      <w:kern w:val="0"/>
                      <w:sz w:val="21"/>
                      <w:szCs w:val="21"/>
                      <w:highlight w:val="none"/>
                      <w:lang w:val="en-US" w:eastAsia="zh-CN"/>
                    </w:rPr>
                    <w:t>外排</w:t>
                  </w:r>
                </w:p>
              </w:tc>
              <w:tc>
                <w:tcPr>
                  <w:tcW w:w="75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环境风险</w:t>
                  </w:r>
                </w:p>
              </w:tc>
              <w:tc>
                <w:tcPr>
                  <w:tcW w:w="3402"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有毒有害和易燃易爆危险物质存储量超过临界量的建设项目</w:t>
                  </w:r>
                </w:p>
              </w:tc>
              <w:tc>
                <w:tcPr>
                  <w:tcW w:w="1985"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本项目危险物质储存量未超过临界量</w:t>
                  </w:r>
                </w:p>
              </w:tc>
              <w:tc>
                <w:tcPr>
                  <w:tcW w:w="75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生态</w:t>
                  </w:r>
                </w:p>
              </w:tc>
              <w:tc>
                <w:tcPr>
                  <w:tcW w:w="3402"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取水口下游500 米范围内有重要水生生物的自然产卵场、索饵场、越冬场和洄游通道的新增河道取水的污染类建设项目</w:t>
                  </w:r>
                </w:p>
              </w:tc>
              <w:tc>
                <w:tcPr>
                  <w:tcW w:w="1985"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不涉及</w:t>
                  </w:r>
                </w:p>
              </w:tc>
              <w:tc>
                <w:tcPr>
                  <w:tcW w:w="75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海洋</w:t>
                  </w:r>
                </w:p>
              </w:tc>
              <w:tc>
                <w:tcPr>
                  <w:tcW w:w="3402"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直接向海排放污染物的海洋工程建设项目</w:t>
                  </w:r>
                </w:p>
              </w:tc>
              <w:tc>
                <w:tcPr>
                  <w:tcW w:w="1985"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不涉及</w:t>
                  </w:r>
                </w:p>
              </w:tc>
              <w:tc>
                <w:tcPr>
                  <w:tcW w:w="754" w:type="dxa"/>
                  <w:noWrap w:val="0"/>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否</w:t>
                  </w:r>
                </w:p>
              </w:tc>
            </w:tr>
          </w:tbl>
          <w:p>
            <w:pPr>
              <w:autoSpaceDE w:val="0"/>
              <w:autoSpaceDN w:val="0"/>
              <w:adjustRightInd w:val="0"/>
              <w:snapToGrid w:val="0"/>
              <w:ind w:firstLine="480" w:firstLineChars="200"/>
              <w:rPr>
                <w:rFonts w:hint="default" w:ascii="Times New Roman" w:hAnsi="Times New Roman" w:cs="Times New Roman"/>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9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规划情况</w:t>
            </w:r>
          </w:p>
        </w:tc>
        <w:tc>
          <w:tcPr>
            <w:tcW w:w="7693" w:type="dxa"/>
            <w:gridSpan w:val="3"/>
            <w:noWrap w:val="0"/>
            <w:vAlign w:val="center"/>
          </w:tcPr>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《桓台经济开发区总体规划》（2016-2030）；</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审批机关：桓台县人民政府；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kern w:val="0"/>
                <w:sz w:val="24"/>
                <w:szCs w:val="24"/>
                <w:highlight w:val="none"/>
                <w:lang w:eastAsia="zh-CN"/>
              </w:rPr>
            </w:pPr>
            <w:r>
              <w:rPr>
                <w:rFonts w:hint="default" w:ascii="Times New Roman" w:hAnsi="Times New Roman" w:cs="Times New Roman"/>
                <w:sz w:val="24"/>
                <w:szCs w:val="24"/>
                <w:highlight w:val="none"/>
              </w:rPr>
              <w:t>审批文件名称及文号：《桓台县人民政府关于同意成立桓台经济开发区的批复》（桓政字[2018]20号）；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96" w:type="dxa"/>
            <w:gridSpan w:val="2"/>
            <w:noWrap w:val="0"/>
            <w:vAlign w:val="center"/>
          </w:tcPr>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规划环境影响评价情况</w:t>
            </w:r>
          </w:p>
        </w:tc>
        <w:tc>
          <w:tcPr>
            <w:tcW w:w="7693" w:type="dxa"/>
            <w:gridSpan w:val="3"/>
            <w:noWrap w:val="0"/>
            <w:vAlign w:val="center"/>
          </w:tcPr>
          <w:p>
            <w:pPr>
              <w:spacing w:line="360" w:lineRule="auto"/>
              <w:ind w:firstLine="480" w:firstLineChars="200"/>
              <w:rPr>
                <w:rFonts w:hint="default" w:ascii="Times New Roman" w:hAnsi="Times New Roman" w:cs="Times New Roman"/>
                <w:sz w:val="24"/>
                <w:szCs w:val="24"/>
                <w:highlight w:val="none"/>
                <w:lang w:eastAsia="zh-CN"/>
              </w:rPr>
            </w:pPr>
            <w:r>
              <w:rPr>
                <w:rFonts w:hint="default" w:ascii="Times New Roman" w:hAnsi="Times New Roman" w:eastAsia="宋体" w:cs="Times New Roman"/>
                <w:b w:val="0"/>
                <w:bCs w:val="0"/>
                <w:kern w:val="2"/>
                <w:sz w:val="24"/>
                <w:szCs w:val="24"/>
                <w:highlight w:val="none"/>
                <w:lang w:val="en-US" w:eastAsia="zh-CN" w:bidi="ar-SA"/>
              </w:rPr>
              <w:t>规划环评文件名称：</w:t>
            </w:r>
            <w:r>
              <w:rPr>
                <w:rFonts w:hint="default" w:ascii="Times New Roman" w:hAnsi="Times New Roman" w:cs="Times New Roman"/>
                <w:sz w:val="24"/>
                <w:szCs w:val="24"/>
                <w:highlight w:val="none"/>
                <w:lang w:eastAsia="zh-CN"/>
              </w:rPr>
              <w:t>《桓台经济开发区总体规划环境影响报告书》</w:t>
            </w:r>
          </w:p>
          <w:p>
            <w:pPr>
              <w:spacing w:line="360" w:lineRule="auto"/>
              <w:ind w:firstLine="480" w:firstLineChars="20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审批机关：</w:t>
            </w:r>
            <w:r>
              <w:rPr>
                <w:rFonts w:hint="eastAsia"/>
                <w:sz w:val="24"/>
                <w:szCs w:val="24"/>
                <w:lang w:eastAsia="zh-CN"/>
              </w:rPr>
              <w:t>原</w:t>
            </w:r>
            <w:r>
              <w:rPr>
                <w:rFonts w:hint="default" w:ascii="Times New Roman" w:hAnsi="Times New Roman" w:cs="Times New Roman"/>
                <w:sz w:val="24"/>
                <w:szCs w:val="24"/>
                <w:highlight w:val="none"/>
                <w:lang w:eastAsia="zh-CN"/>
              </w:rPr>
              <w:t>桓台县环境保护局；</w:t>
            </w:r>
          </w:p>
          <w:p>
            <w:pPr>
              <w:spacing w:line="360" w:lineRule="auto"/>
              <w:ind w:firstLine="480" w:firstLineChars="200"/>
              <w:rPr>
                <w:rFonts w:hint="default" w:ascii="Times New Roman" w:hAnsi="Times New Roman" w:cs="Times New Roman"/>
                <w:kern w:val="0"/>
                <w:sz w:val="24"/>
                <w:szCs w:val="24"/>
                <w:highlight w:val="none"/>
                <w:lang w:eastAsia="zh-CN"/>
              </w:rPr>
            </w:pPr>
            <w:r>
              <w:rPr>
                <w:rFonts w:hint="default" w:ascii="Times New Roman" w:hAnsi="Times New Roman" w:cs="Times New Roman"/>
                <w:sz w:val="24"/>
                <w:szCs w:val="24"/>
                <w:highlight w:val="none"/>
                <w:lang w:eastAsia="zh-CN"/>
              </w:rPr>
              <w:t>审批文件文号：桓环许字[2018]79号。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1296" w:type="dxa"/>
            <w:gridSpan w:val="2"/>
            <w:noWrap w:val="0"/>
            <w:vAlign w:val="center"/>
          </w:tcPr>
          <w:p>
            <w:pPr>
              <w:autoSpaceDE w:val="0"/>
              <w:autoSpaceDN w:val="0"/>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规划及规划环境影响评价符合性分析</w:t>
            </w:r>
          </w:p>
        </w:tc>
        <w:tc>
          <w:tcPr>
            <w:tcW w:w="7693" w:type="dxa"/>
            <w:gridSpan w:val="3"/>
            <w:noWrap w:val="0"/>
            <w:vAlign w:val="center"/>
          </w:tcPr>
          <w:p>
            <w:pPr>
              <w:widowControl/>
              <w:spacing w:line="360" w:lineRule="auto"/>
              <w:ind w:firstLine="482" w:firstLineChars="200"/>
              <w:rPr>
                <w:rFonts w:hint="default" w:ascii="Times New Roman" w:hAnsi="Times New Roman" w:cs="Times New Roman"/>
                <w:b/>
                <w:bCs/>
                <w:kern w:val="0"/>
                <w:sz w:val="24"/>
                <w:szCs w:val="24"/>
                <w:highlight w:val="none"/>
                <w:lang w:eastAsia="zh-CN"/>
              </w:rPr>
            </w:pPr>
            <w:r>
              <w:rPr>
                <w:rFonts w:hint="default" w:ascii="Times New Roman" w:hAnsi="Times New Roman" w:cs="Times New Roman"/>
                <w:b/>
                <w:bCs/>
                <w:kern w:val="0"/>
                <w:sz w:val="24"/>
                <w:szCs w:val="24"/>
                <w:highlight w:val="none"/>
                <w:lang w:eastAsia="zh-CN"/>
              </w:rPr>
              <w:t>1、规划符合性</w:t>
            </w:r>
          </w:p>
          <w:p>
            <w:pPr>
              <w:widowControl/>
              <w:spacing w:line="360" w:lineRule="auto"/>
              <w:ind w:firstLine="480" w:firstLineChars="200"/>
              <w:rPr>
                <w:rFonts w:hint="default" w:ascii="Times New Roman" w:hAnsi="Times New Roman" w:cs="Times New Roman"/>
                <w:kern w:val="0"/>
                <w:sz w:val="24"/>
                <w:szCs w:val="24"/>
                <w:highlight w:val="none"/>
                <w:lang w:eastAsia="zh-CN"/>
              </w:rPr>
            </w:pPr>
            <w:r>
              <w:rPr>
                <w:rFonts w:hint="default" w:ascii="Times New Roman" w:hAnsi="Times New Roman" w:cs="Times New Roman"/>
                <w:kern w:val="0"/>
                <w:sz w:val="24"/>
                <w:szCs w:val="24"/>
                <w:highlight w:val="none"/>
                <w:lang w:eastAsia="zh-CN"/>
              </w:rPr>
              <w:t>（1）本项目与《桓台经济开发区总体规划》的符合性</w:t>
            </w:r>
          </w:p>
          <w:p>
            <w:pPr>
              <w:widowControl/>
              <w:spacing w:line="360" w:lineRule="auto"/>
              <w:ind w:firstLine="422" w:firstLineChars="200"/>
              <w:jc w:val="center"/>
              <w:rPr>
                <w:rFonts w:hint="default" w:ascii="Times New Roman" w:hAnsi="Times New Roman" w:cs="Times New Roman"/>
                <w:kern w:val="0"/>
                <w:sz w:val="24"/>
                <w:szCs w:val="24"/>
                <w:highlight w:val="none"/>
                <w:lang w:eastAsia="zh-CN"/>
              </w:rPr>
            </w:pPr>
            <w:r>
              <w:rPr>
                <w:rFonts w:hint="default" w:ascii="Times New Roman" w:hAnsi="Times New Roman" w:cs="Times New Roman"/>
                <w:b/>
                <w:bCs/>
                <w:kern w:val="0"/>
                <w:sz w:val="21"/>
                <w:szCs w:val="21"/>
                <w:highlight w:val="none"/>
                <w:lang w:eastAsia="zh-CN"/>
              </w:rPr>
              <w:t>表1-1</w:t>
            </w:r>
            <w:r>
              <w:rPr>
                <w:rFonts w:hint="eastAsia" w:cs="Times New Roman"/>
                <w:b/>
                <w:bCs/>
                <w:kern w:val="0"/>
                <w:sz w:val="21"/>
                <w:szCs w:val="21"/>
                <w:highlight w:val="none"/>
                <w:lang w:val="en-US" w:eastAsia="zh-CN"/>
              </w:rPr>
              <w:t xml:space="preserve">  </w:t>
            </w:r>
            <w:r>
              <w:rPr>
                <w:rFonts w:hint="default" w:ascii="Times New Roman" w:hAnsi="Times New Roman" w:cs="Times New Roman"/>
                <w:b/>
                <w:bCs/>
                <w:kern w:val="0"/>
                <w:sz w:val="21"/>
                <w:szCs w:val="21"/>
                <w:highlight w:val="none"/>
                <w:lang w:eastAsia="zh-CN"/>
              </w:rPr>
              <w:t>本项目与《桓台经济开发区总体规划》的符合性</w:t>
            </w:r>
          </w:p>
          <w:tbl>
            <w:tblPr>
              <w:tblStyle w:val="24"/>
              <w:tblW w:w="499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3073"/>
              <w:gridCol w:w="2837"/>
              <w:gridCol w:w="8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2500" w:type="pct"/>
                  <w:gridSpan w:val="2"/>
                  <w:tcBorders>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规划要求</w:t>
                  </w:r>
                </w:p>
              </w:tc>
              <w:tc>
                <w:tcPr>
                  <w:tcW w:w="1901" w:type="pct"/>
                  <w:tcBorders>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本项目情况</w:t>
                  </w:r>
                </w:p>
              </w:tc>
              <w:tc>
                <w:tcPr>
                  <w:tcW w:w="597" w:type="pct"/>
                  <w:tcBorders>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440" w:type="pct"/>
                  <w:tcBorders>
                    <w:right w:val="single" w:color="auto" w:sz="4" w:space="0"/>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eastAsia="宋体" w:cs="Times New Roman"/>
                      <w:sz w:val="21"/>
                      <w:szCs w:val="21"/>
                      <w:highlight w:val="none"/>
                    </w:rPr>
                    <w:t>四至范围</w:t>
                  </w:r>
                </w:p>
              </w:tc>
              <w:tc>
                <w:tcPr>
                  <w:tcW w:w="2059" w:type="pct"/>
                  <w:tcBorders>
                    <w:left w:val="single" w:color="auto" w:sz="4" w:space="0"/>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eastAsia="宋体" w:cs="Times New Roman"/>
                      <w:sz w:val="21"/>
                      <w:szCs w:val="21"/>
                      <w:highlight w:val="none"/>
                    </w:rPr>
                    <w:t>北至果里大道、南至果里镇界、西至涝淄河、东至235省道，规划面积18.06平方公里</w:t>
                  </w:r>
                  <w:r>
                    <w:rPr>
                      <w:rFonts w:hint="eastAsia" w:cs="Times New Roman"/>
                      <w:sz w:val="21"/>
                      <w:szCs w:val="21"/>
                      <w:highlight w:val="none"/>
                      <w:lang w:eastAsia="zh-CN"/>
                    </w:rPr>
                    <w:t>。</w:t>
                  </w:r>
                </w:p>
              </w:tc>
              <w:tc>
                <w:tcPr>
                  <w:tcW w:w="1901" w:type="pct"/>
                  <w:tcBorders>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eastAsia" w:ascii="Times New Roman" w:hAnsi="Times New Roman" w:eastAsia="宋体" w:cs="Times New Roman"/>
                      <w:sz w:val="21"/>
                      <w:szCs w:val="21"/>
                      <w:highlight w:val="none"/>
                      <w:lang w:eastAsia="zh-CN"/>
                    </w:rPr>
                    <w:t>本项目位于山东省淄博市桓台县果里镇德阳学校东100米</w:t>
                  </w:r>
                  <w:r>
                    <w:rPr>
                      <w:rFonts w:hint="eastAsia" w:cs="Times New Roman"/>
                      <w:sz w:val="21"/>
                      <w:szCs w:val="21"/>
                      <w:highlight w:val="none"/>
                      <w:lang w:val="en-US" w:eastAsia="zh-CN"/>
                    </w:rPr>
                    <w:t>，位于园区范围内。</w:t>
                  </w:r>
                </w:p>
              </w:tc>
              <w:tc>
                <w:tcPr>
                  <w:tcW w:w="597" w:type="pct"/>
                  <w:tcBorders>
                    <w:tl2br w:val="nil"/>
                    <w:tr2bl w:val="nil"/>
                  </w:tcBorders>
                  <w:vAlign w:val="center"/>
                </w:tcPr>
                <w:p>
                  <w:pPr>
                    <w:autoSpaceDE w:val="0"/>
                    <w:autoSpaceDN w:val="0"/>
                    <w:jc w:val="center"/>
                    <w:rPr>
                      <w:rFonts w:hint="default" w:ascii="Times New Roman" w:hAnsi="Times New Roman" w:cs="Times New Roman"/>
                      <w:b/>
                      <w:bCs/>
                      <w:sz w:val="21"/>
                      <w:szCs w:val="21"/>
                      <w:highlight w:val="none"/>
                    </w:rPr>
                  </w:pPr>
                  <w:r>
                    <w:rPr>
                      <w:rFonts w:hint="default" w:ascii="Times New Roman" w:hAnsi="Times New Roman" w:eastAsia="宋体" w:cs="Times New Roman"/>
                      <w:bCs/>
                      <w:kern w:val="0"/>
                      <w:sz w:val="21"/>
                      <w:szCs w:val="21"/>
                      <w:highlight w:val="none"/>
                      <w:lang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tcBorders>
                    <w:right w:val="single" w:color="auto" w:sz="4" w:space="0"/>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功能定位</w:t>
                  </w:r>
                </w:p>
              </w:tc>
              <w:tc>
                <w:tcPr>
                  <w:tcW w:w="2059" w:type="pct"/>
                  <w:tcBorders>
                    <w:left w:val="single" w:color="auto" w:sz="4" w:space="0"/>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淄博市内重要的生态型产业示范区、张桓一体化发展的产业融合区、桓台南部以石化及精细化工、现代制造、商贸物流功能为主导的产业新城</w:t>
                  </w:r>
                </w:p>
              </w:tc>
              <w:tc>
                <w:tcPr>
                  <w:tcW w:w="1901" w:type="pct"/>
                  <w:tcBorders>
                    <w:tl2br w:val="nil"/>
                    <w:tr2bl w:val="nil"/>
                  </w:tcBorders>
                  <w:vAlign w:val="center"/>
                </w:tcPr>
                <w:p>
                  <w:pPr>
                    <w:pStyle w:val="2"/>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厂区位于桓台经济开发区，本项目行业类别为C2921塑料薄膜制造，属于现代制造业，符合桓台经济开发区功能定位</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产业发展定位</w:t>
                  </w: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以石油炼化及精细化工、钢铁冶炼、新型材料研发、先进装备制造业为主的生态型经济示范区</w:t>
                  </w:r>
                </w:p>
              </w:tc>
              <w:tc>
                <w:tcPr>
                  <w:tcW w:w="1901" w:type="pct"/>
                  <w:tcBorders>
                    <w:tl2br w:val="nil"/>
                    <w:tr2bl w:val="nil"/>
                  </w:tcBorders>
                  <w:vAlign w:val="center"/>
                </w:tcPr>
                <w:p>
                  <w:pPr>
                    <w:autoSpaceDE w:val="0"/>
                    <w:autoSpaceDN w:val="0"/>
                    <w:jc w:val="left"/>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rPr>
                    <w:t>本项目为</w:t>
                  </w:r>
                  <w:r>
                    <w:rPr>
                      <w:rFonts w:hint="default" w:ascii="Times New Roman" w:hAnsi="Times New Roman" w:cs="Times New Roman"/>
                      <w:sz w:val="21"/>
                      <w:szCs w:val="21"/>
                      <w:highlight w:val="none"/>
                      <w:lang w:eastAsia="zh-CN"/>
                    </w:rPr>
                    <w:t>塑料薄膜制造</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可用于园区相关行业产品的</w:t>
                  </w:r>
                  <w:r>
                    <w:rPr>
                      <w:rFonts w:hint="eastAsia" w:cs="Times New Roman"/>
                      <w:sz w:val="21"/>
                      <w:szCs w:val="21"/>
                      <w:highlight w:val="none"/>
                      <w:lang w:eastAsia="zh-CN"/>
                    </w:rPr>
                    <w:t>包装，</w:t>
                  </w:r>
                  <w:r>
                    <w:rPr>
                      <w:rFonts w:hint="eastAsia" w:cs="Times New Roman"/>
                      <w:sz w:val="21"/>
                      <w:szCs w:val="21"/>
                      <w:highlight w:val="none"/>
                      <w:lang w:val="en-US" w:eastAsia="zh-CN"/>
                    </w:rPr>
                    <w:t>属于园区配套的行业。</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空间管制</w:t>
                  </w: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规划区内土地划分为已建区（现状工业用地、道路用地）、适建区（规划地质条件良好、地形平坦，无其他限制条件的建设用地范围）、限建区（远期发展备用地、一般农田）和禁建区（市政通廊、铁路防护范围）</w:t>
                  </w:r>
                </w:p>
              </w:tc>
              <w:tc>
                <w:tcPr>
                  <w:tcW w:w="1901" w:type="pct"/>
                  <w:tcBorders>
                    <w:tl2br w:val="nil"/>
                    <w:tr2bl w:val="nil"/>
                  </w:tcBorders>
                  <w:vAlign w:val="center"/>
                </w:tcPr>
                <w:p>
                  <w:pPr>
                    <w:autoSpaceDE w:val="0"/>
                    <w:autoSpaceDN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本项目租赁现有厂房，属于已建成区，</w:t>
                  </w:r>
                  <w:r>
                    <w:rPr>
                      <w:rFonts w:hint="eastAsia" w:cs="Times New Roman"/>
                      <w:sz w:val="21"/>
                      <w:szCs w:val="21"/>
                      <w:highlight w:val="none"/>
                      <w:lang w:eastAsia="zh-CN"/>
                    </w:rPr>
                    <w:t>根据《桓台经济开发区总体规划图》（附图</w:t>
                  </w:r>
                  <w:r>
                    <w:rPr>
                      <w:rFonts w:hint="eastAsia" w:cs="Times New Roman"/>
                      <w:sz w:val="21"/>
                      <w:szCs w:val="21"/>
                      <w:highlight w:val="none"/>
                      <w:lang w:val="en-US" w:eastAsia="zh-CN"/>
                    </w:rPr>
                    <w:t>9</w:t>
                  </w:r>
                  <w:r>
                    <w:rPr>
                      <w:rFonts w:hint="eastAsia" w:cs="Times New Roman"/>
                      <w:sz w:val="21"/>
                      <w:szCs w:val="21"/>
                      <w:highlight w:val="none"/>
                      <w:lang w:eastAsia="zh-CN"/>
                    </w:rPr>
                    <w:t>），</w:t>
                  </w:r>
                  <w:r>
                    <w:rPr>
                      <w:rFonts w:hint="default" w:ascii="Times New Roman" w:hAnsi="Times New Roman" w:cs="Times New Roman"/>
                      <w:sz w:val="21"/>
                      <w:szCs w:val="21"/>
                      <w:highlight w:val="none"/>
                    </w:rPr>
                    <w:t>项目用地类型为</w:t>
                  </w:r>
                  <w:r>
                    <w:rPr>
                      <w:rFonts w:hint="eastAsia" w:cs="Times New Roman"/>
                      <w:sz w:val="21"/>
                      <w:szCs w:val="21"/>
                      <w:highlight w:val="none"/>
                      <w:lang w:eastAsia="zh-CN"/>
                    </w:rPr>
                    <w:t>二类</w:t>
                  </w:r>
                  <w:r>
                    <w:rPr>
                      <w:rFonts w:hint="default" w:ascii="Times New Roman" w:hAnsi="Times New Roman" w:cs="Times New Roman"/>
                      <w:sz w:val="21"/>
                      <w:szCs w:val="21"/>
                      <w:highlight w:val="none"/>
                    </w:rPr>
                    <w:t>工业用地</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vMerge w:val="restar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园区项目准入原则</w:t>
                  </w: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进区项目应是科技含量高的、产品附加值高的项目，其生产工艺、设备和环保设施应达同类国际先进水平，至少是国内先进水平</w:t>
                  </w:r>
                </w:p>
              </w:tc>
              <w:tc>
                <w:tcPr>
                  <w:tcW w:w="1901" w:type="pct"/>
                  <w:tcBorders>
                    <w:tl2br w:val="nil"/>
                    <w:tr2bl w:val="nil"/>
                  </w:tcBorders>
                  <w:vAlign w:val="center"/>
                </w:tcPr>
                <w:p>
                  <w:pPr>
                    <w:autoSpaceDE w:val="0"/>
                    <w:autoSpaceDN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本项目为</w:t>
                  </w:r>
                  <w:r>
                    <w:rPr>
                      <w:rFonts w:hint="default" w:ascii="Times New Roman" w:hAnsi="Times New Roman" w:cs="Times New Roman"/>
                      <w:sz w:val="21"/>
                      <w:szCs w:val="21"/>
                      <w:highlight w:val="none"/>
                      <w:lang w:eastAsia="zh-CN"/>
                    </w:rPr>
                    <w:t>塑料薄膜制造</w:t>
                  </w:r>
                  <w:r>
                    <w:rPr>
                      <w:rFonts w:hint="default" w:ascii="Times New Roman" w:hAnsi="Times New Roman" w:cs="Times New Roman"/>
                      <w:sz w:val="21"/>
                      <w:szCs w:val="21"/>
                      <w:highlight w:val="none"/>
                    </w:rPr>
                    <w:t>，生产工艺、设备属于国内先进水平</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vMerge w:val="continue"/>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废水经预处理可达到园区内集中污水处理厂的接收标准，并确保不影响污水处理厂的处理效果，“三废”排放能实现稳定达标排放</w:t>
                  </w:r>
                </w:p>
              </w:tc>
              <w:tc>
                <w:tcPr>
                  <w:tcW w:w="1901" w:type="pct"/>
                  <w:tcBorders>
                    <w:tl2br w:val="nil"/>
                    <w:tr2bl w:val="nil"/>
                  </w:tcBorders>
                  <w:vAlign w:val="center"/>
                </w:tcPr>
                <w:p>
                  <w:pPr>
                    <w:autoSpaceDE w:val="0"/>
                    <w:autoSpaceDN w:val="0"/>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w:t>
                  </w:r>
                  <w:r>
                    <w:rPr>
                      <w:rFonts w:hint="default" w:ascii="Times New Roman" w:hAnsi="Times New Roman" w:cs="Times New Roman"/>
                      <w:sz w:val="21"/>
                      <w:szCs w:val="21"/>
                      <w:highlight w:val="none"/>
                      <w:lang w:eastAsia="zh-CN"/>
                    </w:rPr>
                    <w:t>不产生工业废水，</w:t>
                  </w:r>
                  <w:r>
                    <w:rPr>
                      <w:rFonts w:hint="default" w:ascii="Times New Roman" w:hAnsi="Times New Roman" w:cs="Times New Roman"/>
                      <w:sz w:val="21"/>
                      <w:szCs w:val="21"/>
                      <w:highlight w:val="none"/>
                    </w:rPr>
                    <w:t>生活污水</w:t>
                  </w:r>
                  <w:r>
                    <w:rPr>
                      <w:rFonts w:hint="default" w:ascii="Times New Roman" w:hAnsi="Times New Roman" w:cs="Times New Roman"/>
                      <w:sz w:val="21"/>
                      <w:szCs w:val="21"/>
                      <w:highlight w:val="none"/>
                      <w:lang w:eastAsia="zh-CN"/>
                    </w:rPr>
                    <w:t>经</w:t>
                  </w:r>
                  <w:r>
                    <w:rPr>
                      <w:rFonts w:hint="default" w:ascii="Times New Roman" w:hAnsi="Times New Roman" w:cs="Times New Roman"/>
                      <w:sz w:val="21"/>
                      <w:szCs w:val="21"/>
                      <w:highlight w:val="none"/>
                    </w:rPr>
                    <w:t>化粪池的处理后由环卫部门定期清运</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vMerge w:val="continue"/>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采用有效的回收、回用技术，包括物料回收套用、各类废水回用等</w:t>
                  </w:r>
                </w:p>
              </w:tc>
              <w:tc>
                <w:tcPr>
                  <w:tcW w:w="1901" w:type="pct"/>
                  <w:tcBorders>
                    <w:tl2br w:val="nil"/>
                    <w:tr2bl w:val="nil"/>
                  </w:tcBorders>
                  <w:vAlign w:val="center"/>
                </w:tcPr>
                <w:p>
                  <w:pPr>
                    <w:autoSpaceDE w:val="0"/>
                    <w:autoSpaceDN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w:t>
                  </w:r>
                  <w:r>
                    <w:rPr>
                      <w:rFonts w:hint="default" w:ascii="Times New Roman" w:hAnsi="Times New Roman" w:cs="Times New Roman"/>
                      <w:sz w:val="21"/>
                      <w:szCs w:val="21"/>
                      <w:highlight w:val="none"/>
                      <w:lang w:eastAsia="zh-CN"/>
                    </w:rPr>
                    <w:t>不产生工业废水，</w:t>
                  </w:r>
                  <w:r>
                    <w:rPr>
                      <w:rFonts w:hint="default" w:ascii="Times New Roman" w:hAnsi="Times New Roman" w:cs="Times New Roman"/>
                      <w:sz w:val="21"/>
                      <w:szCs w:val="21"/>
                      <w:highlight w:val="none"/>
                    </w:rPr>
                    <w:t>生活污水</w:t>
                  </w:r>
                  <w:r>
                    <w:rPr>
                      <w:rFonts w:hint="default" w:ascii="Times New Roman" w:hAnsi="Times New Roman" w:cs="Times New Roman"/>
                      <w:sz w:val="21"/>
                      <w:szCs w:val="21"/>
                      <w:highlight w:val="none"/>
                      <w:lang w:eastAsia="zh-CN"/>
                    </w:rPr>
                    <w:t>经</w:t>
                  </w:r>
                  <w:r>
                    <w:rPr>
                      <w:rFonts w:hint="default" w:ascii="Times New Roman" w:hAnsi="Times New Roman" w:cs="Times New Roman"/>
                      <w:sz w:val="21"/>
                      <w:szCs w:val="21"/>
                      <w:highlight w:val="none"/>
                    </w:rPr>
                    <w:t>化粪池的处理后由环卫部门定期清运</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440" w:type="pct"/>
                  <w:vMerge w:val="continue"/>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p>
              </w:tc>
              <w:tc>
                <w:tcPr>
                  <w:tcW w:w="2059"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与园区规划的主导产业配套、污染物较少的相关产业</w:t>
                  </w:r>
                </w:p>
              </w:tc>
              <w:tc>
                <w:tcPr>
                  <w:tcW w:w="1901" w:type="pct"/>
                  <w:tcBorders>
                    <w:tl2br w:val="nil"/>
                    <w:tr2bl w:val="nil"/>
                  </w:tcBorders>
                  <w:vAlign w:val="center"/>
                </w:tcPr>
                <w:p>
                  <w:pPr>
                    <w:pStyle w:val="8"/>
                    <w:rPr>
                      <w:rFonts w:hint="default" w:ascii="Times New Roman" w:hAnsi="Times New Roman" w:cs="Times New Roman"/>
                      <w:sz w:val="21"/>
                      <w:szCs w:val="21"/>
                      <w:highlight w:val="none"/>
                    </w:rPr>
                  </w:pPr>
                  <w:r>
                    <w:rPr>
                      <w:rFonts w:hint="default" w:ascii="Times New Roman" w:hAnsi="Times New Roman" w:cs="Times New Roman"/>
                      <w:kern w:val="2"/>
                      <w:sz w:val="21"/>
                      <w:szCs w:val="21"/>
                      <w:highlight w:val="none"/>
                    </w:rPr>
                    <w:t>本项目为塑料薄膜制造，</w:t>
                  </w:r>
                  <w:r>
                    <w:rPr>
                      <w:rFonts w:hint="default" w:ascii="Times New Roman" w:hAnsi="Times New Roman" w:cs="Times New Roman"/>
                      <w:sz w:val="21"/>
                      <w:szCs w:val="21"/>
                      <w:highlight w:val="none"/>
                    </w:rPr>
                    <w:t>属于与园区规划的相关产业</w:t>
                  </w:r>
                  <w:r>
                    <w:rPr>
                      <w:rFonts w:hint="eastAsia" w:cs="Times New Roman"/>
                      <w:sz w:val="21"/>
                      <w:szCs w:val="21"/>
                      <w:highlight w:val="none"/>
                      <w:lang w:eastAsia="zh-CN"/>
                    </w:rPr>
                    <w:t>附属的包装产业</w:t>
                  </w:r>
                </w:p>
              </w:tc>
              <w:tc>
                <w:tcPr>
                  <w:tcW w:w="597" w:type="pct"/>
                  <w:tcBorders>
                    <w:tl2br w:val="nil"/>
                    <w:tr2bl w:val="nil"/>
                  </w:tcBorders>
                  <w:vAlign w:val="center"/>
                </w:tcPr>
                <w:p>
                  <w:pPr>
                    <w:autoSpaceDE w:val="0"/>
                    <w:autoSpaceDN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bl>
          <w:p>
            <w:pPr>
              <w:spacing w:line="360" w:lineRule="auto"/>
              <w:ind w:firstLine="482" w:firstLineChars="200"/>
              <w:rPr>
                <w:b/>
                <w:bCs/>
                <w:sz w:val="24"/>
                <w:highlight w:val="none"/>
              </w:rPr>
            </w:pPr>
            <w:r>
              <w:rPr>
                <w:b/>
                <w:bCs/>
                <w:sz w:val="24"/>
                <w:highlight w:val="none"/>
              </w:rPr>
              <w:t>2、规划环境影响评价符合性</w:t>
            </w:r>
          </w:p>
          <w:p>
            <w:pPr>
              <w:spacing w:line="360" w:lineRule="auto"/>
              <w:rPr>
                <w:b/>
                <w:bCs/>
                <w:szCs w:val="21"/>
                <w:highlight w:val="none"/>
              </w:rPr>
            </w:pPr>
            <w:r>
              <w:rPr>
                <w:b/>
                <w:bCs/>
                <w:szCs w:val="21"/>
                <w:highlight w:val="none"/>
              </w:rPr>
              <w:t>表1-2  项目与《桓台经济开发区总体规划环境影响报告书》中评价结论的符合性</w:t>
            </w:r>
          </w:p>
          <w:tbl>
            <w:tblPr>
              <w:tblStyle w:val="24"/>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6"/>
              <w:gridCol w:w="2580"/>
              <w:gridCol w:w="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14" w:type="pct"/>
                  <w:tcBorders>
                    <w:top w:val="single" w:color="auto" w:sz="2" w:space="0"/>
                    <w:left w:val="single" w:color="auto" w:sz="0" w:space="0"/>
                    <w:bottom w:val="single" w:color="auto" w:sz="2" w:space="0"/>
                    <w:right w:val="single" w:color="auto" w:sz="2" w:space="0"/>
                  </w:tcBorders>
                  <w:vAlign w:val="center"/>
                </w:tcPr>
                <w:p>
                  <w:pPr>
                    <w:autoSpaceDE w:val="0"/>
                    <w:autoSpaceDN w:val="0"/>
                    <w:jc w:val="center"/>
                    <w:rPr>
                      <w:b/>
                      <w:bCs/>
                      <w:highlight w:val="none"/>
                    </w:rPr>
                  </w:pPr>
                  <w:r>
                    <w:rPr>
                      <w:b/>
                      <w:bCs/>
                      <w:highlight w:val="none"/>
                    </w:rPr>
                    <w:t>规划环评要求</w:t>
                  </w:r>
                </w:p>
              </w:tc>
              <w:tc>
                <w:tcPr>
                  <w:tcW w:w="1726" w:type="pct"/>
                  <w:tcBorders>
                    <w:top w:val="single" w:color="auto" w:sz="2" w:space="0"/>
                    <w:left w:val="single" w:color="auto" w:sz="2" w:space="0"/>
                    <w:bottom w:val="single" w:color="auto" w:sz="2" w:space="0"/>
                    <w:right w:val="single" w:color="auto" w:sz="2" w:space="0"/>
                  </w:tcBorders>
                  <w:vAlign w:val="center"/>
                </w:tcPr>
                <w:p>
                  <w:pPr>
                    <w:autoSpaceDE w:val="0"/>
                    <w:autoSpaceDN w:val="0"/>
                    <w:jc w:val="center"/>
                    <w:rPr>
                      <w:b/>
                      <w:bCs/>
                      <w:highlight w:val="none"/>
                    </w:rPr>
                  </w:pPr>
                  <w:r>
                    <w:rPr>
                      <w:b/>
                      <w:bCs/>
                      <w:highlight w:val="none"/>
                    </w:rPr>
                    <w:t>本项目情况</w:t>
                  </w:r>
                </w:p>
              </w:tc>
              <w:tc>
                <w:tcPr>
                  <w:tcW w:w="459" w:type="pct"/>
                  <w:tcBorders>
                    <w:top w:val="single" w:color="auto" w:sz="2" w:space="0"/>
                    <w:left w:val="single" w:color="auto" w:sz="2" w:space="0"/>
                    <w:bottom w:val="single" w:color="auto" w:sz="2" w:space="0"/>
                    <w:right w:val="single" w:color="auto" w:sz="2" w:space="0"/>
                  </w:tcBorders>
                  <w:vAlign w:val="center"/>
                </w:tcPr>
                <w:p>
                  <w:pPr>
                    <w:autoSpaceDE w:val="0"/>
                    <w:autoSpaceDN w:val="0"/>
                    <w:jc w:val="center"/>
                    <w:rPr>
                      <w:b/>
                      <w:bCs/>
                      <w:highlight w:val="none"/>
                    </w:rPr>
                  </w:pPr>
                  <w:r>
                    <w:rPr>
                      <w:b/>
                      <w:bCs/>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14" w:type="pct"/>
                  <w:tcBorders>
                    <w:top w:val="single" w:color="auto" w:sz="2" w:space="0"/>
                    <w:left w:val="single" w:color="auto" w:sz="4" w:space="0"/>
                    <w:bottom w:val="single" w:color="auto" w:sz="2" w:space="0"/>
                    <w:right w:val="single" w:color="auto" w:sz="2" w:space="0"/>
                  </w:tcBorders>
                  <w:vAlign w:val="center"/>
                </w:tcPr>
                <w:p>
                  <w:pPr>
                    <w:autoSpaceDE w:val="0"/>
                    <w:autoSpaceDN w:val="0"/>
                    <w:jc w:val="left"/>
                    <w:rPr>
                      <w:highlight w:val="none"/>
                    </w:rPr>
                  </w:pPr>
                  <w:r>
                    <w:rPr>
                      <w:highlight w:val="none"/>
                    </w:rPr>
                    <w:t>桓台经济开发区规划面18.06km</w:t>
                  </w:r>
                  <w:r>
                    <w:rPr>
                      <w:highlight w:val="none"/>
                      <w:vertAlign w:val="superscript"/>
                    </w:rPr>
                    <w:t>2</w:t>
                  </w:r>
                  <w:r>
                    <w:rPr>
                      <w:highlight w:val="none"/>
                    </w:rPr>
                    <w:t>，规划在现有工业基础上，重点发展石油炼化及精细化工、钢铁冶炼、新型材料研发、先进装备制造业。</w:t>
                  </w:r>
                </w:p>
              </w:tc>
              <w:tc>
                <w:tcPr>
                  <w:tcW w:w="1726" w:type="pct"/>
                  <w:tcBorders>
                    <w:top w:val="single" w:color="auto" w:sz="2" w:space="0"/>
                    <w:left w:val="single" w:color="auto" w:sz="2" w:space="0"/>
                    <w:bottom w:val="single" w:color="auto" w:sz="2" w:space="0"/>
                    <w:right w:val="single" w:color="auto" w:sz="2" w:space="0"/>
                  </w:tcBorders>
                  <w:vAlign w:val="center"/>
                </w:tcPr>
                <w:p>
                  <w:pPr>
                    <w:autoSpaceDE w:val="0"/>
                    <w:autoSpaceDN w:val="0"/>
                    <w:jc w:val="left"/>
                    <w:rPr>
                      <w:highlight w:val="none"/>
                    </w:rPr>
                  </w:pPr>
                  <w:r>
                    <w:rPr>
                      <w:highlight w:val="none"/>
                    </w:rPr>
                    <w:t>本项目位于</w:t>
                  </w:r>
                  <w:r>
                    <w:rPr>
                      <w:rFonts w:hint="eastAsia"/>
                      <w:highlight w:val="none"/>
                    </w:rPr>
                    <w:t>山东省淄博市桓台县果里镇德阳学校东100米</w:t>
                  </w:r>
                  <w:r>
                    <w:rPr>
                      <w:highlight w:val="none"/>
                    </w:rPr>
                    <w:t>，属于桓台经济开发区规划范围内。本项目为</w:t>
                  </w:r>
                  <w:r>
                    <w:rPr>
                      <w:rFonts w:hint="eastAsia"/>
                      <w:highlight w:val="none"/>
                      <w:lang w:eastAsia="zh-CN"/>
                    </w:rPr>
                    <w:t>塑料薄膜制造</w:t>
                  </w:r>
                  <w:r>
                    <w:rPr>
                      <w:highlight w:val="none"/>
                    </w:rPr>
                    <w:t>，</w:t>
                  </w:r>
                  <w:r>
                    <w:rPr>
                      <w:rFonts w:hint="default" w:ascii="Times New Roman" w:hAnsi="Times New Roman" w:cs="Times New Roman"/>
                      <w:sz w:val="21"/>
                      <w:szCs w:val="21"/>
                      <w:highlight w:val="none"/>
                    </w:rPr>
                    <w:t>属于与园区规划的相关产业</w:t>
                  </w:r>
                  <w:r>
                    <w:rPr>
                      <w:rFonts w:hint="eastAsia" w:cs="Times New Roman"/>
                      <w:sz w:val="21"/>
                      <w:szCs w:val="21"/>
                      <w:highlight w:val="none"/>
                      <w:lang w:eastAsia="zh-CN"/>
                    </w:rPr>
                    <w:t>附属的包装产业</w:t>
                  </w:r>
                  <w:r>
                    <w:rPr>
                      <w:rFonts w:hint="eastAsia" w:ascii="Times New Roman" w:hAnsi="Times New Roman" w:cs="Times New Roman"/>
                      <w:sz w:val="21"/>
                      <w:szCs w:val="21"/>
                      <w:highlight w:val="none"/>
                      <w:lang w:eastAsia="zh-CN"/>
                    </w:rPr>
                    <w:t>，</w:t>
                  </w:r>
                  <w:r>
                    <w:rPr>
                      <w:highlight w:val="none"/>
                    </w:rPr>
                    <w:t>符合桓台经济开发区规划发展。</w:t>
                  </w:r>
                </w:p>
              </w:tc>
              <w:tc>
                <w:tcPr>
                  <w:tcW w:w="459" w:type="pct"/>
                  <w:tcBorders>
                    <w:top w:val="single" w:color="auto" w:sz="2" w:space="0"/>
                    <w:left w:val="single" w:color="auto" w:sz="2" w:space="0"/>
                    <w:bottom w:val="single" w:color="auto" w:sz="2" w:space="0"/>
                    <w:right w:val="single" w:color="auto" w:sz="2" w:space="0"/>
                  </w:tcBorders>
                  <w:vAlign w:val="center"/>
                </w:tcPr>
                <w:p>
                  <w:pPr>
                    <w:autoSpaceDE w:val="0"/>
                    <w:autoSpaceDN w:val="0"/>
                    <w:jc w:val="center"/>
                    <w:rPr>
                      <w:highlight w:val="none"/>
                    </w:rPr>
                  </w:pPr>
                  <w:r>
                    <w:rPr>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9" w:hRule="atLeast"/>
              </w:trPr>
              <w:tc>
                <w:tcPr>
                  <w:tcW w:w="2814" w:type="pct"/>
                  <w:tcBorders>
                    <w:top w:val="single" w:color="auto" w:sz="2" w:space="0"/>
                    <w:left w:val="single" w:color="auto" w:sz="4" w:space="0"/>
                    <w:bottom w:val="single" w:color="auto" w:sz="2" w:space="0"/>
                    <w:right w:val="single" w:color="auto" w:sz="2" w:space="0"/>
                  </w:tcBorders>
                  <w:vAlign w:val="center"/>
                </w:tcPr>
                <w:p>
                  <w:pPr>
                    <w:autoSpaceDE w:val="0"/>
                    <w:autoSpaceDN w:val="0"/>
                    <w:jc w:val="left"/>
                    <w:rPr>
                      <w:highlight w:val="none"/>
                    </w:rPr>
                  </w:pPr>
                  <w:r>
                    <w:rPr>
                      <w:highlight w:val="none"/>
                    </w:rPr>
                    <w:t>涉及到开发区内存在未按规划功能区布局、产业分散、开发区东侧边界存在少量基本农田、需实施村庄搬迁、区域环境空气质量不达标、环境容量不足等制约，需要在规划年内落实区域环境综合整治、污染源提标改造，落实废水集中处理与回用、事故防范、废气处理、固废有效处置、生态保护措施等环境保障措施，在符合土地利用规划并做好村庄搬迁安置，严格落实“三线一单”约束条件等环境保障措施的条件下，区域环境的影响方可接受。</w:t>
                  </w:r>
                </w:p>
              </w:tc>
              <w:tc>
                <w:tcPr>
                  <w:tcW w:w="1726" w:type="pct"/>
                  <w:tcBorders>
                    <w:top w:val="single" w:color="auto" w:sz="2" w:space="0"/>
                    <w:left w:val="single" w:color="auto" w:sz="2" w:space="0"/>
                    <w:bottom w:val="single" w:color="auto" w:sz="2" w:space="0"/>
                    <w:right w:val="single" w:color="auto" w:sz="2" w:space="0"/>
                  </w:tcBorders>
                  <w:vAlign w:val="center"/>
                </w:tcPr>
                <w:p>
                  <w:pPr>
                    <w:autoSpaceDE w:val="0"/>
                    <w:autoSpaceDN w:val="0"/>
                    <w:rPr>
                      <w:highlight w:val="none"/>
                    </w:rPr>
                  </w:pPr>
                  <w:r>
                    <w:rPr>
                      <w:highlight w:val="none"/>
                    </w:rPr>
                    <w:t>本项目</w:t>
                  </w:r>
                  <w:r>
                    <w:rPr>
                      <w:rFonts w:hint="eastAsia"/>
                      <w:highlight w:val="none"/>
                      <w:lang w:eastAsia="zh-CN"/>
                    </w:rPr>
                    <w:t>不产生工业废水，</w:t>
                  </w:r>
                  <w:r>
                    <w:rPr>
                      <w:highlight w:val="none"/>
                    </w:rPr>
                    <w:t>生活污水</w:t>
                  </w:r>
                  <w:r>
                    <w:rPr>
                      <w:rFonts w:hint="eastAsia"/>
                      <w:highlight w:val="none"/>
                      <w:lang w:eastAsia="zh-CN"/>
                    </w:rPr>
                    <w:t>经</w:t>
                  </w:r>
                  <w:r>
                    <w:rPr>
                      <w:rFonts w:hint="eastAsia"/>
                      <w:highlight w:val="none"/>
                    </w:rPr>
                    <w:t>化粪池的处理后由环卫部门定期清运</w:t>
                  </w:r>
                  <w:r>
                    <w:rPr>
                      <w:highlight w:val="none"/>
                    </w:rPr>
                    <w:t>；</w:t>
                  </w:r>
                  <w:r>
                    <w:rPr>
                      <w:rFonts w:hint="eastAsia"/>
                      <w:highlight w:val="none"/>
                      <w:lang w:eastAsia="zh-CN"/>
                    </w:rPr>
                    <w:t>本项目</w:t>
                  </w:r>
                  <w:r>
                    <w:rPr>
                      <w:highlight w:val="none"/>
                    </w:rPr>
                    <w:t>废气可以达标排放；</w:t>
                  </w:r>
                  <w:r>
                    <w:rPr>
                      <w:rFonts w:hint="default" w:ascii="Times New Roman" w:hAnsi="Times New Roman" w:cs="Times New Roman"/>
                      <w:bCs/>
                      <w:sz w:val="21"/>
                      <w:szCs w:val="21"/>
                      <w:highlight w:val="none"/>
                    </w:rPr>
                    <w:t>选用低噪声设备，合理布局，对高噪声设备采用隔声和减振措施</w:t>
                  </w:r>
                  <w:r>
                    <w:rPr>
                      <w:rFonts w:hint="eastAsia" w:cs="Times New Roman"/>
                      <w:bCs/>
                      <w:sz w:val="21"/>
                      <w:szCs w:val="21"/>
                      <w:highlight w:val="none"/>
                      <w:lang w:eastAsia="zh-CN"/>
                    </w:rPr>
                    <w:t>，对周围环境影响较低</w:t>
                  </w:r>
                  <w:r>
                    <w:rPr>
                      <w:highlight w:val="none"/>
                    </w:rPr>
                    <w:t>；固废均妥善处置。本项目“三废”在环境保障措施下对周围环境影响较小。</w:t>
                  </w:r>
                </w:p>
              </w:tc>
              <w:tc>
                <w:tcPr>
                  <w:tcW w:w="459" w:type="pct"/>
                  <w:tcBorders>
                    <w:top w:val="single" w:color="auto" w:sz="2" w:space="0"/>
                    <w:left w:val="single" w:color="auto" w:sz="2" w:space="0"/>
                    <w:bottom w:val="single" w:color="auto" w:sz="2" w:space="0"/>
                    <w:right w:val="single" w:color="auto" w:sz="2" w:space="0"/>
                  </w:tcBorders>
                  <w:vAlign w:val="center"/>
                </w:tcPr>
                <w:p>
                  <w:pPr>
                    <w:autoSpaceDE w:val="0"/>
                    <w:autoSpaceDN w:val="0"/>
                    <w:jc w:val="center"/>
                    <w:rPr>
                      <w:highlight w:val="none"/>
                    </w:rPr>
                  </w:pPr>
                  <w:r>
                    <w:rPr>
                      <w:highlight w:val="none"/>
                    </w:rPr>
                    <w:t>符合</w:t>
                  </w:r>
                </w:p>
              </w:tc>
            </w:tr>
          </w:tbl>
          <w:p>
            <w:pPr>
              <w:spacing w:line="360" w:lineRule="auto"/>
              <w:ind w:firstLine="422" w:firstLineChars="200"/>
              <w:jc w:val="center"/>
              <w:rPr>
                <w:b/>
                <w:bCs/>
                <w:szCs w:val="21"/>
                <w:highlight w:val="none"/>
              </w:rPr>
            </w:pPr>
            <w:r>
              <w:rPr>
                <w:b/>
                <w:bCs/>
                <w:szCs w:val="21"/>
                <w:highlight w:val="none"/>
              </w:rPr>
              <w:t>表1-3  项目与《桓台经济开发区总体规划环境影响报告书》审查意见（桓环许字[2018]79号）的符合性</w:t>
            </w:r>
          </w:p>
          <w:tbl>
            <w:tblPr>
              <w:tblStyle w:val="24"/>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8"/>
              <w:gridCol w:w="3636"/>
              <w:gridCol w:w="2334"/>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2976" w:type="pct"/>
                  <w:gridSpan w:val="2"/>
                  <w:tcBorders>
                    <w:tl2br w:val="nil"/>
                    <w:tr2bl w:val="nil"/>
                  </w:tcBorders>
                  <w:vAlign w:val="center"/>
                </w:tcPr>
                <w:p>
                  <w:pPr>
                    <w:autoSpaceDE w:val="0"/>
                    <w:autoSpaceDN w:val="0"/>
                    <w:jc w:val="center"/>
                    <w:rPr>
                      <w:b/>
                      <w:bCs/>
                      <w:highlight w:val="none"/>
                    </w:rPr>
                  </w:pPr>
                  <w:r>
                    <w:rPr>
                      <w:b/>
                      <w:bCs/>
                      <w:highlight w:val="none"/>
                    </w:rPr>
                    <w:t>规划环评要求</w:t>
                  </w:r>
                </w:p>
              </w:tc>
              <w:tc>
                <w:tcPr>
                  <w:tcW w:w="1563" w:type="pct"/>
                  <w:tcBorders>
                    <w:tl2br w:val="nil"/>
                    <w:tr2bl w:val="nil"/>
                  </w:tcBorders>
                  <w:vAlign w:val="center"/>
                </w:tcPr>
                <w:p>
                  <w:pPr>
                    <w:autoSpaceDE w:val="0"/>
                    <w:autoSpaceDN w:val="0"/>
                    <w:jc w:val="center"/>
                    <w:rPr>
                      <w:b/>
                      <w:bCs/>
                      <w:highlight w:val="none"/>
                    </w:rPr>
                  </w:pPr>
                  <w:r>
                    <w:rPr>
                      <w:b/>
                      <w:bCs/>
                      <w:highlight w:val="none"/>
                    </w:rPr>
                    <w:t>本项目情况</w:t>
                  </w:r>
                </w:p>
              </w:tc>
              <w:tc>
                <w:tcPr>
                  <w:tcW w:w="460" w:type="pct"/>
                  <w:tcBorders>
                    <w:tl2br w:val="nil"/>
                    <w:tr2bl w:val="nil"/>
                  </w:tcBorders>
                  <w:vAlign w:val="center"/>
                </w:tcPr>
                <w:p>
                  <w:pPr>
                    <w:autoSpaceDE w:val="0"/>
                    <w:autoSpaceDN w:val="0"/>
                    <w:jc w:val="center"/>
                    <w:rPr>
                      <w:b/>
                      <w:bCs/>
                      <w:highlight w:val="none"/>
                    </w:rPr>
                  </w:pPr>
                  <w:r>
                    <w:rPr>
                      <w:b/>
                      <w:bCs/>
                      <w:highlight w:val="none"/>
                    </w:rPr>
                    <w:t>符合性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541" w:type="pct"/>
                  <w:vMerge w:val="restart"/>
                  <w:tcBorders>
                    <w:tl2br w:val="nil"/>
                    <w:tr2bl w:val="nil"/>
                  </w:tcBorders>
                  <w:vAlign w:val="center"/>
                </w:tcPr>
                <w:p>
                  <w:pPr>
                    <w:autoSpaceDE w:val="0"/>
                    <w:autoSpaceDN w:val="0"/>
                    <w:jc w:val="center"/>
                    <w:rPr>
                      <w:highlight w:val="none"/>
                    </w:rPr>
                  </w:pPr>
                  <w:r>
                    <w:rPr>
                      <w:highlight w:val="none"/>
                    </w:rPr>
                    <w:t>基础设施</w:t>
                  </w:r>
                </w:p>
              </w:tc>
              <w:tc>
                <w:tcPr>
                  <w:tcW w:w="2434" w:type="pct"/>
                  <w:tcBorders>
                    <w:tl2br w:val="nil"/>
                    <w:tr2bl w:val="nil"/>
                  </w:tcBorders>
                  <w:vAlign w:val="center"/>
                </w:tcPr>
                <w:p>
                  <w:pPr>
                    <w:autoSpaceDE w:val="0"/>
                    <w:autoSpaceDN w:val="0"/>
                    <w:jc w:val="center"/>
                    <w:rPr>
                      <w:highlight w:val="none"/>
                    </w:rPr>
                  </w:pPr>
                  <w:r>
                    <w:rPr>
                      <w:highlight w:val="none"/>
                    </w:rPr>
                    <w:t>（一）水资源开发及供给：规划水源为新城净水厂（引黄水），开发区开发建设过程中要合理开发、利用水资源，应注意节约用水，优先使用中水。</w:t>
                  </w:r>
                </w:p>
              </w:tc>
              <w:tc>
                <w:tcPr>
                  <w:tcW w:w="1563" w:type="pct"/>
                  <w:tcBorders>
                    <w:tl2br w:val="nil"/>
                    <w:tr2bl w:val="nil"/>
                  </w:tcBorders>
                  <w:vAlign w:val="center"/>
                </w:tcPr>
                <w:p>
                  <w:pPr>
                    <w:autoSpaceDE w:val="0"/>
                    <w:autoSpaceDN w:val="0"/>
                    <w:jc w:val="left"/>
                    <w:rPr>
                      <w:rFonts w:hint="eastAsia" w:eastAsia="宋体"/>
                      <w:highlight w:val="none"/>
                      <w:lang w:val="en-US" w:eastAsia="zh-CN"/>
                    </w:rPr>
                  </w:pPr>
                  <w:r>
                    <w:rPr>
                      <w:highlight w:val="none"/>
                    </w:rPr>
                    <w:t>项目用水</w:t>
                  </w:r>
                  <w:r>
                    <w:rPr>
                      <w:rFonts w:hint="eastAsia"/>
                      <w:highlight w:val="none"/>
                      <w:lang w:eastAsia="zh-CN"/>
                    </w:rPr>
                    <w:t>由</w:t>
                  </w:r>
                  <w:r>
                    <w:rPr>
                      <w:highlight w:val="none"/>
                    </w:rPr>
                    <w:t>桓台县供水管网</w:t>
                  </w:r>
                  <w:r>
                    <w:rPr>
                      <w:rFonts w:hint="eastAsia"/>
                      <w:highlight w:val="none"/>
                      <w:lang w:eastAsia="zh-CN"/>
                    </w:rPr>
                    <w:t>供给</w:t>
                  </w:r>
                </w:p>
              </w:tc>
              <w:tc>
                <w:tcPr>
                  <w:tcW w:w="460" w:type="pct"/>
                  <w:tcBorders>
                    <w:tl2br w:val="nil"/>
                    <w:tr2bl w:val="nil"/>
                  </w:tcBorders>
                  <w:vAlign w:val="center"/>
                </w:tcPr>
                <w:p>
                  <w:pPr>
                    <w:autoSpaceDE w:val="0"/>
                    <w:autoSpaceDN w:val="0"/>
                    <w:jc w:val="center"/>
                    <w:rPr>
                      <w:highlight w:val="none"/>
                    </w:rPr>
                  </w:pPr>
                  <w:r>
                    <w:rPr>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541" w:type="pct"/>
                  <w:vMerge w:val="continue"/>
                  <w:tcBorders>
                    <w:tl2br w:val="nil"/>
                    <w:tr2bl w:val="nil"/>
                  </w:tcBorders>
                  <w:vAlign w:val="center"/>
                </w:tcPr>
                <w:p>
                  <w:pPr>
                    <w:autoSpaceDE w:val="0"/>
                    <w:autoSpaceDN w:val="0"/>
                    <w:jc w:val="center"/>
                    <w:rPr>
                      <w:highlight w:val="none"/>
                    </w:rPr>
                  </w:pPr>
                </w:p>
              </w:tc>
              <w:tc>
                <w:tcPr>
                  <w:tcW w:w="2434" w:type="pct"/>
                  <w:tcBorders>
                    <w:tl2br w:val="nil"/>
                    <w:tr2bl w:val="nil"/>
                  </w:tcBorders>
                  <w:vAlign w:val="center"/>
                </w:tcPr>
                <w:p>
                  <w:pPr>
                    <w:autoSpaceDE w:val="0"/>
                    <w:autoSpaceDN w:val="0"/>
                    <w:jc w:val="center"/>
                    <w:rPr>
                      <w:highlight w:val="none"/>
                    </w:rPr>
                  </w:pPr>
                  <w:r>
                    <w:rPr>
                      <w:highlight w:val="none"/>
                    </w:rPr>
                    <w:t>（二）排水及污水处理：开发区要按照“雨污分流、清污分流、中水回用”的原则合理设计和建设排水系统，逐步提高水的重复利用率。入园企业的生产废水，初期雨水要立足于厂内处理后综合利用，所有废水要经过管线排入污水处理站处理。</w:t>
                  </w:r>
                </w:p>
              </w:tc>
              <w:tc>
                <w:tcPr>
                  <w:tcW w:w="1563" w:type="pct"/>
                  <w:tcBorders>
                    <w:tl2br w:val="nil"/>
                    <w:tr2bl w:val="nil"/>
                  </w:tcBorders>
                  <w:vAlign w:val="center"/>
                </w:tcPr>
                <w:p>
                  <w:pPr>
                    <w:autoSpaceDE w:val="0"/>
                    <w:autoSpaceDN w:val="0"/>
                    <w:jc w:val="left"/>
                    <w:rPr>
                      <w:highlight w:val="none"/>
                    </w:rPr>
                  </w:pPr>
                  <w:r>
                    <w:rPr>
                      <w:highlight w:val="none"/>
                    </w:rPr>
                    <w:t>本项目</w:t>
                  </w:r>
                  <w:r>
                    <w:rPr>
                      <w:rFonts w:hint="eastAsia"/>
                      <w:highlight w:val="none"/>
                      <w:lang w:eastAsia="zh-CN"/>
                    </w:rPr>
                    <w:t>不产生工业废水，</w:t>
                  </w:r>
                  <w:r>
                    <w:rPr>
                      <w:highlight w:val="none"/>
                    </w:rPr>
                    <w:t>生活污水</w:t>
                  </w:r>
                  <w:r>
                    <w:rPr>
                      <w:rFonts w:hint="eastAsia"/>
                      <w:highlight w:val="none"/>
                      <w:lang w:eastAsia="zh-CN"/>
                    </w:rPr>
                    <w:t>经</w:t>
                  </w:r>
                  <w:r>
                    <w:rPr>
                      <w:rFonts w:hint="eastAsia"/>
                      <w:highlight w:val="none"/>
                    </w:rPr>
                    <w:t>化粪池的处理后由环卫部门定期清运</w:t>
                  </w:r>
                </w:p>
              </w:tc>
              <w:tc>
                <w:tcPr>
                  <w:tcW w:w="460" w:type="pct"/>
                  <w:tcBorders>
                    <w:tl2br w:val="nil"/>
                    <w:tr2bl w:val="nil"/>
                  </w:tcBorders>
                  <w:vAlign w:val="center"/>
                </w:tcPr>
                <w:p>
                  <w:pPr>
                    <w:autoSpaceDE w:val="0"/>
                    <w:autoSpaceDN w:val="0"/>
                    <w:jc w:val="center"/>
                    <w:rPr>
                      <w:highlight w:val="none"/>
                    </w:rPr>
                  </w:pPr>
                  <w:r>
                    <w:rPr>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541" w:type="pct"/>
                  <w:vMerge w:val="continue"/>
                  <w:tcBorders>
                    <w:tl2br w:val="nil"/>
                    <w:tr2bl w:val="nil"/>
                  </w:tcBorders>
                  <w:vAlign w:val="center"/>
                </w:tcPr>
                <w:p>
                  <w:pPr>
                    <w:autoSpaceDE w:val="0"/>
                    <w:autoSpaceDN w:val="0"/>
                    <w:jc w:val="center"/>
                    <w:rPr>
                      <w:highlight w:val="none"/>
                    </w:rPr>
                  </w:pPr>
                </w:p>
              </w:tc>
              <w:tc>
                <w:tcPr>
                  <w:tcW w:w="2434" w:type="pct"/>
                  <w:tcBorders>
                    <w:tl2br w:val="nil"/>
                    <w:tr2bl w:val="nil"/>
                  </w:tcBorders>
                  <w:vAlign w:val="center"/>
                </w:tcPr>
                <w:p>
                  <w:pPr>
                    <w:autoSpaceDE w:val="0"/>
                    <w:autoSpaceDN w:val="0"/>
                    <w:jc w:val="center"/>
                    <w:rPr>
                      <w:highlight w:val="none"/>
                    </w:rPr>
                  </w:pPr>
                  <w:r>
                    <w:rPr>
                      <w:highlight w:val="none"/>
                    </w:rPr>
                    <w:t>（三）集中供热与燃气：热源由桓台经济开发区热力有限公司及山东汇丰石化集团有限公司提供。加快供热管网的建设，确保集中区实现集中供热。集中区内供热管网建设要与开发建设同步进行，各入区企业不得自建燃煤锅炉。</w:t>
                  </w:r>
                </w:p>
              </w:tc>
              <w:tc>
                <w:tcPr>
                  <w:tcW w:w="1563" w:type="pct"/>
                  <w:tcBorders>
                    <w:tl2br w:val="nil"/>
                    <w:tr2bl w:val="nil"/>
                  </w:tcBorders>
                  <w:vAlign w:val="center"/>
                </w:tcPr>
                <w:p>
                  <w:pPr>
                    <w:autoSpaceDE w:val="0"/>
                    <w:autoSpaceDN w:val="0"/>
                    <w:jc w:val="left"/>
                    <w:rPr>
                      <w:rFonts w:hint="eastAsia" w:eastAsia="宋体"/>
                      <w:highlight w:val="none"/>
                      <w:lang w:eastAsia="zh-CN"/>
                    </w:rPr>
                  </w:pPr>
                  <w:r>
                    <w:rPr>
                      <w:rFonts w:hint="eastAsia"/>
                      <w:highlight w:val="none"/>
                      <w:lang w:eastAsia="zh-CN"/>
                    </w:rPr>
                    <w:t>本项目不涉及集中供热及燃气的使用</w:t>
                  </w:r>
                </w:p>
              </w:tc>
              <w:tc>
                <w:tcPr>
                  <w:tcW w:w="460" w:type="pct"/>
                  <w:tcBorders>
                    <w:tl2br w:val="nil"/>
                    <w:tr2bl w:val="nil"/>
                  </w:tcBorders>
                  <w:vAlign w:val="center"/>
                </w:tcPr>
                <w:p>
                  <w:pPr>
                    <w:autoSpaceDE w:val="0"/>
                    <w:autoSpaceDN w:val="0"/>
                    <w:jc w:val="center"/>
                    <w:rPr>
                      <w:highlight w:val="none"/>
                    </w:rPr>
                  </w:pPr>
                  <w:r>
                    <w:rPr>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541" w:type="pct"/>
                  <w:vMerge w:val="continue"/>
                  <w:tcBorders>
                    <w:tl2br w:val="nil"/>
                    <w:tr2bl w:val="nil"/>
                  </w:tcBorders>
                  <w:vAlign w:val="center"/>
                </w:tcPr>
                <w:p>
                  <w:pPr>
                    <w:autoSpaceDE w:val="0"/>
                    <w:autoSpaceDN w:val="0"/>
                    <w:jc w:val="center"/>
                    <w:rPr>
                      <w:highlight w:val="none"/>
                    </w:rPr>
                  </w:pPr>
                </w:p>
              </w:tc>
              <w:tc>
                <w:tcPr>
                  <w:tcW w:w="2434" w:type="pct"/>
                  <w:tcBorders>
                    <w:tl2br w:val="nil"/>
                    <w:tr2bl w:val="nil"/>
                  </w:tcBorders>
                  <w:vAlign w:val="center"/>
                </w:tcPr>
                <w:p>
                  <w:pPr>
                    <w:autoSpaceDE w:val="0"/>
                    <w:autoSpaceDN w:val="0"/>
                    <w:jc w:val="center"/>
                    <w:rPr>
                      <w:highlight w:val="none"/>
                    </w:rPr>
                  </w:pPr>
                  <w:r>
                    <w:rPr>
                      <w:highlight w:val="none"/>
                    </w:rPr>
                    <w:t>（四）固体废物：严格按照有关规定，对固体废物实施分离处理、处置等方式，做到“资源化、减量化、无害化”。一般工业固体废物要贮存场所应符合《一般工业固体废物贮存、处置场污染控制标准》（GB18599-2001）要求。危险废物临时贮存场所应符合《危险废物贮存污染控制标准》（GB18597-2001）要求，并委托有资质的危险废物处置单位处理。危险废物转移必须执行转移联单制度，防止水土流失、扩散。结合工业区的发展，制定危险废物就地处理、处置计划并逐步设施。</w:t>
                  </w:r>
                </w:p>
              </w:tc>
              <w:tc>
                <w:tcPr>
                  <w:tcW w:w="1563" w:type="pct"/>
                  <w:tcBorders>
                    <w:tl2br w:val="nil"/>
                    <w:tr2bl w:val="nil"/>
                  </w:tcBorders>
                  <w:vAlign w:val="center"/>
                </w:tcPr>
                <w:p>
                  <w:pPr>
                    <w:autoSpaceDE w:val="0"/>
                    <w:autoSpaceDN w:val="0"/>
                    <w:rPr>
                      <w:highlight w:val="none"/>
                    </w:rPr>
                  </w:pPr>
                  <w:r>
                    <w:rPr>
                      <w:highlight w:val="none"/>
                    </w:rPr>
                    <w:t>企业设置一般工业固废区</w:t>
                  </w:r>
                  <w:r>
                    <w:rPr>
                      <w:rFonts w:hint="eastAsia"/>
                      <w:highlight w:val="none"/>
                      <w:lang w:eastAsia="zh-CN"/>
                    </w:rPr>
                    <w:t>与危废区</w:t>
                  </w:r>
                  <w:r>
                    <w:rPr>
                      <w:highlight w:val="none"/>
                    </w:rPr>
                    <w:t>，一般工业固废区满足《一般工业固体废物贮存、处置场污染控制标准》（GB18599-2020）的要求；危废间满足《危险废物贮存污染控制标准》（GB18597-2001）的要求。危废委托有资质的危险废物处置单位处理</w:t>
                  </w:r>
                </w:p>
              </w:tc>
              <w:tc>
                <w:tcPr>
                  <w:tcW w:w="460" w:type="pct"/>
                  <w:tcBorders>
                    <w:tl2br w:val="nil"/>
                    <w:tr2bl w:val="nil"/>
                  </w:tcBorders>
                  <w:vAlign w:val="center"/>
                </w:tcPr>
                <w:p>
                  <w:pPr>
                    <w:autoSpaceDE w:val="0"/>
                    <w:autoSpaceDN w:val="0"/>
                    <w:jc w:val="center"/>
                    <w:rPr>
                      <w:highlight w:val="none"/>
                    </w:rPr>
                  </w:pPr>
                  <w:r>
                    <w:rPr>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541" w:type="pct"/>
                  <w:tcBorders>
                    <w:tl2br w:val="nil"/>
                    <w:tr2bl w:val="nil"/>
                  </w:tcBorders>
                  <w:vAlign w:val="center"/>
                </w:tcPr>
                <w:p>
                  <w:pPr>
                    <w:autoSpaceDE w:val="0"/>
                    <w:autoSpaceDN w:val="0"/>
                    <w:jc w:val="center"/>
                    <w:rPr>
                      <w:highlight w:val="none"/>
                    </w:rPr>
                  </w:pPr>
                  <w:r>
                    <w:rPr>
                      <w:highlight w:val="none"/>
                    </w:rPr>
                    <w:t>污染物排放总量控制</w:t>
                  </w:r>
                </w:p>
              </w:tc>
              <w:tc>
                <w:tcPr>
                  <w:tcW w:w="2434" w:type="pct"/>
                  <w:tcBorders>
                    <w:tl2br w:val="nil"/>
                    <w:tr2bl w:val="nil"/>
                  </w:tcBorders>
                  <w:vAlign w:val="center"/>
                </w:tcPr>
                <w:p>
                  <w:pPr>
                    <w:autoSpaceDE w:val="0"/>
                    <w:autoSpaceDN w:val="0"/>
                    <w:jc w:val="center"/>
                    <w:rPr>
                      <w:highlight w:val="none"/>
                    </w:rPr>
                  </w:pPr>
                  <w:r>
                    <w:rPr>
                      <w:highlight w:val="none"/>
                    </w:rPr>
                    <w:t>开发区内主要污染物排放总量控制指标由县政府污染物总量控制办公室统一管理，从严控制。开发区污染物排放量应小于区域环境容量，并满足我县“十二五”总量控制计划的相关要求。</w:t>
                  </w:r>
                </w:p>
              </w:tc>
              <w:tc>
                <w:tcPr>
                  <w:tcW w:w="1563" w:type="pct"/>
                  <w:tcBorders>
                    <w:tl2br w:val="nil"/>
                    <w:tr2bl w:val="nil"/>
                  </w:tcBorders>
                  <w:vAlign w:val="center"/>
                </w:tcPr>
                <w:p>
                  <w:pPr>
                    <w:autoSpaceDE w:val="0"/>
                    <w:autoSpaceDN w:val="0"/>
                    <w:jc w:val="left"/>
                    <w:rPr>
                      <w:highlight w:val="none"/>
                    </w:rPr>
                  </w:pPr>
                  <w:r>
                    <w:rPr>
                      <w:highlight w:val="none"/>
                    </w:rPr>
                    <w:t>本项目污染物排放实行总量控制</w:t>
                  </w:r>
                </w:p>
              </w:tc>
              <w:tc>
                <w:tcPr>
                  <w:tcW w:w="460" w:type="pct"/>
                  <w:tcBorders>
                    <w:tl2br w:val="nil"/>
                    <w:tr2bl w:val="nil"/>
                  </w:tcBorders>
                  <w:vAlign w:val="center"/>
                </w:tcPr>
                <w:p>
                  <w:pPr>
                    <w:autoSpaceDE w:val="0"/>
                    <w:autoSpaceDN w:val="0"/>
                    <w:jc w:val="center"/>
                    <w:rPr>
                      <w:highlight w:val="none"/>
                    </w:rPr>
                  </w:pPr>
                  <w:r>
                    <w:rPr>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9" w:hRule="atLeast"/>
              </w:trPr>
              <w:tc>
                <w:tcPr>
                  <w:tcW w:w="541" w:type="pct"/>
                  <w:tcBorders>
                    <w:tl2br w:val="nil"/>
                    <w:tr2bl w:val="nil"/>
                  </w:tcBorders>
                  <w:vAlign w:val="center"/>
                </w:tcPr>
                <w:p>
                  <w:pPr>
                    <w:autoSpaceDE w:val="0"/>
                    <w:autoSpaceDN w:val="0"/>
                    <w:jc w:val="center"/>
                    <w:rPr>
                      <w:highlight w:val="none"/>
                    </w:rPr>
                  </w:pPr>
                  <w:r>
                    <w:rPr>
                      <w:highlight w:val="none"/>
                    </w:rPr>
                    <w:t>环境管理</w:t>
                  </w:r>
                </w:p>
              </w:tc>
              <w:tc>
                <w:tcPr>
                  <w:tcW w:w="2434" w:type="pct"/>
                  <w:tcBorders>
                    <w:tl2br w:val="nil"/>
                    <w:tr2bl w:val="nil"/>
                  </w:tcBorders>
                  <w:vAlign w:val="center"/>
                </w:tcPr>
                <w:p>
                  <w:pPr>
                    <w:autoSpaceDE w:val="0"/>
                    <w:autoSpaceDN w:val="0"/>
                    <w:jc w:val="center"/>
                    <w:rPr>
                      <w:highlight w:val="none"/>
                    </w:rPr>
                  </w:pPr>
                  <w:r>
                    <w:rPr>
                      <w:highlight w:val="none"/>
                    </w:rPr>
                    <w:t>所有入经济开发区的项目，要在规划的功能区内建设，并符合国家产业政策、经济开发区的行业准入和环保准入条件。所有建设项目的环境影响评价文件，要经有审批权的环保部门批准后方可开工建设，并落实好“三同时”制度。入区企业应做好污水处理设施、污水管网和事故水池的建设，并做好装置区、罐区、污水处理设施、污水管网和危险废物贮存场所的防渗措施，防止污染地表水和地下水。</w:t>
                  </w:r>
                </w:p>
              </w:tc>
              <w:tc>
                <w:tcPr>
                  <w:tcW w:w="1563" w:type="pct"/>
                  <w:tcBorders>
                    <w:tl2br w:val="nil"/>
                    <w:tr2bl w:val="nil"/>
                  </w:tcBorders>
                  <w:vAlign w:val="center"/>
                </w:tcPr>
                <w:p>
                  <w:pPr>
                    <w:autoSpaceDE w:val="0"/>
                    <w:autoSpaceDN w:val="0"/>
                    <w:jc w:val="left"/>
                    <w:rPr>
                      <w:highlight w:val="none"/>
                    </w:rPr>
                  </w:pPr>
                  <w:r>
                    <w:rPr>
                      <w:highlight w:val="none"/>
                    </w:rPr>
                    <w:t>本项目位于</w:t>
                  </w:r>
                  <w:r>
                    <w:rPr>
                      <w:rFonts w:hint="eastAsia"/>
                      <w:highlight w:val="none"/>
                    </w:rPr>
                    <w:t>山东省淄博市桓台县果里镇德阳学校东100米</w:t>
                  </w:r>
                  <w:r>
                    <w:rPr>
                      <w:rFonts w:hint="eastAsia"/>
                      <w:highlight w:val="none"/>
                      <w:lang w:eastAsia="zh-CN"/>
                    </w:rPr>
                    <w:t>，</w:t>
                  </w:r>
                  <w:r>
                    <w:rPr>
                      <w:highlight w:val="none"/>
                    </w:rPr>
                    <w:t>租赁现有厂房，符合国家产业政策、经济开发区的行业准入和环保准入条件。本项目</w:t>
                  </w:r>
                  <w:r>
                    <w:rPr>
                      <w:rFonts w:hint="eastAsia"/>
                      <w:highlight w:val="none"/>
                      <w:lang w:eastAsia="zh-CN"/>
                    </w:rPr>
                    <w:t>生活废水经化粪池处理后由环卫部门定期清运</w:t>
                  </w:r>
                  <w:r>
                    <w:rPr>
                      <w:highlight w:val="none"/>
                    </w:rPr>
                    <w:t>，现有防渗措施基本满足防渗要求</w:t>
                  </w:r>
                </w:p>
              </w:tc>
              <w:tc>
                <w:tcPr>
                  <w:tcW w:w="460" w:type="pct"/>
                  <w:tcBorders>
                    <w:tl2br w:val="nil"/>
                    <w:tr2bl w:val="nil"/>
                  </w:tcBorders>
                  <w:vAlign w:val="center"/>
                </w:tcPr>
                <w:p>
                  <w:pPr>
                    <w:autoSpaceDE w:val="0"/>
                    <w:autoSpaceDN w:val="0"/>
                    <w:jc w:val="center"/>
                    <w:rPr>
                      <w:highlight w:val="none"/>
                    </w:rPr>
                  </w:pPr>
                  <w:r>
                    <w:rPr>
                      <w:highlight w:val="none"/>
                    </w:rPr>
                    <w:t>符合</w:t>
                  </w:r>
                </w:p>
              </w:tc>
            </w:tr>
          </w:tbl>
          <w:p>
            <w:pPr>
              <w:widowControl/>
              <w:spacing w:line="360" w:lineRule="auto"/>
              <w:jc w:val="left"/>
              <w:rPr>
                <w:rFonts w:hint="default" w:ascii="Times New Roman" w:hAnsi="Times New Roman" w:cs="Times New Roman"/>
                <w:kern w:val="0"/>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2" w:type="dxa"/>
            <w:noWrap w:val="0"/>
            <w:vAlign w:val="center"/>
          </w:tcPr>
          <w:p>
            <w:pPr>
              <w:autoSpaceDE w:val="0"/>
              <w:autoSpaceDN w:val="0"/>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其他符合性分析</w:t>
            </w:r>
          </w:p>
        </w:tc>
        <w:tc>
          <w:tcPr>
            <w:tcW w:w="8537" w:type="dxa"/>
            <w:gridSpan w:val="4"/>
            <w:noWrap w:val="0"/>
            <w:vAlign w:val="center"/>
          </w:tcPr>
          <w:p>
            <w:pPr>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1、产业政策符合性</w:t>
            </w:r>
          </w:p>
          <w:p>
            <w:pPr>
              <w:widowControl/>
              <w:spacing w:line="360" w:lineRule="auto"/>
              <w:ind w:firstLine="480" w:firstLineChars="200"/>
              <w:rPr>
                <w:rFonts w:hint="default" w:ascii="Times New Roman" w:hAnsi="Times New Roman" w:cs="Times New Roman"/>
                <w:kern w:val="0"/>
                <w:sz w:val="24"/>
                <w:szCs w:val="24"/>
                <w:highlight w:val="none"/>
                <w:lang w:bidi="ar"/>
              </w:rPr>
            </w:pPr>
            <w:r>
              <w:rPr>
                <w:rFonts w:hint="default" w:ascii="Times New Roman" w:hAnsi="Times New Roman" w:cs="Times New Roman"/>
                <w:kern w:val="0"/>
                <w:sz w:val="24"/>
                <w:szCs w:val="24"/>
                <w:highlight w:val="none"/>
                <w:lang w:val="en-US" w:eastAsia="zh-CN" w:bidi="ar"/>
              </w:rPr>
              <w:t>（1）</w:t>
            </w:r>
            <w:r>
              <w:rPr>
                <w:rFonts w:hint="default" w:ascii="Times New Roman" w:hAnsi="Times New Roman" w:cs="Times New Roman"/>
                <w:kern w:val="0"/>
                <w:sz w:val="24"/>
                <w:szCs w:val="24"/>
                <w:highlight w:val="none"/>
                <w:lang w:bidi="ar"/>
              </w:rPr>
              <w:t>本项目</w:t>
            </w:r>
            <w:r>
              <w:rPr>
                <w:rFonts w:hint="default" w:ascii="Times New Roman" w:hAnsi="Times New Roman" w:cs="Times New Roman"/>
                <w:kern w:val="0"/>
                <w:sz w:val="24"/>
                <w:szCs w:val="24"/>
                <w:highlight w:val="none"/>
                <w:lang w:eastAsia="zh-CN" w:bidi="ar"/>
              </w:rPr>
              <w:t>行业为</w:t>
            </w:r>
            <w:r>
              <w:rPr>
                <w:rFonts w:hint="default" w:ascii="Times New Roman" w:hAnsi="Times New Roman" w:eastAsia="宋体" w:cs="Times New Roman"/>
                <w:color w:val="auto"/>
                <w:sz w:val="24"/>
                <w:szCs w:val="24"/>
                <w:highlight w:val="none"/>
                <w:lang w:val="en-US" w:eastAsia="zh-CN"/>
              </w:rPr>
              <w:t>C2921塑料薄膜制造</w:t>
            </w:r>
            <w:r>
              <w:rPr>
                <w:rFonts w:hint="default" w:ascii="Times New Roman" w:hAnsi="Times New Roman" w:cs="Times New Roman"/>
                <w:kern w:val="0"/>
                <w:sz w:val="24"/>
                <w:szCs w:val="24"/>
                <w:highlight w:val="none"/>
                <w:lang w:bidi="ar"/>
              </w:rPr>
              <w:t>，结合《产业结构调整指导目录（2019 年本）》，本项目采用的工艺和使用的设备都不在限制类</w:t>
            </w:r>
            <w:r>
              <w:rPr>
                <w:rFonts w:hint="default" w:ascii="Times New Roman" w:hAnsi="Times New Roman" w:cs="Times New Roman"/>
                <w:kern w:val="0"/>
                <w:sz w:val="24"/>
                <w:szCs w:val="24"/>
                <w:highlight w:val="none"/>
                <w:lang w:eastAsia="zh-CN" w:bidi="ar"/>
              </w:rPr>
              <w:t>、鼓励类</w:t>
            </w:r>
            <w:r>
              <w:rPr>
                <w:rFonts w:hint="default" w:ascii="Times New Roman" w:hAnsi="Times New Roman" w:cs="Times New Roman"/>
                <w:kern w:val="0"/>
                <w:sz w:val="24"/>
                <w:szCs w:val="24"/>
                <w:highlight w:val="none"/>
                <w:lang w:bidi="ar"/>
              </w:rPr>
              <w:t>和淘汰类之列，属于允许类。因此，符合国家产业政策要求，目前已经取得了山东省建设项目备案（详见附件），备案代码为：2302-370321-89-01-574153。</w:t>
            </w:r>
          </w:p>
          <w:p>
            <w:pPr>
              <w:widowControl/>
              <w:spacing w:line="360" w:lineRule="auto"/>
              <w:ind w:firstLine="480" w:firstLineChars="200"/>
              <w:rPr>
                <w:rFonts w:hint="default" w:ascii="Times New Roman" w:hAnsi="Times New Roman" w:cs="Times New Roman"/>
                <w:kern w:val="0"/>
                <w:sz w:val="24"/>
                <w:szCs w:val="24"/>
                <w:highlight w:val="none"/>
                <w:lang w:bidi="ar"/>
              </w:rPr>
            </w:pPr>
            <w:r>
              <w:rPr>
                <w:rFonts w:hint="default" w:ascii="Times New Roman" w:hAnsi="Times New Roman" w:cs="Times New Roman"/>
                <w:kern w:val="0"/>
                <w:sz w:val="24"/>
                <w:szCs w:val="24"/>
                <w:highlight w:val="none"/>
                <w:lang w:eastAsia="zh-CN" w:bidi="ar"/>
              </w:rPr>
              <w:t>（</w:t>
            </w:r>
            <w:r>
              <w:rPr>
                <w:rFonts w:hint="default" w:ascii="Times New Roman" w:hAnsi="Times New Roman" w:cs="Times New Roman"/>
                <w:kern w:val="0"/>
                <w:sz w:val="24"/>
                <w:szCs w:val="24"/>
                <w:highlight w:val="none"/>
                <w:lang w:val="en-US" w:eastAsia="zh-CN" w:bidi="ar"/>
              </w:rPr>
              <w:t>2</w:t>
            </w:r>
            <w:r>
              <w:rPr>
                <w:rFonts w:hint="default" w:ascii="Times New Roman" w:hAnsi="Times New Roman" w:cs="Times New Roman"/>
                <w:kern w:val="0"/>
                <w:sz w:val="24"/>
                <w:szCs w:val="24"/>
                <w:highlight w:val="none"/>
                <w:lang w:eastAsia="zh-CN" w:bidi="ar"/>
              </w:rPr>
              <w:t>）</w:t>
            </w:r>
            <w:r>
              <w:rPr>
                <w:rFonts w:hint="default" w:ascii="Times New Roman" w:hAnsi="Times New Roman" w:cs="Times New Roman"/>
                <w:kern w:val="0"/>
                <w:sz w:val="24"/>
                <w:szCs w:val="24"/>
                <w:highlight w:val="none"/>
                <w:lang w:bidi="ar"/>
              </w:rPr>
              <w:t>经查询《限制用地项目目录（2012 年本）》和《禁止用地项目目录（2012 年本）》，项目不属于限制和禁止用地目录内的建设项目，项目建设符合用地要求。</w:t>
            </w:r>
          </w:p>
          <w:p>
            <w:pPr>
              <w:widowControl/>
              <w:spacing w:line="360" w:lineRule="auto"/>
              <w:ind w:firstLine="480" w:firstLineChars="200"/>
              <w:rPr>
                <w:rFonts w:hint="default" w:ascii="Times New Roman" w:hAnsi="Times New Roman" w:cs="Times New Roman"/>
                <w:kern w:val="0"/>
                <w:sz w:val="24"/>
                <w:szCs w:val="24"/>
                <w:highlight w:val="none"/>
                <w:lang w:bidi="ar"/>
              </w:rPr>
            </w:pPr>
            <w:r>
              <w:rPr>
                <w:rFonts w:hint="default" w:ascii="Times New Roman" w:hAnsi="Times New Roman" w:cs="Times New Roman"/>
                <w:kern w:val="0"/>
                <w:sz w:val="24"/>
                <w:szCs w:val="24"/>
                <w:highlight w:val="none"/>
                <w:lang w:eastAsia="zh-CN" w:bidi="ar"/>
              </w:rPr>
              <w:t>（</w:t>
            </w:r>
            <w:r>
              <w:rPr>
                <w:rFonts w:hint="default" w:ascii="Times New Roman" w:hAnsi="Times New Roman" w:cs="Times New Roman"/>
                <w:kern w:val="0"/>
                <w:sz w:val="24"/>
                <w:szCs w:val="24"/>
                <w:highlight w:val="none"/>
                <w:lang w:val="en-US" w:eastAsia="zh-CN" w:bidi="ar"/>
              </w:rPr>
              <w:t>3</w:t>
            </w:r>
            <w:r>
              <w:rPr>
                <w:rFonts w:hint="default" w:ascii="Times New Roman" w:hAnsi="Times New Roman" w:cs="Times New Roman"/>
                <w:kern w:val="0"/>
                <w:sz w:val="24"/>
                <w:szCs w:val="24"/>
                <w:highlight w:val="none"/>
                <w:lang w:eastAsia="zh-CN" w:bidi="ar"/>
              </w:rPr>
              <w:t>）</w:t>
            </w:r>
            <w:r>
              <w:rPr>
                <w:rFonts w:hint="default" w:ascii="Times New Roman" w:hAnsi="Times New Roman" w:cs="Times New Roman"/>
                <w:kern w:val="0"/>
                <w:sz w:val="24"/>
                <w:szCs w:val="24"/>
                <w:highlight w:val="none"/>
                <w:lang w:bidi="ar"/>
              </w:rPr>
              <w:t>项目所用设备、生产工艺不属于淄博市《全市重点淘汰的落后工艺技术、装备及产品目录》中落后的工艺技术、装备及产品项目，符合淄博市的产业政策。</w:t>
            </w:r>
          </w:p>
          <w:p>
            <w:pPr>
              <w:spacing w:line="360" w:lineRule="auto"/>
              <w:ind w:firstLine="482" w:firstLineChars="200"/>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rPr>
              <w:t>2</w:t>
            </w:r>
            <w:r>
              <w:rPr>
                <w:rFonts w:hint="default" w:ascii="Times New Roman" w:hAnsi="Times New Roman" w:cs="Times New Roman"/>
                <w:b/>
                <w:bCs/>
                <w:sz w:val="24"/>
                <w:szCs w:val="24"/>
                <w:highlight w:val="none"/>
                <w:lang w:val="en-US" w:eastAsia="zh-CN"/>
              </w:rPr>
              <w:t>、项目选址的合理性分析</w:t>
            </w:r>
          </w:p>
          <w:p>
            <w:pPr>
              <w:widowControl/>
              <w:spacing w:line="360" w:lineRule="auto"/>
              <w:ind w:firstLine="480" w:firstLineChars="200"/>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本项目位于</w:t>
            </w:r>
            <w:r>
              <w:rPr>
                <w:rFonts w:hint="default" w:ascii="Times New Roman" w:hAnsi="Times New Roman" w:eastAsia="宋体" w:cs="Times New Roman"/>
                <w:sz w:val="24"/>
                <w:szCs w:val="24"/>
                <w:highlight w:val="none"/>
                <w:lang w:val="en-US" w:eastAsia="zh-CN"/>
              </w:rPr>
              <w:t>山东省淄博市桓台县果里镇德阳学校东100米</w:t>
            </w:r>
            <w:r>
              <w:rPr>
                <w:rFonts w:hint="default" w:ascii="Times New Roman" w:hAnsi="Times New Roman" w:cs="Times New Roman"/>
                <w:b w:val="0"/>
                <w:bCs w:val="0"/>
                <w:sz w:val="24"/>
                <w:szCs w:val="24"/>
                <w:highlight w:val="none"/>
                <w:lang w:val="en-US" w:eastAsia="zh-CN"/>
              </w:rPr>
              <w:t>，</w:t>
            </w:r>
            <w:r>
              <w:rPr>
                <w:rFonts w:hint="default" w:ascii="Times New Roman" w:hAnsi="Times New Roman" w:cs="Times New Roman"/>
                <w:bCs/>
                <w:sz w:val="24"/>
                <w:szCs w:val="24"/>
                <w:highlight w:val="none"/>
              </w:rPr>
              <w:t>本项目</w:t>
            </w:r>
            <w:r>
              <w:rPr>
                <w:rFonts w:hint="default" w:ascii="Times New Roman" w:hAnsi="Times New Roman" w:cs="Times New Roman"/>
                <w:bCs/>
                <w:sz w:val="24"/>
                <w:szCs w:val="24"/>
                <w:highlight w:val="none"/>
                <w:lang w:val="en-US" w:eastAsia="zh-CN"/>
              </w:rPr>
              <w:t>租赁现有厂房，</w:t>
            </w:r>
            <w:r>
              <w:rPr>
                <w:rFonts w:hint="default" w:ascii="Times New Roman" w:hAnsi="Times New Roman" w:cs="Times New Roman"/>
                <w:bCs/>
                <w:color w:val="auto"/>
                <w:sz w:val="24"/>
                <w:szCs w:val="24"/>
                <w:highlight w:val="none"/>
              </w:rPr>
              <w:t>厂区</w:t>
            </w:r>
            <w:r>
              <w:rPr>
                <w:rFonts w:hint="default" w:ascii="Times New Roman" w:hAnsi="Times New Roman" w:cs="Times New Roman"/>
                <w:bCs/>
                <w:color w:val="auto"/>
                <w:sz w:val="24"/>
                <w:szCs w:val="24"/>
                <w:highlight w:val="none"/>
                <w:lang w:eastAsia="zh-CN"/>
              </w:rPr>
              <w:t>西侧为山东赛特新材料股份有限公司，</w:t>
            </w:r>
            <w:r>
              <w:rPr>
                <w:rFonts w:hint="eastAsia" w:cs="Times New Roman"/>
                <w:bCs/>
                <w:color w:val="auto"/>
                <w:sz w:val="24"/>
                <w:szCs w:val="24"/>
                <w:highlight w:val="none"/>
                <w:lang w:eastAsia="zh-CN"/>
              </w:rPr>
              <w:t>东侧与</w:t>
            </w:r>
            <w:r>
              <w:rPr>
                <w:rFonts w:hint="default" w:ascii="Times New Roman" w:hAnsi="Times New Roman" w:cs="Times New Roman"/>
                <w:bCs/>
                <w:color w:val="auto"/>
                <w:sz w:val="24"/>
                <w:szCs w:val="24"/>
                <w:highlight w:val="none"/>
                <w:lang w:eastAsia="zh-CN"/>
              </w:rPr>
              <w:t>南</w:t>
            </w:r>
            <w:r>
              <w:rPr>
                <w:rFonts w:hint="default" w:ascii="Times New Roman" w:hAnsi="Times New Roman" w:cs="Times New Roman"/>
                <w:bCs/>
                <w:color w:val="auto"/>
                <w:sz w:val="24"/>
                <w:szCs w:val="24"/>
                <w:highlight w:val="none"/>
              </w:rPr>
              <w:t>侧</w:t>
            </w:r>
            <w:r>
              <w:rPr>
                <w:rFonts w:hint="eastAsia" w:cs="Times New Roman"/>
                <w:bCs/>
                <w:color w:val="auto"/>
                <w:sz w:val="24"/>
                <w:szCs w:val="24"/>
                <w:highlight w:val="none"/>
                <w:lang w:eastAsia="zh-CN"/>
              </w:rPr>
              <w:t>均</w:t>
            </w:r>
            <w:r>
              <w:rPr>
                <w:rFonts w:hint="default" w:ascii="Times New Roman" w:hAnsi="Times New Roman" w:cs="Times New Roman"/>
                <w:bCs/>
                <w:color w:val="auto"/>
                <w:sz w:val="24"/>
                <w:szCs w:val="24"/>
                <w:highlight w:val="none"/>
                <w:lang w:eastAsia="zh-CN"/>
              </w:rPr>
              <w:t>为</w:t>
            </w:r>
            <w:r>
              <w:rPr>
                <w:rFonts w:hint="default" w:ascii="Times New Roman" w:hAnsi="Times New Roman" w:cs="Times New Roman"/>
                <w:bCs/>
                <w:color w:val="auto"/>
                <w:sz w:val="24"/>
                <w:szCs w:val="24"/>
                <w:highlight w:val="none"/>
                <w:lang w:val="en-US" w:eastAsia="zh-CN"/>
              </w:rPr>
              <w:t>淄博圣容纸制品有限公司</w:t>
            </w:r>
            <w:r>
              <w:rPr>
                <w:rFonts w:hint="eastAsia" w:cs="Times New Roman"/>
                <w:bCs/>
                <w:color w:val="auto"/>
                <w:sz w:val="24"/>
                <w:szCs w:val="24"/>
                <w:highlight w:val="none"/>
                <w:lang w:val="en-US" w:eastAsia="zh-CN"/>
              </w:rPr>
              <w:t>在建</w:t>
            </w:r>
            <w:r>
              <w:rPr>
                <w:rFonts w:hint="default" w:ascii="Times New Roman" w:hAnsi="Times New Roman" w:cs="Times New Roman"/>
                <w:bCs/>
                <w:color w:val="auto"/>
                <w:sz w:val="24"/>
                <w:szCs w:val="24"/>
                <w:highlight w:val="none"/>
                <w:lang w:val="en-US" w:eastAsia="zh-CN"/>
              </w:rPr>
              <w:t>厂房</w:t>
            </w:r>
            <w:r>
              <w:rPr>
                <w:rFonts w:hint="default" w:ascii="Times New Roman" w:hAnsi="Times New Roman" w:cs="Times New Roman"/>
                <w:bCs/>
                <w:color w:val="auto"/>
                <w:sz w:val="24"/>
                <w:szCs w:val="24"/>
                <w:highlight w:val="none"/>
                <w:lang w:eastAsia="zh-CN"/>
              </w:rPr>
              <w:t>，北侧</w:t>
            </w:r>
            <w:r>
              <w:rPr>
                <w:rFonts w:hint="default" w:ascii="Times New Roman" w:hAnsi="Times New Roman" w:cs="Times New Roman"/>
                <w:bCs/>
                <w:sz w:val="24"/>
                <w:szCs w:val="24"/>
                <w:highlight w:val="none"/>
                <w:lang w:eastAsia="zh-CN"/>
              </w:rPr>
              <w:t>为</w:t>
            </w:r>
            <w:r>
              <w:rPr>
                <w:rFonts w:hint="default" w:ascii="Times New Roman" w:hAnsi="Times New Roman" w:cs="Times New Roman"/>
                <w:bCs/>
                <w:sz w:val="24"/>
                <w:szCs w:val="24"/>
                <w:highlight w:val="none"/>
                <w:lang w:val="en-US" w:eastAsia="zh-CN"/>
              </w:rPr>
              <w:t>桓台润通金属材料有限公司</w:t>
            </w:r>
            <w:r>
              <w:rPr>
                <w:rFonts w:hint="default" w:ascii="Times New Roman" w:hAnsi="Times New Roman" w:cs="Times New Roman"/>
                <w:bCs/>
                <w:sz w:val="24"/>
                <w:szCs w:val="24"/>
                <w:highlight w:val="none"/>
              </w:rPr>
              <w:t>。</w:t>
            </w:r>
            <w:r>
              <w:rPr>
                <w:rFonts w:hint="default" w:ascii="Times New Roman" w:hAnsi="Times New Roman" w:cs="Times New Roman"/>
                <w:bCs/>
                <w:color w:val="auto"/>
                <w:sz w:val="24"/>
                <w:szCs w:val="24"/>
                <w:highlight w:val="none"/>
              </w:rPr>
              <w:t>距离本项目最近的敏感目标为厂区</w:t>
            </w:r>
            <w:r>
              <w:rPr>
                <w:rFonts w:hint="default" w:ascii="Times New Roman" w:hAnsi="Times New Roman" w:cs="Times New Roman"/>
                <w:bCs/>
                <w:color w:val="auto"/>
                <w:sz w:val="24"/>
                <w:szCs w:val="24"/>
                <w:highlight w:val="none"/>
                <w:lang w:val="en-US" w:eastAsia="zh-CN"/>
              </w:rPr>
              <w:t>东</w:t>
            </w:r>
            <w:r>
              <w:rPr>
                <w:rFonts w:hint="default" w:ascii="Times New Roman" w:hAnsi="Times New Roman" w:cs="Times New Roman"/>
                <w:bCs/>
                <w:color w:val="auto"/>
                <w:sz w:val="24"/>
                <w:szCs w:val="24"/>
                <w:highlight w:val="none"/>
              </w:rPr>
              <w:t>侧的</w:t>
            </w:r>
            <w:r>
              <w:rPr>
                <w:rFonts w:hint="eastAsia" w:cs="Times New Roman"/>
                <w:bCs/>
                <w:color w:val="auto"/>
                <w:sz w:val="24"/>
                <w:szCs w:val="24"/>
                <w:highlight w:val="none"/>
                <w:lang w:eastAsia="zh-CN"/>
              </w:rPr>
              <w:t>西龙</w:t>
            </w:r>
            <w:r>
              <w:rPr>
                <w:rFonts w:hint="default" w:ascii="Times New Roman" w:hAnsi="Times New Roman" w:cs="Times New Roman"/>
                <w:bCs/>
                <w:color w:val="auto"/>
                <w:sz w:val="24"/>
                <w:szCs w:val="24"/>
                <w:highlight w:val="none"/>
                <w:lang w:eastAsia="zh-CN"/>
              </w:rPr>
              <w:t>村</w:t>
            </w:r>
            <w:r>
              <w:rPr>
                <w:rFonts w:hint="default" w:ascii="Times New Roman" w:hAnsi="Times New Roman" w:cs="Times New Roman"/>
                <w:bCs/>
                <w:color w:val="auto"/>
                <w:sz w:val="24"/>
                <w:szCs w:val="24"/>
                <w:highlight w:val="none"/>
              </w:rPr>
              <w:t>，距离约</w:t>
            </w:r>
            <w:r>
              <w:rPr>
                <w:rFonts w:hint="eastAsia" w:cs="Times New Roman"/>
                <w:bCs/>
                <w:color w:val="auto"/>
                <w:sz w:val="24"/>
                <w:szCs w:val="24"/>
                <w:highlight w:val="none"/>
                <w:lang w:val="en-US" w:eastAsia="zh-CN"/>
              </w:rPr>
              <w:t>85</w:t>
            </w:r>
            <w:r>
              <w:rPr>
                <w:rFonts w:hint="default" w:ascii="Times New Roman" w:hAnsi="Times New Roman" w:cs="Times New Roman"/>
                <w:bCs/>
                <w:color w:val="auto"/>
                <w:sz w:val="24"/>
                <w:szCs w:val="24"/>
                <w:highlight w:val="none"/>
              </w:rPr>
              <w:t>m</w:t>
            </w:r>
            <w:r>
              <w:rPr>
                <w:rFonts w:hint="default" w:ascii="Times New Roman" w:hAnsi="Times New Roman" w:cs="Times New Roman"/>
                <w:b w:val="0"/>
                <w:bCs w:val="0"/>
                <w:color w:val="auto"/>
                <w:sz w:val="24"/>
                <w:szCs w:val="24"/>
                <w:highlight w:val="none"/>
                <w:lang w:val="en-US" w:eastAsia="zh-CN"/>
              </w:rPr>
              <w:t>。项目</w:t>
            </w:r>
            <w:r>
              <w:rPr>
                <w:rFonts w:hint="default" w:ascii="Times New Roman" w:hAnsi="Times New Roman" w:cs="Times New Roman"/>
                <w:b w:val="0"/>
                <w:bCs w:val="0"/>
                <w:sz w:val="24"/>
                <w:szCs w:val="24"/>
                <w:highlight w:val="none"/>
                <w:lang w:val="en-US" w:eastAsia="zh-CN"/>
              </w:rPr>
              <w:t>所在地位置优越，交通运输便利。</w:t>
            </w:r>
          </w:p>
          <w:p>
            <w:pPr>
              <w:spacing w:line="360" w:lineRule="auto"/>
              <w:ind w:firstLine="482" w:firstLineChars="200"/>
              <w:outlineLvl w:val="2"/>
              <w:rPr>
                <w:b/>
                <w:bCs/>
                <w:sz w:val="24"/>
                <w:highlight w:val="none"/>
              </w:rPr>
            </w:pPr>
            <w:r>
              <w:rPr>
                <w:b/>
                <w:bCs/>
                <w:sz w:val="24"/>
                <w:highlight w:val="none"/>
              </w:rPr>
              <w:t>3、“三线一单”符合性分析</w:t>
            </w:r>
          </w:p>
          <w:p>
            <w:pPr>
              <w:spacing w:line="360" w:lineRule="auto"/>
              <w:ind w:firstLine="480" w:firstLineChars="200"/>
              <w:rPr>
                <w:sz w:val="24"/>
                <w:highlight w:val="none"/>
              </w:rPr>
            </w:pPr>
            <w:r>
              <w:rPr>
                <w:sz w:val="24"/>
                <w:highlight w:val="none"/>
              </w:rPr>
              <w:t>根据《关于以改善环境质量为核心加强环境影响评价管理的通知》（环环评[2016]150号）要求，落实“三线一单”即落实“生态保护红线、环境质量底线、资源利用上线和环境准入负面清单”。</w:t>
            </w:r>
          </w:p>
          <w:p>
            <w:pPr>
              <w:spacing w:line="360" w:lineRule="auto"/>
              <w:ind w:firstLine="480" w:firstLineChars="200"/>
              <w:rPr>
                <w:sz w:val="24"/>
                <w:highlight w:val="none"/>
              </w:rPr>
            </w:pPr>
            <w:r>
              <w:rPr>
                <w:sz w:val="24"/>
                <w:highlight w:val="none"/>
              </w:rPr>
              <w:t>（1）与生态保护红线的符合性</w:t>
            </w:r>
          </w:p>
          <w:p>
            <w:pPr>
              <w:spacing w:line="360" w:lineRule="auto"/>
              <w:ind w:firstLine="480" w:firstLineChars="200"/>
              <w:rPr>
                <w:sz w:val="24"/>
                <w:highlight w:val="none"/>
                <w:lang w:val="zh-CN"/>
              </w:rPr>
            </w:pPr>
            <w:r>
              <w:rPr>
                <w:sz w:val="24"/>
                <w:highlight w:val="none"/>
                <w:lang w:val="zh-CN"/>
              </w:rPr>
              <w:t>根据《山东省生态保护红线规划》（2016-2020），经与国家、省、市各类规划充分衔接，淄博市共划定了29个生态保护红线区，总面积为1283.6km</w:t>
            </w:r>
            <w:r>
              <w:rPr>
                <w:sz w:val="24"/>
                <w:highlight w:val="none"/>
                <w:vertAlign w:val="superscript"/>
                <w:lang w:val="zh-CN"/>
              </w:rPr>
              <w:t>2</w:t>
            </w:r>
            <w:r>
              <w:rPr>
                <w:sz w:val="24"/>
                <w:highlight w:val="none"/>
                <w:lang w:val="zh-CN"/>
              </w:rPr>
              <w:t>，约占全市总面积的21.5%。其中桓台县共有</w:t>
            </w:r>
            <w:r>
              <w:rPr>
                <w:sz w:val="24"/>
                <w:highlight w:val="none"/>
              </w:rPr>
              <w:t>3</w:t>
            </w:r>
            <w:r>
              <w:rPr>
                <w:sz w:val="24"/>
                <w:highlight w:val="none"/>
                <w:lang w:val="zh-CN"/>
              </w:rPr>
              <w:t>处生态保护红线区：马踏湖土壤保持生态保护红线区、新城水库生物多样性维护生态保护红线区、桓台城区水源地水源涵养生态保护红线区</w:t>
            </w:r>
            <w:r>
              <w:rPr>
                <w:sz w:val="24"/>
                <w:highlight w:val="none"/>
              </w:rPr>
              <w:t>。</w:t>
            </w:r>
            <w:r>
              <w:rPr>
                <w:sz w:val="24"/>
                <w:highlight w:val="none"/>
                <w:lang w:val="zh-CN"/>
              </w:rPr>
              <w:t>生态保护红线区具体范围见下表。</w:t>
            </w:r>
          </w:p>
          <w:p>
            <w:pPr>
              <w:spacing w:line="360" w:lineRule="auto"/>
              <w:ind w:firstLine="422" w:firstLineChars="200"/>
              <w:jc w:val="center"/>
              <w:rPr>
                <w:b/>
                <w:bCs/>
                <w:highlight w:val="none"/>
                <w:lang w:val="zh-CN"/>
              </w:rPr>
            </w:pPr>
            <w:r>
              <w:rPr>
                <w:b/>
                <w:bCs/>
                <w:highlight w:val="none"/>
              </w:rPr>
              <w:t>表1-4 生态保护红线区具体范围一览表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5"/>
              <w:gridCol w:w="1012"/>
              <w:gridCol w:w="2867"/>
              <w:gridCol w:w="552"/>
              <w:gridCol w:w="1007"/>
              <w:gridCol w:w="568"/>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984" w:type="pct"/>
                  <w:vAlign w:val="center"/>
                </w:tcPr>
                <w:p>
                  <w:pPr>
                    <w:autoSpaceDE w:val="0"/>
                    <w:autoSpaceDN w:val="0"/>
                    <w:jc w:val="center"/>
                    <w:rPr>
                      <w:b/>
                      <w:bCs/>
                      <w:highlight w:val="none"/>
                      <w:lang w:val="zh-CN"/>
                    </w:rPr>
                  </w:pPr>
                  <w:r>
                    <w:rPr>
                      <w:b/>
                      <w:bCs/>
                      <w:highlight w:val="none"/>
                    </w:rPr>
                    <w:t>生态保护红线区名称</w:t>
                  </w:r>
                </w:p>
              </w:tc>
              <w:tc>
                <w:tcPr>
                  <w:tcW w:w="609" w:type="pct"/>
                  <w:vAlign w:val="center"/>
                </w:tcPr>
                <w:p>
                  <w:pPr>
                    <w:jc w:val="center"/>
                    <w:rPr>
                      <w:b/>
                      <w:bCs/>
                      <w:highlight w:val="none"/>
                      <w:lang w:val="zh-CN"/>
                    </w:rPr>
                  </w:pPr>
                  <w:r>
                    <w:rPr>
                      <w:b/>
                      <w:bCs/>
                      <w:highlight w:val="none"/>
                      <w:lang w:val="zh-CN"/>
                    </w:rPr>
                    <w:t>代码</w:t>
                  </w:r>
                </w:p>
              </w:tc>
              <w:tc>
                <w:tcPr>
                  <w:tcW w:w="1725" w:type="pct"/>
                  <w:vAlign w:val="center"/>
                </w:tcPr>
                <w:p>
                  <w:pPr>
                    <w:jc w:val="center"/>
                    <w:rPr>
                      <w:b/>
                      <w:bCs/>
                      <w:highlight w:val="none"/>
                      <w:lang w:val="zh-CN"/>
                    </w:rPr>
                  </w:pPr>
                  <w:r>
                    <w:rPr>
                      <w:b/>
                      <w:bCs/>
                      <w:highlight w:val="none"/>
                      <w:lang w:val="zh-CN"/>
                    </w:rPr>
                    <w:t>边界描述</w:t>
                  </w:r>
                </w:p>
              </w:tc>
              <w:tc>
                <w:tcPr>
                  <w:tcW w:w="332" w:type="pct"/>
                  <w:vAlign w:val="center"/>
                </w:tcPr>
                <w:p>
                  <w:pPr>
                    <w:jc w:val="center"/>
                    <w:rPr>
                      <w:b/>
                      <w:bCs/>
                      <w:highlight w:val="none"/>
                      <w:lang w:val="zh-CN"/>
                    </w:rPr>
                  </w:pPr>
                  <w:r>
                    <w:rPr>
                      <w:b/>
                      <w:bCs/>
                      <w:highlight w:val="none"/>
                      <w:lang w:val="zh-CN"/>
                    </w:rPr>
                    <w:t>面积</w:t>
                  </w:r>
                  <w:r>
                    <w:rPr>
                      <w:b/>
                      <w:bCs/>
                      <w:highlight w:val="none"/>
                    </w:rPr>
                    <w:t>km</w:t>
                  </w:r>
                  <w:r>
                    <w:rPr>
                      <w:b/>
                      <w:bCs/>
                      <w:highlight w:val="none"/>
                      <w:vertAlign w:val="superscript"/>
                    </w:rPr>
                    <w:t>2</w:t>
                  </w:r>
                </w:p>
              </w:tc>
              <w:tc>
                <w:tcPr>
                  <w:tcW w:w="606" w:type="pct"/>
                  <w:vAlign w:val="center"/>
                </w:tcPr>
                <w:p>
                  <w:pPr>
                    <w:jc w:val="center"/>
                    <w:rPr>
                      <w:b/>
                      <w:bCs/>
                      <w:highlight w:val="none"/>
                      <w:lang w:val="zh-CN"/>
                    </w:rPr>
                  </w:pPr>
                  <w:r>
                    <w:rPr>
                      <w:b/>
                      <w:bCs/>
                      <w:highlight w:val="none"/>
                      <w:lang w:val="zh-CN"/>
                    </w:rPr>
                    <w:t>生态功能</w:t>
                  </w:r>
                </w:p>
              </w:tc>
              <w:tc>
                <w:tcPr>
                  <w:tcW w:w="342" w:type="pct"/>
                  <w:vAlign w:val="center"/>
                </w:tcPr>
                <w:p>
                  <w:pPr>
                    <w:jc w:val="center"/>
                    <w:rPr>
                      <w:b/>
                      <w:bCs/>
                      <w:highlight w:val="none"/>
                      <w:lang w:val="zh-CN"/>
                    </w:rPr>
                  </w:pPr>
                  <w:r>
                    <w:rPr>
                      <w:b/>
                      <w:bCs/>
                      <w:highlight w:val="none"/>
                      <w:lang w:val="zh-CN"/>
                    </w:rPr>
                    <w:t>类型</w:t>
                  </w:r>
                </w:p>
              </w:tc>
              <w:tc>
                <w:tcPr>
                  <w:tcW w:w="400" w:type="pct"/>
                  <w:vAlign w:val="center"/>
                </w:tcPr>
                <w:p>
                  <w:pPr>
                    <w:jc w:val="center"/>
                    <w:rPr>
                      <w:b/>
                      <w:bCs/>
                      <w:highlight w:val="none"/>
                      <w:lang w:val="zh-CN"/>
                    </w:rPr>
                  </w:pPr>
                  <w:r>
                    <w:rPr>
                      <w:b/>
                      <w:bCs/>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atLeast"/>
                <w:jc w:val="center"/>
              </w:trPr>
              <w:tc>
                <w:tcPr>
                  <w:tcW w:w="984" w:type="pct"/>
                  <w:vAlign w:val="center"/>
                </w:tcPr>
                <w:p>
                  <w:pPr>
                    <w:autoSpaceDE w:val="0"/>
                    <w:autoSpaceDN w:val="0"/>
                    <w:jc w:val="center"/>
                    <w:rPr>
                      <w:highlight w:val="none"/>
                      <w:lang w:val="zh-CN"/>
                    </w:rPr>
                  </w:pPr>
                  <w:r>
                    <w:rPr>
                      <w:highlight w:val="none"/>
                    </w:rPr>
                    <w:t>马踏湖土壤保持生态保护红线区</w:t>
                  </w:r>
                </w:p>
              </w:tc>
              <w:tc>
                <w:tcPr>
                  <w:tcW w:w="609" w:type="pct"/>
                  <w:vAlign w:val="center"/>
                </w:tcPr>
                <w:p>
                  <w:pPr>
                    <w:jc w:val="center"/>
                    <w:rPr>
                      <w:highlight w:val="none"/>
                      <w:lang w:val="zh-CN"/>
                    </w:rPr>
                  </w:pPr>
                  <w:r>
                    <w:rPr>
                      <w:highlight w:val="none"/>
                    </w:rPr>
                    <w:t>SD-03-B2-01</w:t>
                  </w:r>
                </w:p>
              </w:tc>
              <w:tc>
                <w:tcPr>
                  <w:tcW w:w="1725" w:type="pct"/>
                  <w:vAlign w:val="center"/>
                </w:tcPr>
                <w:p>
                  <w:pPr>
                    <w:autoSpaceDE w:val="0"/>
                    <w:autoSpaceDN w:val="0"/>
                    <w:jc w:val="center"/>
                    <w:rPr>
                      <w:highlight w:val="none"/>
                      <w:lang w:val="zh-CN"/>
                    </w:rPr>
                  </w:pPr>
                  <w:r>
                    <w:rPr>
                      <w:highlight w:val="none"/>
                    </w:rPr>
                    <w:t>马踏湖湿地公园：南至荆夏路，北至预备河，西至东猪龙河，东至夏庄村中心路；乌河北段，南至张北路</w:t>
                  </w:r>
                </w:p>
              </w:tc>
              <w:tc>
                <w:tcPr>
                  <w:tcW w:w="332" w:type="pct"/>
                  <w:vAlign w:val="center"/>
                </w:tcPr>
                <w:p>
                  <w:pPr>
                    <w:jc w:val="center"/>
                    <w:rPr>
                      <w:highlight w:val="none"/>
                    </w:rPr>
                  </w:pPr>
                  <w:r>
                    <w:rPr>
                      <w:highlight w:val="none"/>
                    </w:rPr>
                    <w:t>10.21</w:t>
                  </w:r>
                </w:p>
              </w:tc>
              <w:tc>
                <w:tcPr>
                  <w:tcW w:w="606" w:type="pct"/>
                  <w:vAlign w:val="center"/>
                </w:tcPr>
                <w:p>
                  <w:pPr>
                    <w:widowControl/>
                    <w:jc w:val="center"/>
                    <w:rPr>
                      <w:highlight w:val="none"/>
                    </w:rPr>
                  </w:pPr>
                  <w:r>
                    <w:rPr>
                      <w:highlight w:val="none"/>
                    </w:rPr>
                    <w:t>土壤保持</w:t>
                  </w:r>
                </w:p>
              </w:tc>
              <w:tc>
                <w:tcPr>
                  <w:tcW w:w="342" w:type="pct"/>
                  <w:vAlign w:val="center"/>
                </w:tcPr>
                <w:p>
                  <w:pPr>
                    <w:widowControl/>
                    <w:jc w:val="center"/>
                    <w:rPr>
                      <w:highlight w:val="none"/>
                    </w:rPr>
                  </w:pPr>
                  <w:r>
                    <w:rPr>
                      <w:highlight w:val="none"/>
                    </w:rPr>
                    <w:t>湿地、湖泊</w:t>
                  </w:r>
                </w:p>
              </w:tc>
              <w:tc>
                <w:tcPr>
                  <w:tcW w:w="400" w:type="pct"/>
                  <w:vAlign w:val="center"/>
                </w:tcPr>
                <w:p>
                  <w:pPr>
                    <w:widowControl/>
                    <w:jc w:val="center"/>
                    <w:rPr>
                      <w:highlight w:val="none"/>
                    </w:rPr>
                  </w:pP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jc w:val="center"/>
              </w:trPr>
              <w:tc>
                <w:tcPr>
                  <w:tcW w:w="984" w:type="pct"/>
                  <w:vAlign w:val="center"/>
                </w:tcPr>
                <w:p>
                  <w:pPr>
                    <w:widowControl/>
                    <w:jc w:val="center"/>
                    <w:rPr>
                      <w:highlight w:val="none"/>
                    </w:rPr>
                  </w:pPr>
                  <w:r>
                    <w:rPr>
                      <w:highlight w:val="none"/>
                    </w:rPr>
                    <w:t>新城水库生物多样性维护生态保护红线区</w:t>
                  </w:r>
                </w:p>
              </w:tc>
              <w:tc>
                <w:tcPr>
                  <w:tcW w:w="609" w:type="pct"/>
                  <w:vAlign w:val="center"/>
                </w:tcPr>
                <w:p>
                  <w:pPr>
                    <w:widowControl/>
                    <w:jc w:val="center"/>
                    <w:rPr>
                      <w:highlight w:val="none"/>
                    </w:rPr>
                  </w:pPr>
                  <w:r>
                    <w:rPr>
                      <w:highlight w:val="none"/>
                    </w:rPr>
                    <w:t>SD-03-B4-02</w:t>
                  </w:r>
                </w:p>
              </w:tc>
              <w:tc>
                <w:tcPr>
                  <w:tcW w:w="1725" w:type="pct"/>
                  <w:vAlign w:val="center"/>
                </w:tcPr>
                <w:p>
                  <w:pPr>
                    <w:autoSpaceDE w:val="0"/>
                    <w:autoSpaceDN w:val="0"/>
                    <w:jc w:val="center"/>
                    <w:rPr>
                      <w:highlight w:val="none"/>
                      <w:lang w:val="zh-CN"/>
                    </w:rPr>
                  </w:pPr>
                  <w:r>
                    <w:rPr>
                      <w:highlight w:val="none"/>
                    </w:rPr>
                    <w:t>新城水库：水库内坝顶21.0米以下的区域，引黄输水明渠管理范围纵深15米内的区域。</w:t>
                  </w:r>
                </w:p>
              </w:tc>
              <w:tc>
                <w:tcPr>
                  <w:tcW w:w="332" w:type="pct"/>
                  <w:vAlign w:val="center"/>
                </w:tcPr>
                <w:p>
                  <w:pPr>
                    <w:jc w:val="center"/>
                    <w:rPr>
                      <w:highlight w:val="none"/>
                    </w:rPr>
                  </w:pPr>
                  <w:r>
                    <w:rPr>
                      <w:highlight w:val="none"/>
                    </w:rPr>
                    <w:t>2.58</w:t>
                  </w:r>
                </w:p>
              </w:tc>
              <w:tc>
                <w:tcPr>
                  <w:tcW w:w="606" w:type="pct"/>
                  <w:vAlign w:val="center"/>
                </w:tcPr>
                <w:p>
                  <w:pPr>
                    <w:widowControl/>
                    <w:jc w:val="center"/>
                    <w:rPr>
                      <w:highlight w:val="none"/>
                    </w:rPr>
                  </w:pPr>
                  <w:r>
                    <w:rPr>
                      <w:highlight w:val="none"/>
                    </w:rPr>
                    <w:t>生物多样性维护、水源涵养、土壤保持</w:t>
                  </w:r>
                </w:p>
              </w:tc>
              <w:tc>
                <w:tcPr>
                  <w:tcW w:w="342" w:type="pct"/>
                  <w:vAlign w:val="center"/>
                </w:tcPr>
                <w:p>
                  <w:pPr>
                    <w:widowControl/>
                    <w:jc w:val="center"/>
                    <w:rPr>
                      <w:highlight w:val="none"/>
                    </w:rPr>
                  </w:pPr>
                  <w:r>
                    <w:rPr>
                      <w:highlight w:val="none"/>
                    </w:rPr>
                    <w:t>水库、湿地</w:t>
                  </w:r>
                </w:p>
              </w:tc>
              <w:tc>
                <w:tcPr>
                  <w:tcW w:w="400" w:type="pct"/>
                  <w:vAlign w:val="center"/>
                </w:tcPr>
                <w:p>
                  <w:pPr>
                    <w:widowControl/>
                    <w:jc w:val="center"/>
                    <w:rPr>
                      <w:highlight w:val="none"/>
                    </w:rPr>
                  </w:pP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984" w:type="pct"/>
                  <w:vAlign w:val="center"/>
                </w:tcPr>
                <w:p>
                  <w:pPr>
                    <w:widowControl/>
                    <w:jc w:val="center"/>
                    <w:rPr>
                      <w:highlight w:val="none"/>
                    </w:rPr>
                  </w:pPr>
                  <w:r>
                    <w:rPr>
                      <w:highlight w:val="none"/>
                    </w:rPr>
                    <w:t>桓台城区水源地水源涵养生态保护红线区</w:t>
                  </w:r>
                </w:p>
              </w:tc>
              <w:tc>
                <w:tcPr>
                  <w:tcW w:w="609" w:type="pct"/>
                  <w:vAlign w:val="center"/>
                </w:tcPr>
                <w:p>
                  <w:pPr>
                    <w:widowControl/>
                    <w:jc w:val="center"/>
                    <w:rPr>
                      <w:highlight w:val="none"/>
                    </w:rPr>
                  </w:pPr>
                  <w:r>
                    <w:rPr>
                      <w:highlight w:val="none"/>
                    </w:rPr>
                    <w:t>SD-03-B1-02</w:t>
                  </w:r>
                </w:p>
              </w:tc>
              <w:tc>
                <w:tcPr>
                  <w:tcW w:w="1725" w:type="pct"/>
                  <w:vAlign w:val="center"/>
                </w:tcPr>
                <w:p>
                  <w:pPr>
                    <w:autoSpaceDE w:val="0"/>
                    <w:autoSpaceDN w:val="0"/>
                    <w:jc w:val="center"/>
                    <w:rPr>
                      <w:highlight w:val="none"/>
                    </w:rPr>
                  </w:pPr>
                  <w:r>
                    <w:rPr>
                      <w:highlight w:val="none"/>
                    </w:rPr>
                    <w:t>桓台城区水源地：以开采井为圆心，半径30米的圆形区域。</w:t>
                  </w:r>
                </w:p>
              </w:tc>
              <w:tc>
                <w:tcPr>
                  <w:tcW w:w="332" w:type="pct"/>
                  <w:vAlign w:val="center"/>
                </w:tcPr>
                <w:p>
                  <w:pPr>
                    <w:jc w:val="center"/>
                    <w:rPr>
                      <w:highlight w:val="none"/>
                    </w:rPr>
                  </w:pPr>
                  <w:r>
                    <w:rPr>
                      <w:highlight w:val="none"/>
                    </w:rPr>
                    <w:t>0.13</w:t>
                  </w:r>
                </w:p>
              </w:tc>
              <w:tc>
                <w:tcPr>
                  <w:tcW w:w="606" w:type="pct"/>
                  <w:vAlign w:val="center"/>
                </w:tcPr>
                <w:p>
                  <w:pPr>
                    <w:widowControl/>
                    <w:jc w:val="center"/>
                    <w:rPr>
                      <w:highlight w:val="none"/>
                    </w:rPr>
                  </w:pPr>
                  <w:r>
                    <w:rPr>
                      <w:highlight w:val="none"/>
                    </w:rPr>
                    <w:t>水源涵养</w:t>
                  </w:r>
                </w:p>
              </w:tc>
              <w:tc>
                <w:tcPr>
                  <w:tcW w:w="342" w:type="pct"/>
                  <w:vAlign w:val="center"/>
                </w:tcPr>
                <w:p>
                  <w:pPr>
                    <w:widowControl/>
                    <w:jc w:val="center"/>
                    <w:rPr>
                      <w:highlight w:val="none"/>
                    </w:rPr>
                  </w:pPr>
                  <w:r>
                    <w:rPr>
                      <w:highlight w:val="none"/>
                    </w:rPr>
                    <w:t>城镇</w:t>
                  </w:r>
                </w:p>
              </w:tc>
              <w:tc>
                <w:tcPr>
                  <w:tcW w:w="400" w:type="pct"/>
                  <w:vAlign w:val="center"/>
                </w:tcPr>
                <w:p>
                  <w:pPr>
                    <w:widowControl/>
                    <w:jc w:val="center"/>
                    <w:rPr>
                      <w:highlight w:val="none"/>
                    </w:rPr>
                  </w:pPr>
                  <w:r>
                    <w:rPr>
                      <w:highlight w:val="none"/>
                    </w:rPr>
                    <w:t>/</w:t>
                  </w:r>
                </w:p>
              </w:tc>
            </w:tr>
          </w:tbl>
          <w:p>
            <w:pPr>
              <w:spacing w:line="360" w:lineRule="auto"/>
              <w:ind w:firstLine="480" w:firstLineChars="200"/>
              <w:rPr>
                <w:sz w:val="24"/>
                <w:highlight w:val="none"/>
              </w:rPr>
            </w:pPr>
            <w:r>
              <w:rPr>
                <w:sz w:val="24"/>
                <w:highlight w:val="none"/>
              </w:rPr>
              <w:t>本项目位于</w:t>
            </w:r>
            <w:r>
              <w:rPr>
                <w:rFonts w:hint="eastAsia"/>
                <w:sz w:val="24"/>
                <w:highlight w:val="none"/>
                <w:lang w:eastAsia="zh-CN"/>
              </w:rPr>
              <w:t>山东省淄博市</w:t>
            </w:r>
            <w:r>
              <w:rPr>
                <w:rFonts w:hint="eastAsia"/>
                <w:sz w:val="24"/>
                <w:highlight w:val="none"/>
              </w:rPr>
              <w:t>桓台县果里镇德阳学校东100米</w:t>
            </w:r>
            <w:r>
              <w:rPr>
                <w:sz w:val="24"/>
                <w:highlight w:val="none"/>
              </w:rPr>
              <w:t>，距离本项目最近的生态保护红线区为西北侧1.5km的桓台城区水源地水源涵养生态保护红线区。不位于红线保护区内（详见附图6）。</w:t>
            </w:r>
          </w:p>
          <w:p>
            <w:pPr>
              <w:numPr>
                <w:ilvl w:val="0"/>
                <w:numId w:val="2"/>
              </w:numPr>
              <w:spacing w:line="360" w:lineRule="auto"/>
              <w:ind w:firstLine="480" w:firstLineChars="200"/>
              <w:rPr>
                <w:sz w:val="24"/>
                <w:highlight w:val="none"/>
              </w:rPr>
            </w:pPr>
            <w:r>
              <w:rPr>
                <w:sz w:val="24"/>
                <w:highlight w:val="none"/>
              </w:rPr>
              <w:t>环境质量底线符合性判定</w:t>
            </w:r>
          </w:p>
          <w:p>
            <w:pPr>
              <w:jc w:val="center"/>
              <w:rPr>
                <w:b/>
                <w:bCs/>
                <w:szCs w:val="21"/>
                <w:highlight w:val="none"/>
              </w:rPr>
            </w:pPr>
            <w:r>
              <w:rPr>
                <w:b/>
                <w:bCs/>
                <w:szCs w:val="21"/>
                <w:highlight w:val="none"/>
              </w:rPr>
              <w:t>表1-5 项目所在区域环境质量底线一览表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1"/>
              <w:gridCol w:w="129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302" w:type="pct"/>
                  <w:vAlign w:val="center"/>
                </w:tcPr>
                <w:p>
                  <w:pPr>
                    <w:jc w:val="center"/>
                    <w:rPr>
                      <w:b/>
                      <w:bCs/>
                      <w:sz w:val="21"/>
                      <w:szCs w:val="21"/>
                      <w:highlight w:val="none"/>
                      <w:lang w:val="zh-CN"/>
                    </w:rPr>
                  </w:pPr>
                  <w:r>
                    <w:rPr>
                      <w:b/>
                      <w:bCs/>
                      <w:sz w:val="21"/>
                      <w:szCs w:val="21"/>
                      <w:highlight w:val="none"/>
                      <w:lang w:val="zh-CN"/>
                    </w:rPr>
                    <w:t>序号</w:t>
                  </w:r>
                </w:p>
              </w:tc>
              <w:tc>
                <w:tcPr>
                  <w:tcW w:w="776" w:type="pct"/>
                  <w:vAlign w:val="center"/>
                </w:tcPr>
                <w:p>
                  <w:pPr>
                    <w:jc w:val="center"/>
                    <w:rPr>
                      <w:b/>
                      <w:bCs/>
                      <w:sz w:val="21"/>
                      <w:szCs w:val="21"/>
                      <w:highlight w:val="none"/>
                      <w:lang w:val="zh-CN"/>
                    </w:rPr>
                  </w:pPr>
                  <w:r>
                    <w:rPr>
                      <w:b/>
                      <w:bCs/>
                      <w:sz w:val="21"/>
                      <w:szCs w:val="21"/>
                      <w:highlight w:val="none"/>
                      <w:lang w:val="zh-CN"/>
                    </w:rPr>
                    <w:t>项目</w:t>
                  </w:r>
                </w:p>
              </w:tc>
              <w:tc>
                <w:tcPr>
                  <w:tcW w:w="3921" w:type="pct"/>
                  <w:vAlign w:val="center"/>
                </w:tcPr>
                <w:p>
                  <w:pPr>
                    <w:jc w:val="center"/>
                    <w:rPr>
                      <w:b/>
                      <w:bCs/>
                      <w:sz w:val="21"/>
                      <w:szCs w:val="21"/>
                      <w:highlight w:val="none"/>
                      <w:lang w:val="zh-CN"/>
                    </w:rPr>
                  </w:pPr>
                  <w:r>
                    <w:rPr>
                      <w:b/>
                      <w:bCs/>
                      <w:sz w:val="21"/>
                      <w:szCs w:val="21"/>
                      <w:highlight w:val="none"/>
                      <w:lang w:val="zh-CN"/>
                    </w:rPr>
                    <w:t>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9" w:hRule="atLeast"/>
                <w:jc w:val="center"/>
              </w:trPr>
              <w:tc>
                <w:tcPr>
                  <w:tcW w:w="302" w:type="pct"/>
                  <w:vAlign w:val="center"/>
                </w:tcPr>
                <w:p>
                  <w:pPr>
                    <w:autoSpaceDE w:val="0"/>
                    <w:autoSpaceDN w:val="0"/>
                    <w:adjustRightInd w:val="0"/>
                    <w:jc w:val="center"/>
                    <w:rPr>
                      <w:sz w:val="21"/>
                      <w:szCs w:val="21"/>
                      <w:highlight w:val="none"/>
                      <w:lang w:val="zh-CN"/>
                    </w:rPr>
                  </w:pPr>
                  <w:r>
                    <w:rPr>
                      <w:sz w:val="21"/>
                      <w:szCs w:val="21"/>
                      <w:highlight w:val="none"/>
                      <w:lang w:val="zh-CN"/>
                    </w:rPr>
                    <w:t>1</w:t>
                  </w:r>
                </w:p>
              </w:tc>
              <w:tc>
                <w:tcPr>
                  <w:tcW w:w="776" w:type="pct"/>
                  <w:vAlign w:val="center"/>
                </w:tcPr>
                <w:p>
                  <w:pPr>
                    <w:autoSpaceDE w:val="0"/>
                    <w:autoSpaceDN w:val="0"/>
                    <w:adjustRightInd w:val="0"/>
                    <w:jc w:val="center"/>
                    <w:rPr>
                      <w:sz w:val="21"/>
                      <w:szCs w:val="21"/>
                      <w:highlight w:val="none"/>
                      <w:lang w:val="zh-CN"/>
                    </w:rPr>
                  </w:pPr>
                  <w:r>
                    <w:rPr>
                      <w:sz w:val="21"/>
                      <w:szCs w:val="21"/>
                      <w:highlight w:val="none"/>
                      <w:lang w:val="zh-CN"/>
                    </w:rPr>
                    <w:t>大气环境质量目标</w:t>
                  </w:r>
                </w:p>
              </w:tc>
              <w:tc>
                <w:tcPr>
                  <w:tcW w:w="3921" w:type="pct"/>
                  <w:vAlign w:val="center"/>
                </w:tcPr>
                <w:p>
                  <w:pPr>
                    <w:autoSpaceDE w:val="0"/>
                    <w:autoSpaceDN w:val="0"/>
                    <w:adjustRightInd w:val="0"/>
                    <w:rPr>
                      <w:sz w:val="21"/>
                      <w:szCs w:val="21"/>
                      <w:highlight w:val="none"/>
                    </w:rPr>
                  </w:pPr>
                  <w:r>
                    <w:rPr>
                      <w:sz w:val="21"/>
                      <w:szCs w:val="21"/>
                      <w:highlight w:val="none"/>
                    </w:rPr>
                    <w:t>根据淄博市生态环境局202</w:t>
                  </w:r>
                  <w:r>
                    <w:rPr>
                      <w:rFonts w:hint="eastAsia"/>
                      <w:sz w:val="21"/>
                      <w:szCs w:val="21"/>
                      <w:highlight w:val="none"/>
                    </w:rPr>
                    <w:t>3</w:t>
                  </w:r>
                  <w:r>
                    <w:rPr>
                      <w:sz w:val="21"/>
                      <w:szCs w:val="21"/>
                      <w:highlight w:val="none"/>
                    </w:rPr>
                    <w:t>年1月</w:t>
                  </w:r>
                  <w:r>
                    <w:rPr>
                      <w:rFonts w:hint="eastAsia"/>
                      <w:sz w:val="21"/>
                      <w:szCs w:val="21"/>
                      <w:highlight w:val="none"/>
                    </w:rPr>
                    <w:t>17</w:t>
                  </w:r>
                  <w:r>
                    <w:rPr>
                      <w:sz w:val="21"/>
                      <w:szCs w:val="21"/>
                      <w:highlight w:val="none"/>
                    </w:rPr>
                    <w:t>日公布的《生态淄博建设工作简报》（202</w:t>
                  </w:r>
                  <w:r>
                    <w:rPr>
                      <w:rFonts w:hint="eastAsia"/>
                      <w:sz w:val="21"/>
                      <w:szCs w:val="21"/>
                      <w:highlight w:val="none"/>
                    </w:rPr>
                    <w:t>3</w:t>
                  </w:r>
                  <w:r>
                    <w:rPr>
                      <w:sz w:val="21"/>
                      <w:szCs w:val="21"/>
                      <w:highlight w:val="none"/>
                    </w:rPr>
                    <w:t>年第1期），环境空气中SO</w:t>
                  </w:r>
                  <w:r>
                    <w:rPr>
                      <w:sz w:val="21"/>
                      <w:szCs w:val="21"/>
                      <w:highlight w:val="none"/>
                      <w:vertAlign w:val="subscript"/>
                    </w:rPr>
                    <w:t>2</w:t>
                  </w:r>
                  <w:r>
                    <w:rPr>
                      <w:sz w:val="21"/>
                      <w:szCs w:val="21"/>
                      <w:highlight w:val="none"/>
                    </w:rPr>
                    <w:t>、NO</w:t>
                  </w:r>
                  <w:r>
                    <w:rPr>
                      <w:sz w:val="21"/>
                      <w:szCs w:val="21"/>
                      <w:highlight w:val="none"/>
                      <w:vertAlign w:val="subscript"/>
                    </w:rPr>
                    <w:t>2</w:t>
                  </w:r>
                  <w:r>
                    <w:rPr>
                      <w:sz w:val="21"/>
                      <w:szCs w:val="21"/>
                      <w:highlight w:val="none"/>
                    </w:rPr>
                    <w:t>、CO年均浓度满足《环境空气质量标准》(GB3095-2012)二级标准要求，PM</w:t>
                  </w:r>
                  <w:r>
                    <w:rPr>
                      <w:sz w:val="21"/>
                      <w:szCs w:val="21"/>
                      <w:highlight w:val="none"/>
                      <w:vertAlign w:val="subscript"/>
                    </w:rPr>
                    <w:t>10</w:t>
                  </w:r>
                  <w:r>
                    <w:rPr>
                      <w:sz w:val="21"/>
                      <w:szCs w:val="21"/>
                      <w:highlight w:val="none"/>
                    </w:rPr>
                    <w:t>、PM</w:t>
                  </w:r>
                  <w:r>
                    <w:rPr>
                      <w:sz w:val="21"/>
                      <w:szCs w:val="21"/>
                      <w:highlight w:val="none"/>
                      <w:vertAlign w:val="subscript"/>
                    </w:rPr>
                    <w:t>2.5</w:t>
                  </w:r>
                  <w:r>
                    <w:rPr>
                      <w:sz w:val="21"/>
                      <w:szCs w:val="21"/>
                      <w:highlight w:val="none"/>
                    </w:rPr>
                    <w:t>、O</w:t>
                  </w:r>
                  <w:r>
                    <w:rPr>
                      <w:sz w:val="21"/>
                      <w:szCs w:val="21"/>
                      <w:highlight w:val="none"/>
                      <w:vertAlign w:val="subscript"/>
                    </w:rPr>
                    <w:t>3</w:t>
                  </w:r>
                  <w:r>
                    <w:rPr>
                      <w:sz w:val="21"/>
                      <w:szCs w:val="21"/>
                      <w:highlight w:val="none"/>
                    </w:rPr>
                    <w:t>年均浓度不能满足《环境空气质量标准》(GB3095-2012)二级标准要求，本项目废气可达标排放，对大气环境的影响较小。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302" w:type="pct"/>
                  <w:vAlign w:val="center"/>
                </w:tcPr>
                <w:p>
                  <w:pPr>
                    <w:autoSpaceDE w:val="0"/>
                    <w:autoSpaceDN w:val="0"/>
                    <w:adjustRightInd w:val="0"/>
                    <w:jc w:val="center"/>
                    <w:rPr>
                      <w:sz w:val="21"/>
                      <w:szCs w:val="21"/>
                      <w:highlight w:val="none"/>
                      <w:lang w:val="zh-CN"/>
                    </w:rPr>
                  </w:pPr>
                  <w:r>
                    <w:rPr>
                      <w:sz w:val="21"/>
                      <w:szCs w:val="21"/>
                      <w:highlight w:val="none"/>
                      <w:lang w:val="zh-CN"/>
                    </w:rPr>
                    <w:t>2</w:t>
                  </w:r>
                </w:p>
              </w:tc>
              <w:tc>
                <w:tcPr>
                  <w:tcW w:w="776" w:type="pct"/>
                  <w:vAlign w:val="center"/>
                </w:tcPr>
                <w:p>
                  <w:pPr>
                    <w:autoSpaceDE w:val="0"/>
                    <w:autoSpaceDN w:val="0"/>
                    <w:adjustRightInd w:val="0"/>
                    <w:jc w:val="center"/>
                    <w:rPr>
                      <w:sz w:val="21"/>
                      <w:szCs w:val="21"/>
                      <w:highlight w:val="none"/>
                      <w:lang w:val="zh-CN"/>
                    </w:rPr>
                  </w:pPr>
                  <w:r>
                    <w:rPr>
                      <w:sz w:val="21"/>
                      <w:szCs w:val="21"/>
                      <w:highlight w:val="none"/>
                      <w:lang w:val="zh-CN"/>
                    </w:rPr>
                    <w:t>地表水环境质量目标</w:t>
                  </w:r>
                </w:p>
              </w:tc>
              <w:tc>
                <w:tcPr>
                  <w:tcW w:w="3921" w:type="pct"/>
                  <w:vAlign w:val="center"/>
                </w:tcPr>
                <w:p>
                  <w:pPr>
                    <w:autoSpaceDE w:val="0"/>
                    <w:autoSpaceDN w:val="0"/>
                    <w:adjustRightInd w:val="0"/>
                    <w:jc w:val="left"/>
                    <w:rPr>
                      <w:sz w:val="21"/>
                      <w:szCs w:val="21"/>
                      <w:highlight w:val="none"/>
                    </w:rPr>
                  </w:pPr>
                  <w:r>
                    <w:rPr>
                      <w:rFonts w:hint="eastAsia"/>
                      <w:sz w:val="21"/>
                      <w:szCs w:val="21"/>
                      <w:highlight w:val="none"/>
                    </w:rPr>
                    <w:t>该区域主要地表水体为涝淄河，属乌河支流，根据淄博市环保局网站发布的《2021年12月份及全年环境质量情况通报》（淄简33号，2022年1月24日），桓台县乌河入预备河处断面主要监测指标COD（28.1mg/L）、氨氮（0.89mg/L），可满足《地表水环境质量标准》（GB3838-2002）Ⅴ类标准的要求。</w:t>
                  </w:r>
                  <w:r>
                    <w:rPr>
                      <w:sz w:val="21"/>
                      <w:szCs w:val="21"/>
                      <w:highlight w:val="none"/>
                    </w:rPr>
                    <w:t>本项目生活污</w:t>
                  </w:r>
                  <w:r>
                    <w:rPr>
                      <w:rFonts w:hint="eastAsia"/>
                      <w:sz w:val="21"/>
                      <w:szCs w:val="21"/>
                      <w:highlight w:val="none"/>
                      <w:lang w:eastAsia="zh-CN"/>
                    </w:rPr>
                    <w:t>水</w:t>
                  </w:r>
                  <w:r>
                    <w:rPr>
                      <w:sz w:val="21"/>
                      <w:szCs w:val="21"/>
                      <w:highlight w:val="none"/>
                    </w:rPr>
                    <w:t>经化粪池的处理后由环卫部门定期清运，对周围水环境影响较小。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302" w:type="pct"/>
                  <w:vAlign w:val="center"/>
                </w:tcPr>
                <w:p>
                  <w:pPr>
                    <w:autoSpaceDE w:val="0"/>
                    <w:autoSpaceDN w:val="0"/>
                    <w:adjustRightInd w:val="0"/>
                    <w:jc w:val="center"/>
                    <w:rPr>
                      <w:sz w:val="21"/>
                      <w:szCs w:val="21"/>
                      <w:highlight w:val="none"/>
                      <w:lang w:val="zh-CN"/>
                    </w:rPr>
                  </w:pPr>
                  <w:r>
                    <w:rPr>
                      <w:sz w:val="21"/>
                      <w:szCs w:val="21"/>
                      <w:highlight w:val="none"/>
                      <w:lang w:val="zh-CN"/>
                    </w:rPr>
                    <w:t>3</w:t>
                  </w:r>
                </w:p>
              </w:tc>
              <w:tc>
                <w:tcPr>
                  <w:tcW w:w="776" w:type="pct"/>
                  <w:vAlign w:val="center"/>
                </w:tcPr>
                <w:p>
                  <w:pPr>
                    <w:autoSpaceDE w:val="0"/>
                    <w:autoSpaceDN w:val="0"/>
                    <w:adjustRightInd w:val="0"/>
                    <w:jc w:val="center"/>
                    <w:rPr>
                      <w:sz w:val="21"/>
                      <w:szCs w:val="21"/>
                      <w:highlight w:val="none"/>
                      <w:lang w:val="zh-CN"/>
                    </w:rPr>
                  </w:pPr>
                  <w:r>
                    <w:rPr>
                      <w:sz w:val="21"/>
                      <w:szCs w:val="21"/>
                      <w:highlight w:val="none"/>
                      <w:lang w:val="zh-CN"/>
                    </w:rPr>
                    <w:t>声环境质量目标</w:t>
                  </w:r>
                </w:p>
              </w:tc>
              <w:tc>
                <w:tcPr>
                  <w:tcW w:w="3921" w:type="pct"/>
                  <w:vAlign w:val="center"/>
                </w:tcPr>
                <w:p>
                  <w:pPr>
                    <w:autoSpaceDE w:val="0"/>
                    <w:autoSpaceDN w:val="0"/>
                    <w:adjustRightInd w:val="0"/>
                    <w:rPr>
                      <w:sz w:val="21"/>
                      <w:szCs w:val="21"/>
                      <w:highlight w:val="none"/>
                    </w:rPr>
                  </w:pPr>
                  <w:r>
                    <w:rPr>
                      <w:sz w:val="21"/>
                      <w:szCs w:val="21"/>
                      <w:highlight w:val="none"/>
                    </w:rPr>
                    <w:t>区域内的声环境质量良好，能够满足《声环境质量标准》（GB3096-2008）中2类区环境噪声限值要求。</w:t>
                  </w:r>
                </w:p>
              </w:tc>
            </w:tr>
          </w:tbl>
          <w:p>
            <w:pPr>
              <w:autoSpaceDE w:val="0"/>
              <w:autoSpaceDN w:val="0"/>
              <w:adjustRightInd w:val="0"/>
              <w:spacing w:line="360" w:lineRule="auto"/>
              <w:ind w:firstLine="480" w:firstLineChars="200"/>
              <w:jc w:val="left"/>
              <w:rPr>
                <w:sz w:val="24"/>
                <w:szCs w:val="24"/>
                <w:highlight w:val="none"/>
              </w:rPr>
            </w:pPr>
            <w:r>
              <w:rPr>
                <w:sz w:val="24"/>
                <w:szCs w:val="24"/>
                <w:highlight w:val="none"/>
              </w:rPr>
              <w:t>综上所述，拟建项目采取合理严格的治理措施后，所排放的污染物均能实现达标排放，大气、水、噪声、土壤环境质量的改善目标造成影响，符合环境质量底线的要求。</w:t>
            </w:r>
          </w:p>
          <w:p>
            <w:pPr>
              <w:autoSpaceDE w:val="0"/>
              <w:autoSpaceDN w:val="0"/>
              <w:adjustRightInd w:val="0"/>
              <w:spacing w:line="360" w:lineRule="auto"/>
              <w:ind w:firstLine="480" w:firstLineChars="200"/>
              <w:jc w:val="left"/>
              <w:rPr>
                <w:sz w:val="24"/>
                <w:szCs w:val="24"/>
                <w:highlight w:val="none"/>
              </w:rPr>
            </w:pPr>
            <w:r>
              <w:rPr>
                <w:sz w:val="24"/>
                <w:szCs w:val="24"/>
                <w:highlight w:val="none"/>
              </w:rPr>
              <w:t>（3）与资源利用上限的符合性</w:t>
            </w:r>
          </w:p>
          <w:p>
            <w:pPr>
              <w:autoSpaceDE w:val="0"/>
              <w:autoSpaceDN w:val="0"/>
              <w:adjustRightInd w:val="0"/>
              <w:spacing w:line="360" w:lineRule="auto"/>
              <w:ind w:firstLine="480" w:firstLineChars="200"/>
              <w:jc w:val="left"/>
              <w:rPr>
                <w:sz w:val="24"/>
                <w:szCs w:val="24"/>
                <w:highlight w:val="none"/>
              </w:rPr>
            </w:pPr>
            <w:r>
              <w:rPr>
                <w:sz w:val="24"/>
                <w:szCs w:val="24"/>
                <w:highlight w:val="none"/>
              </w:rPr>
              <w:t>本项目周围配套设施较为完善，用水、用电等公共设施方便；本项目在运营期间，会消耗一定的电能、水资源等。项目资源消耗量相对区域资源利用总量较少，符合资源利用上线。</w:t>
            </w:r>
          </w:p>
          <w:p>
            <w:pPr>
              <w:autoSpaceDE w:val="0"/>
              <w:autoSpaceDN w:val="0"/>
              <w:adjustRightInd w:val="0"/>
              <w:spacing w:line="360" w:lineRule="auto"/>
              <w:ind w:firstLine="480" w:firstLineChars="200"/>
              <w:jc w:val="left"/>
              <w:rPr>
                <w:sz w:val="24"/>
                <w:szCs w:val="24"/>
                <w:highlight w:val="none"/>
              </w:rPr>
            </w:pPr>
            <w:r>
              <w:rPr>
                <w:sz w:val="24"/>
                <w:szCs w:val="24"/>
                <w:highlight w:val="none"/>
              </w:rPr>
              <w:t>（4）生态环境分区管控方案</w:t>
            </w:r>
          </w:p>
          <w:p>
            <w:pPr>
              <w:autoSpaceDE w:val="0"/>
              <w:autoSpaceDN w:val="0"/>
              <w:adjustRightInd w:val="0"/>
              <w:spacing w:line="360" w:lineRule="auto"/>
              <w:ind w:firstLine="480" w:firstLineChars="200"/>
              <w:rPr>
                <w:sz w:val="24"/>
                <w:szCs w:val="24"/>
                <w:highlight w:val="none"/>
              </w:rPr>
            </w:pPr>
            <w:r>
              <w:rPr>
                <w:sz w:val="24"/>
                <w:szCs w:val="24"/>
                <w:highlight w:val="none"/>
              </w:rPr>
              <w:t>根据《淄博市人民政府关于印发淄博市“三线一单”生态环境分区管控方案的通知》（淄政字〔2021〕49号）及淄博市生态环境委员会办公室关于印发《淄博市“三线一单”生态环境准入清单》的知（淄环委办〔2021〕24号）内划定的生态环境分区范围可知，本项目拟建项目选址位于</w:t>
            </w:r>
            <w:r>
              <w:rPr>
                <w:rFonts w:hint="eastAsia"/>
                <w:sz w:val="24"/>
                <w:szCs w:val="24"/>
                <w:lang w:eastAsia="zh-CN"/>
              </w:rPr>
              <w:t>桓台经济开发区</w:t>
            </w:r>
            <w:r>
              <w:rPr>
                <w:sz w:val="24"/>
                <w:szCs w:val="24"/>
                <w:highlight w:val="none"/>
              </w:rPr>
              <w:t>，管控单元编码为</w:t>
            </w:r>
            <w:r>
              <w:rPr>
                <w:rFonts w:hint="eastAsia"/>
                <w:sz w:val="24"/>
                <w:szCs w:val="24"/>
                <w:highlight w:val="none"/>
              </w:rPr>
              <w:t>ZH37032120004</w:t>
            </w:r>
            <w:r>
              <w:rPr>
                <w:sz w:val="24"/>
                <w:szCs w:val="24"/>
                <w:highlight w:val="none"/>
              </w:rPr>
              <w:t>，属于重点管控单元。与分区管控要求符合性分析如下表所示。</w:t>
            </w:r>
          </w:p>
          <w:p>
            <w:pPr>
              <w:autoSpaceDE w:val="0"/>
              <w:autoSpaceDN w:val="0"/>
              <w:adjustRightInd w:val="0"/>
              <w:ind w:firstLine="422"/>
              <w:jc w:val="center"/>
              <w:rPr>
                <w:b/>
                <w:bCs/>
                <w:highlight w:val="none"/>
              </w:rPr>
            </w:pPr>
            <w:r>
              <w:rPr>
                <w:b/>
                <w:bCs/>
                <w:highlight w:val="none"/>
              </w:rPr>
              <w:t xml:space="preserve">表1-6 </w:t>
            </w:r>
            <w:r>
              <w:rPr>
                <w:rFonts w:hint="eastAsia"/>
                <w:b/>
                <w:bCs/>
                <w:highlight w:val="none"/>
                <w:lang w:val="en-US" w:eastAsia="zh-CN"/>
              </w:rPr>
              <w:t xml:space="preserve"> </w:t>
            </w:r>
            <w:r>
              <w:rPr>
                <w:b/>
                <w:bCs/>
                <w:highlight w:val="none"/>
              </w:rPr>
              <w:t>与淄环委办〔2021〕24号符合性分析</w:t>
            </w:r>
          </w:p>
          <w:tbl>
            <w:tblPr>
              <w:tblStyle w:val="23"/>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15"/>
              <w:gridCol w:w="241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3003"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文件要求</w:t>
                  </w:r>
                </w:p>
              </w:tc>
              <w:tc>
                <w:tcPr>
                  <w:tcW w:w="1475"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工程情况</w:t>
                  </w:r>
                </w:p>
              </w:tc>
              <w:tc>
                <w:tcPr>
                  <w:tcW w:w="520"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03" w:type="pct"/>
                  <w:vAlign w:val="center"/>
                </w:tcPr>
                <w:p>
                  <w:pPr>
                    <w:autoSpaceDE w:val="0"/>
                    <w:autoSpaceDN w:val="0"/>
                    <w:adjustRightInd w:val="0"/>
                    <w:jc w:val="left"/>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空间布局约束</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禁止新建、扩建《产业结构调整指导目录》（现行）明确的淘汰类项目和引入《市场准入负面清单》（现行）禁止准入类事项；鼓励对列入《产业结构调整指导目录》的限制类、淘汰类工业项目进行淘汰和提升改造。</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2.严格控制钢铁、焦化、电解铝、水泥和平板玻璃等行业新增产能，列入去产能的煤电、钢铁等企业按期退出。</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强化规划、规划环评引领指导作用，科学规划建设工业园区，优化工业布局，引导符合园区产业定位的工业企业入驻，实现集中供热、供水、供气，实施水资源分类循环利用和水污染集中治理；禁止准入园区规划及规划环评中不允许进入的生产工艺或工业项目。</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4.大气、安全防护距离内禁止建设商业住宅、医院、学校、养老机构等敏感机构。</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5.按《山东省水利厅关于公布我省地下水限采区和禁采区的通知》要求，执行超采区管控要求。</w:t>
                  </w:r>
                </w:p>
              </w:tc>
              <w:tc>
                <w:tcPr>
                  <w:tcW w:w="1475" w:type="pct"/>
                  <w:vAlign w:val="center"/>
                </w:tcPr>
                <w:p>
                  <w:pPr>
                    <w:autoSpaceDE w:val="0"/>
                    <w:autoSpaceDN w:val="0"/>
                    <w:adjustRightInd w:val="0"/>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本项目符合产业政策要求，属于允许类项目</w:t>
                  </w:r>
                  <w:r>
                    <w:rPr>
                      <w:rFonts w:hint="default" w:ascii="Times New Roman" w:hAnsi="Times New Roman" w:cs="Times New Roman"/>
                      <w:sz w:val="21"/>
                      <w:szCs w:val="21"/>
                      <w:highlight w:val="none"/>
                      <w:lang w:eastAsia="zh-CN"/>
                    </w:rPr>
                    <w:t>；</w:t>
                  </w:r>
                </w:p>
                <w:p>
                  <w:pPr>
                    <w:autoSpaceDE w:val="0"/>
                    <w:autoSpaceDN w:val="0"/>
                    <w:adjustRightInd w:val="0"/>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2.本项目</w:t>
                  </w:r>
                  <w:r>
                    <w:rPr>
                      <w:rFonts w:hint="default" w:ascii="Times New Roman" w:hAnsi="Times New Roman" w:cs="Times New Roman"/>
                      <w:sz w:val="21"/>
                      <w:szCs w:val="21"/>
                      <w:highlight w:val="none"/>
                      <w:lang w:eastAsia="zh-CN"/>
                    </w:rPr>
                    <w:t>属于</w:t>
                  </w:r>
                  <w:r>
                    <w:rPr>
                      <w:rFonts w:hint="default" w:ascii="Times New Roman" w:hAnsi="Times New Roman" w:cs="Times New Roman"/>
                      <w:sz w:val="21"/>
                      <w:szCs w:val="21"/>
                      <w:highlight w:val="none"/>
                    </w:rPr>
                    <w:t>塑料薄膜制造</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不涉及</w:t>
                  </w:r>
                  <w:r>
                    <w:rPr>
                      <w:rFonts w:hint="default" w:ascii="Times New Roman" w:hAnsi="Times New Roman" w:cs="Times New Roman"/>
                      <w:sz w:val="21"/>
                      <w:szCs w:val="21"/>
                      <w:highlight w:val="none"/>
                      <w:lang w:eastAsia="zh-CN"/>
                    </w:rPr>
                    <w:t>以上产业；</w:t>
                  </w:r>
                </w:p>
                <w:p>
                  <w:pPr>
                    <w:autoSpaceDE w:val="0"/>
                    <w:autoSpaceDN w:val="0"/>
                    <w:adjustRightInd w:val="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本项目</w:t>
                  </w:r>
                  <w:r>
                    <w:rPr>
                      <w:rFonts w:hint="default" w:ascii="Times New Roman" w:hAnsi="Times New Roman" w:cs="Times New Roman"/>
                      <w:sz w:val="21"/>
                      <w:szCs w:val="21"/>
                      <w:highlight w:val="none"/>
                      <w:lang w:eastAsia="zh-CN"/>
                    </w:rPr>
                    <w:t>属于</w:t>
                  </w:r>
                  <w:r>
                    <w:rPr>
                      <w:rFonts w:hint="default" w:ascii="Times New Roman" w:hAnsi="Times New Roman" w:cs="Times New Roman"/>
                      <w:sz w:val="21"/>
                      <w:szCs w:val="21"/>
                      <w:highlight w:val="none"/>
                    </w:rPr>
                    <w:t>塑料薄膜制造</w:t>
                  </w:r>
                  <w:r>
                    <w:rPr>
                      <w:rFonts w:hint="default" w:ascii="Times New Roman" w:hAnsi="Times New Roman" w:cs="Times New Roman"/>
                      <w:sz w:val="21"/>
                      <w:szCs w:val="21"/>
                      <w:highlight w:val="none"/>
                      <w:lang w:eastAsia="zh-CN"/>
                    </w:rPr>
                    <w:t>，</w:t>
                  </w:r>
                  <w:r>
                    <w:rPr>
                      <w:rFonts w:hint="eastAsia" w:cs="Times New Roman"/>
                      <w:sz w:val="21"/>
                      <w:szCs w:val="21"/>
                      <w:highlight w:val="none"/>
                      <w:lang w:eastAsia="zh-CN"/>
                    </w:rPr>
                    <w:t>不新建厂房，租赁现有厂区</w:t>
                  </w:r>
                  <w:r>
                    <w:rPr>
                      <w:rFonts w:hint="eastAsia"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符合园区规划</w:t>
                  </w:r>
                  <w:r>
                    <w:rPr>
                      <w:rFonts w:hint="default" w:ascii="Times New Roman" w:hAnsi="Times New Roman" w:cs="Times New Roman"/>
                      <w:sz w:val="21"/>
                      <w:szCs w:val="21"/>
                      <w:highlight w:val="none"/>
                      <w:lang w:eastAsia="zh-CN"/>
                    </w:rPr>
                    <w:t>；</w:t>
                  </w:r>
                </w:p>
                <w:p>
                  <w:pPr>
                    <w:pStyle w:val="2"/>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val="en-US" w:eastAsia="zh-CN"/>
                    </w:rPr>
                    <w:t>按要求执行</w:t>
                  </w:r>
                  <w:r>
                    <w:rPr>
                      <w:rFonts w:hint="default" w:ascii="Times New Roman" w:hAnsi="Times New Roman" w:cs="Times New Roman"/>
                      <w:sz w:val="21"/>
                      <w:szCs w:val="21"/>
                      <w:highlight w:val="none"/>
                      <w:lang w:val="en-US" w:eastAsia="zh-CN"/>
                    </w:rPr>
                    <w:t>；</w:t>
                  </w:r>
                </w:p>
                <w:p>
                  <w:pPr>
                    <w:autoSpaceDE w:val="0"/>
                    <w:autoSpaceDN w:val="0"/>
                    <w:adjustRightInd w:val="0"/>
                    <w:rPr>
                      <w:rFonts w:hint="default" w:ascii="Times New Roman" w:hAnsi="Times New Roman" w:cs="Times New Roman"/>
                      <w:sz w:val="21"/>
                      <w:szCs w:val="21"/>
                      <w:highlight w:val="none"/>
                    </w:rPr>
                  </w:pP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.本项目不涉及地下水采集及使用。</w:t>
                  </w:r>
                </w:p>
              </w:tc>
              <w:tc>
                <w:tcPr>
                  <w:tcW w:w="520"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03" w:type="pct"/>
                  <w:vAlign w:val="center"/>
                </w:tcPr>
                <w:p>
                  <w:pPr>
                    <w:autoSpaceDE w:val="0"/>
                    <w:autoSpaceDN w:val="0"/>
                    <w:adjustRightInd w:val="0"/>
                    <w:jc w:val="left"/>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污染物排放管控</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1.严格控制“两高”项目，确需建设的需严格执行产能、煤耗、能耗、碳排放、污染物排放减量替代制度。</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2.落实主要污染物总量控制和排污许可制度。新（改、扩）建工业项目生产工艺应达到国内先进水平，主要污染物治理要达到国内同行业先进水平，实施主要污染物总量等量或倍量替代。</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3.废水应当按照分类收集、分质处理的要求进行预处理，达到行业排放标准或是综合排放标准后方可排放。</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4.禁止工业废水和生活污水未经处理直排环境；原则上除工业污水集中处理设施、城镇污水处理厂外不得新建入河排污口。</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5.工业园区污水集中处理设施应当具备相应的处理能力并正常运行，保证工业园区的外排废水稳定达标，不能稳定达标的，工业园区不得建设新增水污染物排放的项目（污水集中处理设施除外）。</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6.落实园区污染物总量控制制度，加强车间、料仓等密闭，负压收集、处置，减少无组织排放。</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rPr>
                    <w:t>7.化工、铸造、建材、热电等严格按照淄博市行业环境管控要求，实施源头替代，建立健全治理设施，确保污染物稳定达标排放，做到持证排污。</w:t>
                  </w:r>
                </w:p>
              </w:tc>
              <w:tc>
                <w:tcPr>
                  <w:tcW w:w="1475" w:type="pct"/>
                  <w:vAlign w:val="center"/>
                </w:tcPr>
                <w:p>
                  <w:pPr>
                    <w:autoSpaceDE w:val="0"/>
                    <w:autoSpaceDN w:val="0"/>
                    <w:adjustRightInd w:val="0"/>
                    <w:rPr>
                      <w:rFonts w:hint="default" w:ascii="Times New Roman" w:hAnsi="Times New Roman" w:cs="Times New Roman"/>
                      <w:sz w:val="21"/>
                      <w:szCs w:val="21"/>
                      <w:lang w:eastAsia="zh-CN"/>
                    </w:rPr>
                  </w:pPr>
                  <w:r>
                    <w:rPr>
                      <w:rFonts w:hint="default"/>
                    </w:rPr>
                    <w:t>1</w:t>
                  </w:r>
                  <w:r>
                    <w:rPr>
                      <w:rFonts w:hint="default" w:ascii="Times New Roman" w:hAnsi="Times New Roman" w:cs="Times New Roman"/>
                      <w:sz w:val="21"/>
                      <w:szCs w:val="21"/>
                    </w:rPr>
                    <w:t>.本项目不属于两高项目</w:t>
                  </w:r>
                  <w:r>
                    <w:rPr>
                      <w:rFonts w:hint="default" w:ascii="Times New Roman" w:hAnsi="Times New Roman" w:cs="Times New Roman"/>
                      <w:sz w:val="21"/>
                      <w:szCs w:val="21"/>
                      <w:lang w:eastAsia="zh-CN"/>
                    </w:rPr>
                    <w:t>；</w:t>
                  </w:r>
                </w:p>
                <w:p>
                  <w:pPr>
                    <w:autoSpaceDE w:val="0"/>
                    <w:autoSpaceDN w:val="0"/>
                    <w:adjustRightInd w:val="0"/>
                    <w:rPr>
                      <w:rFonts w:hint="default" w:ascii="Times New Roman" w:hAnsi="Times New Roman" w:cs="Times New Roman"/>
                      <w:sz w:val="21"/>
                      <w:szCs w:val="21"/>
                      <w:lang w:eastAsia="zh-CN"/>
                    </w:rPr>
                  </w:pPr>
                  <w:r>
                    <w:rPr>
                      <w:rFonts w:hint="default" w:ascii="Times New Roman" w:hAnsi="Times New Roman" w:cs="Times New Roman"/>
                      <w:sz w:val="21"/>
                      <w:szCs w:val="21"/>
                    </w:rPr>
                    <w:t>2.按要求落实主要污染物总量控制和排污许可制度</w:t>
                  </w:r>
                  <w:r>
                    <w:rPr>
                      <w:rFonts w:hint="default" w:ascii="Times New Roman" w:hAnsi="Times New Roman" w:cs="Times New Roman"/>
                      <w:sz w:val="21"/>
                      <w:szCs w:val="21"/>
                      <w:lang w:eastAsia="zh-CN"/>
                    </w:rPr>
                    <w:t>；</w:t>
                  </w:r>
                </w:p>
                <w:p>
                  <w:pPr>
                    <w:autoSpaceDE w:val="0"/>
                    <w:autoSpaceDN w:val="0"/>
                    <w:adjustRightInd w:val="0"/>
                    <w:rPr>
                      <w:rFonts w:hint="default" w:ascii="Times New Roman" w:hAnsi="Times New Roman" w:cs="Times New Roman"/>
                      <w:sz w:val="21"/>
                      <w:szCs w:val="21"/>
                      <w:lang w:eastAsia="zh-CN"/>
                    </w:rPr>
                  </w:pPr>
                  <w:r>
                    <w:rPr>
                      <w:rFonts w:hint="default" w:ascii="Times New Roman" w:hAnsi="Times New Roman" w:cs="Times New Roman"/>
                      <w:sz w:val="21"/>
                      <w:szCs w:val="21"/>
                    </w:rPr>
                    <w:t>3.本项目</w:t>
                  </w:r>
                  <w:r>
                    <w:rPr>
                      <w:rFonts w:hint="default" w:ascii="Times New Roman" w:hAnsi="Times New Roman" w:cs="Times New Roman"/>
                      <w:sz w:val="21"/>
                      <w:szCs w:val="21"/>
                      <w:lang w:eastAsia="zh-CN"/>
                    </w:rPr>
                    <w:t>不产生工业废水，</w:t>
                  </w:r>
                  <w:r>
                    <w:rPr>
                      <w:rFonts w:hint="default" w:ascii="Times New Roman" w:hAnsi="Times New Roman" w:cs="Times New Roman"/>
                      <w:sz w:val="21"/>
                      <w:szCs w:val="21"/>
                    </w:rPr>
                    <w:t>生活污水经化粪池的处理后由环卫部门定期清运</w:t>
                  </w:r>
                  <w:r>
                    <w:rPr>
                      <w:rFonts w:hint="default" w:ascii="Times New Roman" w:hAnsi="Times New Roman" w:cs="Times New Roman"/>
                      <w:sz w:val="21"/>
                      <w:szCs w:val="21"/>
                      <w:lang w:eastAsia="zh-CN"/>
                    </w:rPr>
                    <w:t>；</w:t>
                  </w:r>
                </w:p>
                <w:p>
                  <w:pPr>
                    <w:autoSpaceDE w:val="0"/>
                    <w:autoSpaceDN w:val="0"/>
                    <w:adjustRightInd w:val="0"/>
                    <w:rPr>
                      <w:rFonts w:hint="default" w:ascii="Times New Roman" w:hAnsi="Times New Roman" w:cs="Times New Roman"/>
                      <w:sz w:val="21"/>
                      <w:szCs w:val="21"/>
                      <w:lang w:eastAsia="zh-CN"/>
                    </w:rPr>
                  </w:pPr>
                  <w:r>
                    <w:rPr>
                      <w:rFonts w:hint="default" w:ascii="Times New Roman" w:hAnsi="Times New Roman" w:cs="Times New Roman"/>
                      <w:sz w:val="21"/>
                      <w:szCs w:val="21"/>
                    </w:rPr>
                    <w:t>4.本项生活污水经化粪池的处理后由环卫部门定期清运</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废水为间接排放</w:t>
                  </w:r>
                  <w:r>
                    <w:rPr>
                      <w:rFonts w:hint="default" w:ascii="Times New Roman" w:hAnsi="Times New Roman" w:cs="Times New Roman"/>
                      <w:sz w:val="21"/>
                      <w:szCs w:val="21"/>
                      <w:lang w:eastAsia="zh-CN"/>
                    </w:rPr>
                    <w:t>；</w:t>
                  </w:r>
                </w:p>
                <w:p>
                  <w:pPr>
                    <w:pStyle w:val="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5.本项目不涉及</w:t>
                  </w:r>
                  <w:r>
                    <w:rPr>
                      <w:rFonts w:hint="default" w:ascii="Times New Roman" w:hAnsi="Times New Roman" w:cs="Times New Roman"/>
                      <w:sz w:val="21"/>
                      <w:szCs w:val="21"/>
                    </w:rPr>
                    <w:t>污水集中处理设施</w:t>
                  </w:r>
                  <w:r>
                    <w:rPr>
                      <w:rFonts w:hint="default" w:ascii="Times New Roman" w:hAnsi="Times New Roman" w:cs="Times New Roman"/>
                      <w:sz w:val="21"/>
                      <w:szCs w:val="21"/>
                      <w:lang w:val="en-US" w:eastAsia="zh-CN"/>
                    </w:rPr>
                    <w:t>；</w:t>
                  </w:r>
                </w:p>
                <w:p>
                  <w:pPr>
                    <w:autoSpaceDE w:val="0"/>
                    <w:autoSpaceDN w:val="0"/>
                    <w:adjustRightInd w:val="0"/>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.按要求落实主要污染物总量控制制度</w:t>
                  </w:r>
                  <w:r>
                    <w:rPr>
                      <w:rFonts w:hint="default" w:ascii="Times New Roman" w:hAnsi="Times New Roman" w:cs="Times New Roman"/>
                      <w:sz w:val="21"/>
                      <w:szCs w:val="21"/>
                      <w:lang w:eastAsia="zh-CN"/>
                    </w:rPr>
                    <w:t>；</w:t>
                  </w:r>
                </w:p>
                <w:p>
                  <w:pPr>
                    <w:pStyle w:val="2"/>
                    <w:rPr>
                      <w:rFonts w:hint="eastAsia" w:eastAsia="宋体"/>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sz w:val="21"/>
                      <w:szCs w:val="21"/>
                      <w:highlight w:val="none"/>
                    </w:rPr>
                    <w:t>本项目</w:t>
                  </w:r>
                  <w:r>
                    <w:rPr>
                      <w:rFonts w:hint="default" w:ascii="Times New Roman" w:hAnsi="Times New Roman" w:eastAsia="宋体" w:cs="Times New Roman"/>
                      <w:color w:val="000000"/>
                      <w:kern w:val="0"/>
                      <w:sz w:val="21"/>
                      <w:szCs w:val="21"/>
                      <w:highlight w:val="none"/>
                    </w:rPr>
                    <w:t>建立健全治理设施，确保污染物稳定达标排放，做到持证排污</w:t>
                  </w:r>
                  <w:r>
                    <w:rPr>
                      <w:rFonts w:hint="eastAsia" w:ascii="Times New Roman" w:hAnsi="Times New Roman" w:cs="Times New Roman"/>
                      <w:sz w:val="21"/>
                      <w:szCs w:val="21"/>
                      <w:lang w:eastAsia="zh-CN"/>
                    </w:rPr>
                    <w:t>。</w:t>
                  </w:r>
                </w:p>
              </w:tc>
              <w:tc>
                <w:tcPr>
                  <w:tcW w:w="520"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03" w:type="pct"/>
                  <w:vAlign w:val="center"/>
                </w:tcPr>
                <w:p>
                  <w:pPr>
                    <w:pStyle w:val="88"/>
                    <w:numPr>
                      <w:ilvl w:val="0"/>
                      <w:numId w:val="0"/>
                    </w:numPr>
                    <w:spacing w:line="240" w:lineRule="auto"/>
                    <w:ind w:leftChars="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环境风险防控</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1.紧邻居住、科教、医院等环境敏感点的工业用地，禁止新建环境风险潜势等级高建设项目。</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2.重点企业应采取防腐防渗等有效措施，建立完善三级防护体系，防止因渗漏污染土壤、地下水以及因事故废水直排污染地表水。</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3.企业应按照《企业事业单位突发环境事件应急预案备案管理办法（试行）》等要求，依法依规编制环境应急预案并定期开展演练。</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4.建立各企业危险废物的贮存、申报、经营许可、转移及处置管理制度，并负责对危废相应活动的全程监管和环境安全保障。</w:t>
                  </w:r>
                </w:p>
                <w:p>
                  <w:pPr>
                    <w:autoSpaceDE w:val="0"/>
                    <w:autoSpaceDN w:val="0"/>
                    <w:adjustRightInd w:val="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5.定期对地下水进行检测。</w:t>
                  </w:r>
                </w:p>
                <w:p>
                  <w:pPr>
                    <w:autoSpaceDE w:val="0"/>
                    <w:autoSpaceDN w:val="0"/>
                    <w:adjustRightInd w:val="0"/>
                    <w:jc w:val="left"/>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rPr>
                    <w:t>6.强化管理，防范环境突发事件。</w:t>
                  </w:r>
                </w:p>
              </w:tc>
              <w:tc>
                <w:tcPr>
                  <w:tcW w:w="1475" w:type="pct"/>
                  <w:vAlign w:val="center"/>
                </w:tcPr>
                <w:p>
                  <w:pPr>
                    <w:autoSpaceDE w:val="0"/>
                    <w:autoSpaceDN w:val="0"/>
                    <w:adjustRightInd w:val="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1.本项目周边主要为工业用地，且本项目不属于环境风险潜势等级较高的项目。</w:t>
                  </w:r>
                </w:p>
                <w:p>
                  <w:pPr>
                    <w:autoSpaceDE w:val="0"/>
                    <w:autoSpaceDN w:val="0"/>
                    <w:adjustRightInd w:val="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2.本项目厂区进行分区防渗，对地下水的影响较小。</w:t>
                  </w:r>
                </w:p>
                <w:p>
                  <w:pPr>
                    <w:autoSpaceDE w:val="0"/>
                    <w:autoSpaceDN w:val="0"/>
                    <w:adjustRightInd w:val="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3.按要求定期更新应急预案，并严格按照要求进行应急演练。</w:t>
                  </w:r>
                </w:p>
                <w:p>
                  <w:pPr>
                    <w:autoSpaceDE w:val="0"/>
                    <w:autoSpaceDN w:val="0"/>
                    <w:adjustRightInd w:val="0"/>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4.</w:t>
                  </w:r>
                  <w:r>
                    <w:rPr>
                      <w:rFonts w:hint="default" w:ascii="Times New Roman" w:hAnsi="Times New Roman" w:eastAsia="宋体" w:cs="Times New Roman"/>
                      <w:color w:val="000000"/>
                      <w:kern w:val="0"/>
                      <w:sz w:val="21"/>
                      <w:szCs w:val="21"/>
                      <w:highlight w:val="none"/>
                      <w:lang w:val="en-US" w:eastAsia="zh-CN"/>
                    </w:rPr>
                    <w:t>本项目不涉及。</w:t>
                  </w:r>
                </w:p>
                <w:p>
                  <w:pPr>
                    <w:autoSpaceDE w:val="0"/>
                    <w:autoSpaceDN w:val="0"/>
                    <w:adjustRightInd w:val="0"/>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5.</w:t>
                  </w:r>
                  <w:r>
                    <w:rPr>
                      <w:rFonts w:hint="default" w:ascii="Times New Roman" w:hAnsi="Times New Roman" w:eastAsia="宋体" w:cs="Times New Roman"/>
                      <w:color w:val="000000"/>
                      <w:kern w:val="0"/>
                      <w:sz w:val="21"/>
                      <w:szCs w:val="21"/>
                      <w:highlight w:val="none"/>
                      <w:lang w:val="en-US" w:eastAsia="zh-CN"/>
                    </w:rPr>
                    <w:t>本项目不涉及。</w:t>
                  </w:r>
                </w:p>
                <w:p>
                  <w:pPr>
                    <w:pStyle w:val="2"/>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kern w:val="0"/>
                      <w:sz w:val="21"/>
                      <w:szCs w:val="21"/>
                      <w:highlight w:val="none"/>
                    </w:rPr>
                    <w:t>6.强化管理，防范环境突发事件。</w:t>
                  </w:r>
                </w:p>
              </w:tc>
              <w:tc>
                <w:tcPr>
                  <w:tcW w:w="520"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03" w:type="pct"/>
                  <w:vAlign w:val="center"/>
                </w:tcPr>
                <w:p>
                  <w:pPr>
                    <w:pStyle w:val="88"/>
                    <w:numPr>
                      <w:ilvl w:val="0"/>
                      <w:numId w:val="0"/>
                    </w:numPr>
                    <w:spacing w:line="240" w:lineRule="auto"/>
                    <w:ind w:leftChars="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资源开发效率要求</w:t>
                  </w:r>
                </w:p>
                <w:p>
                  <w:pPr>
                    <w:autoSpaceDE w:val="0"/>
                    <w:autoSpaceDN w:val="0"/>
                    <w:adjustRightInd w:val="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1.未经许可不得开采地下水，执行浅层地下水限采区管理规定。</w:t>
                  </w:r>
                </w:p>
                <w:p>
                  <w:pPr>
                    <w:autoSpaceDE w:val="0"/>
                    <w:autoSpaceDN w:val="0"/>
                    <w:adjustRightInd w:val="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2.严格执行《产业园区水的分类使用及循环利用原则和要求》（GB/T36575-2018）。</w:t>
                  </w:r>
                </w:p>
                <w:p>
                  <w:pPr>
                    <w:autoSpaceDE w:val="0"/>
                    <w:autoSpaceDN w:val="0"/>
                    <w:adjustRightInd w:val="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3.调整能源利用结构，控制煤炭消费量，实现减量化，鼓励使用清洁能源、新能源和可再生能源。</w:t>
                  </w:r>
                </w:p>
                <w:p>
                  <w:pPr>
                    <w:autoSpaceDE w:val="0"/>
                    <w:autoSpaceDN w:val="0"/>
                    <w:adjustRightInd w:val="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4.提升土地集约化水平。</w:t>
                  </w:r>
                </w:p>
                <w:p>
                  <w:pPr>
                    <w:autoSpaceDE w:val="0"/>
                    <w:autoSpaceDN w:val="0"/>
                    <w:adjustRightInd w:val="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5.定期开展清洁生产审核，推动现有各类产业园区和重点企业生态化、循环化改造。</w:t>
                  </w:r>
                </w:p>
              </w:tc>
              <w:tc>
                <w:tcPr>
                  <w:tcW w:w="1475" w:type="pct"/>
                  <w:vAlign w:val="center"/>
                </w:tcPr>
                <w:p>
                  <w:pPr>
                    <w:autoSpaceDE w:val="0"/>
                    <w:autoSpaceDN w:val="0"/>
                    <w:adjustRightInd w:val="0"/>
                    <w:rPr>
                      <w:rFonts w:hint="eastAsia"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1.本项目不涉及</w:t>
                  </w:r>
                  <w:r>
                    <w:rPr>
                      <w:rFonts w:hint="eastAsia" w:eastAsia="宋体" w:cs="Times New Roman"/>
                      <w:color w:val="000000"/>
                      <w:kern w:val="0"/>
                      <w:sz w:val="21"/>
                      <w:szCs w:val="21"/>
                      <w:highlight w:val="none"/>
                      <w:lang w:eastAsia="zh-CN"/>
                    </w:rPr>
                    <w:t>地下水；</w:t>
                  </w:r>
                </w:p>
                <w:p>
                  <w:pPr>
                    <w:autoSpaceDE w:val="0"/>
                    <w:autoSpaceDN w:val="0"/>
                    <w:adjustRightInd w:val="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w:t>
                  </w:r>
                  <w:r>
                    <w:rPr>
                      <w:rFonts w:hint="eastAsia" w:eastAsia="宋体" w:cs="Times New Roman"/>
                      <w:color w:val="000000"/>
                      <w:kern w:val="0"/>
                      <w:sz w:val="21"/>
                      <w:szCs w:val="21"/>
                      <w:highlight w:val="none"/>
                      <w:lang w:eastAsia="zh-CN"/>
                    </w:rPr>
                    <w:t>按要求执行；</w:t>
                  </w:r>
                </w:p>
                <w:p>
                  <w:pPr>
                    <w:autoSpaceDE w:val="0"/>
                    <w:autoSpaceDN w:val="0"/>
                    <w:adjustRightInd w:val="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3.本项目主要能源为水、电</w:t>
                  </w:r>
                  <w:r>
                    <w:rPr>
                      <w:rFonts w:hint="eastAsia" w:eastAsia="宋体" w:cs="Times New Roman"/>
                      <w:color w:val="000000"/>
                      <w:kern w:val="0"/>
                      <w:sz w:val="21"/>
                      <w:szCs w:val="21"/>
                      <w:highlight w:val="none"/>
                      <w:lang w:eastAsia="zh-CN"/>
                    </w:rPr>
                    <w:t>，不涉及煤炭；</w:t>
                  </w:r>
                </w:p>
                <w:p>
                  <w:pPr>
                    <w:pStyle w:val="8"/>
                    <w:rPr>
                      <w:rFonts w:hint="eastAsia"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4.</w:t>
                  </w:r>
                  <w:r>
                    <w:rPr>
                      <w:rFonts w:hint="eastAsia" w:eastAsia="宋体" w:cs="Times New Roman"/>
                      <w:color w:val="000000"/>
                      <w:kern w:val="0"/>
                      <w:sz w:val="21"/>
                      <w:szCs w:val="21"/>
                      <w:highlight w:val="none"/>
                      <w:lang w:eastAsia="zh-CN"/>
                    </w:rPr>
                    <w:t>按要求执行；</w:t>
                  </w:r>
                </w:p>
                <w:p>
                  <w:pPr>
                    <w:pStyle w:val="8"/>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5.</w:t>
                  </w:r>
                  <w:r>
                    <w:rPr>
                      <w:rFonts w:hint="eastAsia" w:eastAsia="宋体" w:cs="Times New Roman"/>
                      <w:color w:val="000000"/>
                      <w:kern w:val="0"/>
                      <w:sz w:val="21"/>
                      <w:szCs w:val="21"/>
                      <w:highlight w:val="none"/>
                      <w:lang w:eastAsia="zh-CN"/>
                    </w:rPr>
                    <w:t>按要求执行。</w:t>
                  </w:r>
                </w:p>
              </w:tc>
              <w:tc>
                <w:tcPr>
                  <w:tcW w:w="520"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bl>
          <w:p>
            <w:pPr>
              <w:spacing w:line="360" w:lineRule="auto"/>
              <w:ind w:firstLine="480" w:firstLineChars="200"/>
              <w:rPr>
                <w:sz w:val="24"/>
                <w:szCs w:val="24"/>
                <w:highlight w:val="none"/>
              </w:rPr>
            </w:pPr>
            <w:r>
              <w:rPr>
                <w:sz w:val="24"/>
                <w:szCs w:val="24"/>
                <w:highlight w:val="none"/>
              </w:rPr>
              <w:t>根据上表，拟建项目符合淄博市生态环境委员会办公室关于印发《淄博市“三线一单”生态环境准入清单》的通知（淄环委办〔2021〕24号）要求。</w:t>
            </w:r>
          </w:p>
          <w:p>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、环保政策符合性分析</w:t>
            </w:r>
          </w:p>
          <w:p>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（1）与《关于严格项目审批工作坚决防止新上“散乱污”项目的通知》（鲁环字 〔2021〕58 号）符合性分析</w:t>
            </w:r>
          </w:p>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b/>
                <w:bCs/>
                <w:kern w:val="0"/>
                <w:sz w:val="21"/>
                <w:szCs w:val="21"/>
                <w:highlight w:val="none"/>
              </w:rPr>
              <w:t>表1-</w:t>
            </w:r>
            <w:r>
              <w:rPr>
                <w:rFonts w:hint="eastAsia" w:cs="Times New Roman"/>
                <w:b/>
                <w:bCs/>
                <w:kern w:val="0"/>
                <w:sz w:val="21"/>
                <w:szCs w:val="21"/>
                <w:highlight w:val="none"/>
                <w:lang w:val="en-US" w:eastAsia="zh-CN"/>
              </w:rPr>
              <w:t>7</w:t>
            </w:r>
            <w:r>
              <w:rPr>
                <w:rFonts w:hint="default" w:ascii="Times New Roman" w:hAnsi="Times New Roman" w:cs="Times New Roman"/>
                <w:b/>
                <w:bCs/>
                <w:kern w:val="0"/>
                <w:sz w:val="21"/>
                <w:szCs w:val="21"/>
                <w:highlight w:val="none"/>
              </w:rPr>
              <w:t xml:space="preserve">  与</w:t>
            </w:r>
            <w:r>
              <w:rPr>
                <w:rFonts w:hint="default" w:ascii="Times New Roman" w:hAnsi="Times New Roman" w:cs="Times New Roman"/>
                <w:b/>
                <w:sz w:val="21"/>
                <w:szCs w:val="21"/>
                <w:highlight w:val="none"/>
              </w:rPr>
              <w:t>鲁环字 〔2021〕58 号文</w:t>
            </w:r>
            <w:r>
              <w:rPr>
                <w:rFonts w:hint="default" w:ascii="Times New Roman" w:hAnsi="Times New Roman" w:cs="Times New Roman"/>
                <w:b/>
                <w:bCs/>
                <w:kern w:val="0"/>
                <w:sz w:val="21"/>
                <w:szCs w:val="21"/>
                <w:highlight w:val="none"/>
              </w:rPr>
              <w:t>符合性分析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276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文件要求</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本项目情况</w:t>
                  </w:r>
                </w:p>
              </w:tc>
              <w:tc>
                <w:tcPr>
                  <w:tcW w:w="511" w:type="pct"/>
                  <w:noWrap w:val="0"/>
                  <w:vAlign w:val="center"/>
                </w:tcPr>
                <w:p>
                  <w:pPr>
                    <w:pStyle w:val="10"/>
                    <w:snapToGrid w:val="0"/>
                    <w:spacing w:before="24" w:after="24" w:line="240" w:lineRule="exact"/>
                    <w:ind w:left="0" w:leftChars="0" w:firstLine="0" w:firstLineChars="0"/>
                    <w:jc w:val="center"/>
                    <w:rPr>
                      <w:rFonts w:hint="eastAsia"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符合</w:t>
                  </w:r>
                  <w:r>
                    <w:rPr>
                      <w:rFonts w:hint="eastAsia" w:cs="Times New Roman"/>
                      <w:color w:val="000000"/>
                      <w:sz w:val="21"/>
                      <w:szCs w:val="21"/>
                      <w:highlight w:val="none"/>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 整指导目录（2019 年本）》（如有更新，以更新后文件为准），对鼓励类项目，按照有关规定审批、核准或备案；对限制类项目，禁止新建，现有生产能力允许在一定期限内改造升级；对淘汰类项目，市场主体不得进入，行政机关不予审批。</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项目为</w:t>
                  </w:r>
                  <w:r>
                    <w:rPr>
                      <w:rFonts w:hint="default" w:ascii="Times New Roman" w:hAnsi="Times New Roman" w:cs="Times New Roman"/>
                      <w:color w:val="000000"/>
                      <w:sz w:val="21"/>
                      <w:szCs w:val="21"/>
                      <w:highlight w:val="none"/>
                      <w:lang w:eastAsia="zh-CN"/>
                    </w:rPr>
                    <w:t>新建</w:t>
                  </w:r>
                  <w:r>
                    <w:rPr>
                      <w:rFonts w:hint="default" w:ascii="Times New Roman" w:hAnsi="Times New Roman" w:cs="Times New Roman"/>
                      <w:color w:val="000000"/>
                      <w:sz w:val="21"/>
                      <w:szCs w:val="21"/>
                      <w:highlight w:val="none"/>
                    </w:rPr>
                    <w:t>项目，对照《产业结构调整指导目录（2019年本）》，项目不在“淘汰类”和“限制类”之列，属于允许建设项目，符合国家产业政策。项目所用工艺及设备不属于国家公布的淘汰工艺和落后设备。</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强化规划刚性约束。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项目为</w:t>
                  </w:r>
                  <w:r>
                    <w:rPr>
                      <w:rFonts w:hint="default" w:ascii="Times New Roman" w:hAnsi="Times New Roman" w:cs="Times New Roman"/>
                      <w:color w:val="auto"/>
                      <w:sz w:val="21"/>
                      <w:szCs w:val="21"/>
                      <w:highlight w:val="none"/>
                      <w:lang w:eastAsia="zh-CN"/>
                    </w:rPr>
                    <w:t>新建项目</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租赁现有厂房，</w:t>
                  </w:r>
                  <w:r>
                    <w:rPr>
                      <w:rFonts w:hint="default" w:ascii="Times New Roman" w:hAnsi="Times New Roman" w:cs="Times New Roman"/>
                      <w:color w:val="auto"/>
                      <w:sz w:val="21"/>
                      <w:szCs w:val="21"/>
                      <w:highlight w:val="none"/>
                    </w:rPr>
                    <w:t>项目位于</w:t>
                  </w:r>
                  <w:r>
                    <w:rPr>
                      <w:rFonts w:hint="default" w:ascii="Times New Roman" w:hAnsi="Times New Roman" w:cs="Times New Roman"/>
                      <w:color w:val="auto"/>
                      <w:sz w:val="21"/>
                      <w:szCs w:val="21"/>
                      <w:highlight w:val="none"/>
                      <w:lang w:eastAsia="zh-CN"/>
                    </w:rPr>
                    <w:t>淄博市桓台县果里镇德阳学校东100米</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位于桓台经济开发区，</w:t>
                  </w:r>
                  <w:r>
                    <w:rPr>
                      <w:rFonts w:hint="default" w:ascii="Times New Roman" w:hAnsi="Times New Roman" w:cs="Times New Roman"/>
                      <w:color w:val="000000"/>
                      <w:sz w:val="21"/>
                      <w:szCs w:val="21"/>
                      <w:highlight w:val="none"/>
                    </w:rPr>
                    <w:t>符合国土空间规划、产业发展规划等要求</w:t>
                  </w:r>
                  <w:r>
                    <w:rPr>
                      <w:rFonts w:hint="default" w:ascii="Times New Roman" w:hAnsi="Times New Roman" w:cs="Times New Roman"/>
                      <w:color w:val="auto"/>
                      <w:sz w:val="21"/>
                      <w:szCs w:val="21"/>
                      <w:highlight w:val="none"/>
                      <w:lang w:val="en-US" w:eastAsia="zh-CN"/>
                    </w:rPr>
                    <w:t>。</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项目为</w:t>
                  </w:r>
                  <w:r>
                    <w:rPr>
                      <w:rFonts w:hint="default" w:ascii="Times New Roman" w:hAnsi="Times New Roman" w:cs="Times New Roman"/>
                      <w:color w:val="auto"/>
                      <w:sz w:val="21"/>
                      <w:szCs w:val="21"/>
                      <w:highlight w:val="none"/>
                      <w:lang w:eastAsia="zh-CN"/>
                    </w:rPr>
                    <w:t>新建项目</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租赁现有厂房，</w:t>
                  </w:r>
                  <w:r>
                    <w:rPr>
                      <w:rFonts w:hint="default" w:ascii="Times New Roman" w:hAnsi="Times New Roman" w:cs="Times New Roman"/>
                      <w:color w:val="auto"/>
                      <w:sz w:val="21"/>
                      <w:szCs w:val="21"/>
                      <w:highlight w:val="none"/>
                    </w:rPr>
                    <w:t>项目位于</w:t>
                  </w:r>
                  <w:r>
                    <w:rPr>
                      <w:rFonts w:hint="default" w:ascii="Times New Roman" w:hAnsi="Times New Roman" w:cs="Times New Roman"/>
                      <w:color w:val="auto"/>
                      <w:sz w:val="21"/>
                      <w:szCs w:val="21"/>
                      <w:highlight w:val="none"/>
                      <w:lang w:eastAsia="zh-CN"/>
                    </w:rPr>
                    <w:t>淄博市桓台县果里镇德阳学校东100米</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位于桓台经济开发区，</w:t>
                  </w:r>
                  <w:r>
                    <w:rPr>
                      <w:rFonts w:hint="default" w:ascii="Times New Roman" w:hAnsi="Times New Roman" w:cs="Times New Roman"/>
                      <w:color w:val="000000"/>
                      <w:sz w:val="21"/>
                      <w:szCs w:val="21"/>
                      <w:highlight w:val="none"/>
                    </w:rPr>
                    <w:t>符合国土空间规划、产业发展规划等要求</w:t>
                  </w:r>
                  <w:r>
                    <w:rPr>
                      <w:rFonts w:hint="default" w:ascii="Times New Roman" w:hAnsi="Times New Roman" w:cs="Times New Roman"/>
                      <w:color w:val="auto"/>
                      <w:sz w:val="21"/>
                      <w:szCs w:val="21"/>
                      <w:highlight w:val="none"/>
                      <w:lang w:val="en-US" w:eastAsia="zh-CN"/>
                    </w:rPr>
                    <w:t>。</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4、严把项目环评审批关。新上项目必须严格执行 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w:t>
                  </w:r>
                  <w:r>
                    <w:rPr>
                      <w:rFonts w:hint="default" w:ascii="Times New Roman" w:hAnsi="Times New Roman" w:cs="Times New Roman"/>
                      <w:color w:val="auto"/>
                      <w:sz w:val="21"/>
                      <w:szCs w:val="21"/>
                      <w:highlight w:val="none"/>
                      <w:lang w:eastAsia="zh-CN"/>
                    </w:rPr>
                    <w:t>符合三线一单要求</w:t>
                  </w:r>
                  <w:r>
                    <w:rPr>
                      <w:rFonts w:hint="default" w:ascii="Times New Roman" w:hAnsi="Times New Roman" w:cs="Times New Roman"/>
                      <w:color w:val="auto"/>
                      <w:sz w:val="21"/>
                      <w:szCs w:val="21"/>
                      <w:highlight w:val="none"/>
                    </w:rPr>
                    <w:t>。</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5、建立部门联动协调机制。各级发展改革、工业和信息化、自然资源、生态环境等部门要按照职责分工，建立长效工作机制，密切配合，强化对 项目产业政策、固定资产投资、能耗、用地标准、环境等的论证，对不符合要求的，一律不得办理立项、规划、土地、环评等手续。</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eastAsia="宋体" w:cs="Times New Roman"/>
                      <w:color w:val="000000"/>
                      <w:sz w:val="21"/>
                      <w:szCs w:val="21"/>
                      <w:highlight w:val="none"/>
                      <w:lang w:eastAsia="zh-CN"/>
                    </w:rPr>
                    <w:t>项目已经取得了山东省建设项目备案（详见附件），备案代码为：2302-370321-89-01-574153</w:t>
                  </w:r>
                  <w:r>
                    <w:rPr>
                      <w:rFonts w:hint="default" w:ascii="Times New Roman" w:hAnsi="Times New Roman" w:eastAsia="宋体" w:cs="Times New Roman"/>
                      <w:color w:val="000000"/>
                      <w:sz w:val="21"/>
                      <w:szCs w:val="21"/>
                      <w:highlight w:val="none"/>
                    </w:rPr>
                    <w:t>。</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26"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6、强化日常监管执法。持续加大对违反产业政策、规划、准入规定等违法违规建设行为的查处力度，坚决遏制“未批先建”等违法行为。畅通 群众举报投诉渠道，对“散乱污”项目做到早发现、早应对、早处置，严防死灰复燃。</w:t>
                  </w:r>
                </w:p>
              </w:tc>
              <w:tc>
                <w:tcPr>
                  <w:tcW w:w="166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项目在未通过审批前不进行建设。</w:t>
                  </w:r>
                </w:p>
              </w:tc>
              <w:tc>
                <w:tcPr>
                  <w:tcW w:w="511" w:type="pct"/>
                  <w:noWrap w:val="0"/>
                  <w:vAlign w:val="center"/>
                </w:tcPr>
                <w:p>
                  <w:pPr>
                    <w:pStyle w:val="10"/>
                    <w:snapToGrid w:val="0"/>
                    <w:spacing w:before="24" w:after="24" w:line="240" w:lineRule="exact"/>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bl>
          <w:p>
            <w:pPr>
              <w:snapToGrid w:val="0"/>
              <w:spacing w:line="360" w:lineRule="auto"/>
              <w:ind w:firstLine="482" w:firstLineChars="200"/>
              <w:jc w:val="left"/>
              <w:rPr>
                <w:rFonts w:hint="default" w:ascii="Times New Roman" w:hAnsi="Times New Roman" w:cs="Times New Roman"/>
                <w:b/>
                <w:color w:val="000000"/>
                <w:sz w:val="24"/>
                <w:szCs w:val="24"/>
                <w:highlight w:val="none"/>
              </w:rPr>
            </w:pP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color w:val="000000"/>
                <w:sz w:val="24"/>
                <w:szCs w:val="24"/>
                <w:highlight w:val="none"/>
              </w:rPr>
              <w:t>与《山东省工业企业无组织排放分行业管控指导意见》鲁环发【2020】30 号符合性分析</w:t>
            </w:r>
          </w:p>
          <w:p>
            <w:pPr>
              <w:snapToGrid w:val="0"/>
              <w:jc w:val="center"/>
              <w:rPr>
                <w:rFonts w:hint="default" w:ascii="Times New Roman" w:hAnsi="Times New Roman" w:cs="Times New Roman"/>
                <w:b/>
                <w:color w:val="000000"/>
                <w:sz w:val="24"/>
                <w:szCs w:val="24"/>
                <w:highlight w:val="none"/>
              </w:rPr>
            </w:pPr>
            <w:r>
              <w:rPr>
                <w:rFonts w:hint="default" w:ascii="Times New Roman" w:hAnsi="Times New Roman" w:cs="Times New Roman"/>
                <w:b/>
                <w:sz w:val="21"/>
                <w:szCs w:val="21"/>
                <w:highlight w:val="none"/>
              </w:rPr>
              <w:t>表1-</w:t>
            </w:r>
            <w:r>
              <w:rPr>
                <w:rFonts w:hint="eastAsia" w:cs="Times New Roman"/>
                <w:b/>
                <w:sz w:val="21"/>
                <w:szCs w:val="21"/>
                <w:highlight w:val="none"/>
                <w:lang w:val="en-US" w:eastAsia="zh-CN"/>
              </w:rPr>
              <w:t>8</w:t>
            </w:r>
            <w:r>
              <w:rPr>
                <w:rFonts w:hint="default" w:ascii="Times New Roman" w:hAnsi="Times New Roman" w:cs="Times New Roman"/>
                <w:b/>
                <w:sz w:val="21"/>
                <w:szCs w:val="21"/>
                <w:highlight w:val="none"/>
              </w:rPr>
              <w:t xml:space="preserve">  与《</w:t>
            </w:r>
            <w:r>
              <w:rPr>
                <w:rFonts w:hint="default" w:ascii="Times New Roman" w:hAnsi="Times New Roman" w:cs="Times New Roman"/>
                <w:b/>
                <w:color w:val="000000"/>
                <w:sz w:val="21"/>
                <w:szCs w:val="21"/>
                <w:highlight w:val="none"/>
              </w:rPr>
              <w:t>山东省工业企业无组织排放分行业管控指导意见》</w:t>
            </w:r>
            <w:r>
              <w:rPr>
                <w:rFonts w:hint="default" w:ascii="Times New Roman" w:hAnsi="Times New Roman" w:cs="Times New Roman"/>
                <w:b/>
                <w:sz w:val="21"/>
                <w:szCs w:val="21"/>
                <w:highlight w:val="none"/>
              </w:rPr>
              <w:t>符合性分析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024"/>
              <w:gridCol w:w="194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32" w:type="pct"/>
                  <w:gridSpan w:val="2"/>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管控要求</w:t>
                  </w:r>
                </w:p>
              </w:tc>
              <w:tc>
                <w:tcPr>
                  <w:tcW w:w="1167" w:type="pct"/>
                  <w:noWrap w:val="0"/>
                  <w:vAlign w:val="center"/>
                </w:tcPr>
                <w:p>
                  <w:pPr>
                    <w:ind w:right="63" w:rightChars="3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本项目情况</w:t>
                  </w:r>
                </w:p>
              </w:tc>
              <w:tc>
                <w:tcPr>
                  <w:tcW w:w="400"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加强物料储存、输送环节管控</w:t>
                  </w:r>
                </w:p>
              </w:tc>
              <w:tc>
                <w:tcPr>
                  <w:tcW w:w="3022"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煤粉、粉煤灰、石灰、除尘灰、脱硫灰、原料药 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拉门或自动感应门等，无车辆通过时将门关闭。防风抑尘网高度高于料场堆存高度，并对堆存物料进行严密苫盖。块状、粒状或粘湿物料上料口设置在封闭料棚内，采用管状带式输送机、皮带通廊、封闭车辆等方式输送。物料上料、输送、转接、出料和扒渣等过程中的产尘点采取有效抑尘、集尘除尘措施。含挥发性有机物（VOCs）物料储存于密闭容器、包装袋，高效密封储罐，封闭式储库、料仓等；封闭式储库、料仓设置VOCs有效收集治理设施。含VOCs物料输送，采用密闭管道或密闭容器、罐车等。</w:t>
                  </w:r>
                </w:p>
              </w:tc>
              <w:tc>
                <w:tcPr>
                  <w:tcW w:w="116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color w:val="auto"/>
                      <w:sz w:val="21"/>
                      <w:szCs w:val="21"/>
                      <w:highlight w:val="none"/>
                    </w:rPr>
                    <w:t>本项目使用原料均袋装密封装卸、运输</w:t>
                  </w:r>
                  <w:r>
                    <w:rPr>
                      <w:rFonts w:hint="default" w:ascii="Times New Roman" w:hAnsi="Times New Roman" w:cs="Times New Roman"/>
                      <w:color w:val="auto"/>
                      <w:sz w:val="21"/>
                      <w:szCs w:val="21"/>
                      <w:highlight w:val="none"/>
                      <w:lang w:eastAsia="zh-CN"/>
                    </w:rPr>
                    <w:t>，</w:t>
                  </w:r>
                  <w:r>
                    <w:rPr>
                      <w:rFonts w:hint="eastAsia" w:cs="Times New Roman"/>
                      <w:color w:val="auto"/>
                      <w:sz w:val="21"/>
                      <w:szCs w:val="21"/>
                      <w:highlight w:val="none"/>
                      <w:lang w:eastAsia="zh-CN"/>
                    </w:rPr>
                    <w:t>不产生粉尘</w:t>
                  </w:r>
                  <w:r>
                    <w:rPr>
                      <w:rFonts w:hint="default" w:ascii="Times New Roman" w:hAnsi="Times New Roman" w:cs="Times New Roman"/>
                      <w:color w:val="auto"/>
                      <w:sz w:val="21"/>
                      <w:szCs w:val="21"/>
                      <w:highlight w:val="none"/>
                    </w:rPr>
                    <w:t>。</w:t>
                  </w:r>
                  <w:r>
                    <w:rPr>
                      <w:rFonts w:hint="default" w:ascii="Times New Roman" w:hAnsi="Times New Roman" w:cs="Times New Roman"/>
                      <w:sz w:val="21"/>
                      <w:szCs w:val="21"/>
                      <w:highlight w:val="none"/>
                      <w:lang w:val="en-US" w:eastAsia="zh-CN"/>
                    </w:rPr>
                    <w:t>VOCs</w:t>
                  </w:r>
                  <w:r>
                    <w:rPr>
                      <w:rFonts w:hint="default" w:ascii="Times New Roman" w:hAnsi="Times New Roman" w:cs="Times New Roman"/>
                      <w:sz w:val="21"/>
                      <w:szCs w:val="21"/>
                      <w:highlight w:val="none"/>
                    </w:rPr>
                    <w:t>采用</w:t>
                  </w:r>
                  <w:r>
                    <w:rPr>
                      <w:rFonts w:hint="default" w:ascii="Times New Roman" w:hAnsi="Times New Roman" w:cs="Times New Roman"/>
                      <w:sz w:val="21"/>
                      <w:szCs w:val="21"/>
                      <w:highlight w:val="none"/>
                      <w:lang w:eastAsia="zh-CN"/>
                    </w:rPr>
                    <w:t>集气罩收集进入二级</w:t>
                  </w:r>
                  <w:r>
                    <w:rPr>
                      <w:rFonts w:hint="default" w:ascii="Times New Roman" w:hAnsi="Times New Roman" w:cs="Times New Roman"/>
                      <w:sz w:val="21"/>
                      <w:szCs w:val="21"/>
                      <w:highlight w:val="none"/>
                      <w:lang w:val="en-US" w:eastAsia="zh-CN"/>
                    </w:rPr>
                    <w:t>活性炭吸附设备处理后经15米排气筒有组织排放。</w:t>
                  </w:r>
                </w:p>
              </w:tc>
              <w:tc>
                <w:tcPr>
                  <w:tcW w:w="4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1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加强生产环节管控</w:t>
                  </w:r>
                </w:p>
              </w:tc>
              <w:tc>
                <w:tcPr>
                  <w:tcW w:w="3022"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通过提高工艺自动化和设备密闭化水平，减少生产过程中的无组织排放。生产过程中的产尘点和VOCs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 及生产设备表面保持清洁，除电子、电气原件外，不得采用压缩空气吹扫等易产生扬尘的清理 措施。厂内污水收集、输送、处理，污泥产生、暂存、处置，危险废物暂存等产生VOCs或恶臭气体的区域加罩或加盖封闭并进行收集处理。涉 VOCs 化（试）验室实验平台设置负压集气系统，对化（试）验室中产生的废气进行集中收集治理。</w:t>
                  </w:r>
                </w:p>
              </w:tc>
              <w:tc>
                <w:tcPr>
                  <w:tcW w:w="1167"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项目各装置均在密闭车间内，</w:t>
                  </w:r>
                  <w:r>
                    <w:rPr>
                      <w:rFonts w:hint="default" w:ascii="Times New Roman" w:hAnsi="Times New Roman" w:cs="Times New Roman"/>
                      <w:sz w:val="21"/>
                      <w:szCs w:val="21"/>
                      <w:highlight w:val="none"/>
                      <w:lang w:val="en-US" w:eastAsia="zh-CN"/>
                    </w:rPr>
                    <w:t>VOCs</w:t>
                  </w:r>
                  <w:r>
                    <w:rPr>
                      <w:rFonts w:hint="default" w:ascii="Times New Roman" w:hAnsi="Times New Roman" w:cs="Times New Roman"/>
                      <w:sz w:val="21"/>
                      <w:szCs w:val="21"/>
                      <w:highlight w:val="none"/>
                    </w:rPr>
                    <w:t>采用</w:t>
                  </w:r>
                  <w:r>
                    <w:rPr>
                      <w:rFonts w:hint="default" w:ascii="Times New Roman" w:hAnsi="Times New Roman" w:cs="Times New Roman"/>
                      <w:sz w:val="21"/>
                      <w:szCs w:val="21"/>
                      <w:highlight w:val="none"/>
                      <w:lang w:eastAsia="zh-CN"/>
                    </w:rPr>
                    <w:t>集气罩管道收集进入二级</w:t>
                  </w:r>
                  <w:r>
                    <w:rPr>
                      <w:rFonts w:hint="default" w:ascii="Times New Roman" w:hAnsi="Times New Roman" w:cs="Times New Roman"/>
                      <w:sz w:val="21"/>
                      <w:szCs w:val="21"/>
                      <w:highlight w:val="none"/>
                      <w:lang w:val="en-US" w:eastAsia="zh-CN"/>
                    </w:rPr>
                    <w:t>活性炭吸附设备处理后经15米排气筒排放</w:t>
                  </w:r>
                  <w:r>
                    <w:rPr>
                      <w:rFonts w:hint="default" w:ascii="Times New Roman" w:hAnsi="Times New Roman" w:cs="Times New Roman"/>
                      <w:sz w:val="21"/>
                      <w:szCs w:val="21"/>
                      <w:highlight w:val="none"/>
                    </w:rPr>
                    <w:t>；</w:t>
                  </w:r>
                  <w:r>
                    <w:rPr>
                      <w:rFonts w:hint="default" w:ascii="Times New Roman" w:hAnsi="Times New Roman" w:eastAsia="宋体" w:cs="Times New Roman"/>
                      <w:color w:val="000000"/>
                      <w:sz w:val="21"/>
                      <w:szCs w:val="21"/>
                      <w:highlight w:val="none"/>
                    </w:rPr>
                    <w:t>本项目</w:t>
                  </w:r>
                  <w:r>
                    <w:rPr>
                      <w:rFonts w:hint="default" w:ascii="Times New Roman" w:hAnsi="Times New Roman" w:cs="Times New Roman"/>
                      <w:color w:val="000000"/>
                      <w:sz w:val="21"/>
                      <w:szCs w:val="21"/>
                      <w:highlight w:val="none"/>
                      <w:lang w:val="en-US" w:eastAsia="zh-CN"/>
                    </w:rPr>
                    <w:t>无废水</w:t>
                  </w:r>
                  <w:r>
                    <w:rPr>
                      <w:rFonts w:hint="default" w:ascii="Times New Roman" w:hAnsi="Times New Roman" w:eastAsia="宋体" w:cs="Times New Roman"/>
                      <w:color w:val="000000"/>
                      <w:sz w:val="21"/>
                      <w:szCs w:val="21"/>
                      <w:highlight w:val="none"/>
                      <w:lang w:val="zh-CN"/>
                    </w:rPr>
                    <w:t>，生活废水经化粪池处理后定期清运。</w:t>
                  </w:r>
                </w:p>
              </w:tc>
              <w:tc>
                <w:tcPr>
                  <w:tcW w:w="4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bl>
          <w:p>
            <w:pPr>
              <w:snapToGrid w:val="0"/>
              <w:spacing w:line="360" w:lineRule="auto"/>
              <w:ind w:firstLine="482" w:firstLineChars="200"/>
              <w:jc w:val="left"/>
              <w:rPr>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3</w:t>
            </w:r>
            <w:r>
              <w:rPr>
                <w:rFonts w:hint="eastAsia"/>
                <w:b/>
                <w:color w:val="auto"/>
                <w:sz w:val="24"/>
                <w:szCs w:val="24"/>
                <w:highlight w:val="none"/>
              </w:rPr>
              <w:t>）与《关于“两高”项目管理有关事项的补充通知》（鲁发改工业〔2023〕34号）符合性分析</w:t>
            </w:r>
          </w:p>
          <w:p>
            <w:pPr>
              <w:spacing w:line="360" w:lineRule="auto"/>
              <w:jc w:val="center"/>
              <w:rPr>
                <w:b/>
                <w:color w:val="auto"/>
                <w:highlight w:val="none"/>
              </w:rPr>
            </w:pPr>
            <w:r>
              <w:rPr>
                <w:rFonts w:hint="eastAsia"/>
                <w:b/>
                <w:color w:val="auto"/>
                <w:highlight w:val="none"/>
              </w:rPr>
              <w:t>表1-</w:t>
            </w:r>
            <w:r>
              <w:rPr>
                <w:rFonts w:hint="eastAsia"/>
                <w:b/>
                <w:color w:val="auto"/>
                <w:highlight w:val="none"/>
                <w:lang w:val="en-US" w:eastAsia="zh-CN"/>
              </w:rPr>
              <w:t>9</w:t>
            </w:r>
            <w:r>
              <w:rPr>
                <w:rFonts w:hint="eastAsia"/>
                <w:b/>
                <w:color w:val="auto"/>
                <w:highlight w:val="none"/>
              </w:rPr>
              <w:t xml:space="preserve">  山东省</w:t>
            </w:r>
            <w:r>
              <w:rPr>
                <w:b/>
                <w:color w:val="auto"/>
                <w:highlight w:val="none"/>
              </w:rPr>
              <w:t>“两高”项目</w:t>
            </w:r>
            <w:r>
              <w:rPr>
                <w:rFonts w:hint="eastAsia"/>
                <w:b/>
                <w:color w:val="auto"/>
                <w:highlight w:val="none"/>
              </w:rPr>
              <w:t>（2023年版）</w:t>
            </w:r>
          </w:p>
          <w:tbl>
            <w:tblPr>
              <w:tblStyle w:val="24"/>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35"/>
              <w:gridCol w:w="2859"/>
              <w:gridCol w:w="217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序号</w:t>
                  </w:r>
                </w:p>
              </w:tc>
              <w:tc>
                <w:tcPr>
                  <w:tcW w:w="735" w:type="dxa"/>
                  <w:vAlign w:val="center"/>
                </w:tcPr>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产业</w:t>
                  </w:r>
                </w:p>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分类</w:t>
                  </w:r>
                </w:p>
              </w:tc>
              <w:tc>
                <w:tcPr>
                  <w:tcW w:w="2859" w:type="dxa"/>
                  <w:vAlign w:val="center"/>
                </w:tcPr>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产品</w:t>
                  </w:r>
                </w:p>
              </w:tc>
              <w:tc>
                <w:tcPr>
                  <w:tcW w:w="2179" w:type="dxa"/>
                  <w:vAlign w:val="center"/>
                </w:tcPr>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核心设备</w:t>
                  </w:r>
                </w:p>
              </w:tc>
              <w:tc>
                <w:tcPr>
                  <w:tcW w:w="2064" w:type="dxa"/>
                  <w:vAlign w:val="center"/>
                </w:tcPr>
                <w:p>
                  <w:pPr>
                    <w:pStyle w:val="10"/>
                    <w:snapToGrid w:val="0"/>
                    <w:spacing w:before="24" w:after="24" w:line="240" w:lineRule="exact"/>
                    <w:ind w:left="0" w:leftChars="0" w:firstLine="0" w:firstLineChars="0"/>
                    <w:jc w:val="center"/>
                    <w:rPr>
                      <w:b/>
                      <w:bCs/>
                      <w:color w:val="auto"/>
                      <w:sz w:val="21"/>
                      <w:szCs w:val="21"/>
                      <w:highlight w:val="none"/>
                    </w:rPr>
                  </w:pPr>
                  <w:r>
                    <w:rPr>
                      <w:rFonts w:hint="eastAsia"/>
                      <w:b/>
                      <w:bCs/>
                      <w:color w:val="auto"/>
                      <w:sz w:val="21"/>
                      <w:szCs w:val="21"/>
                      <w:highlight w:val="none"/>
                    </w:rPr>
                    <w:t>对应国民经济行业分类及代码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炼化</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汽油、煤油、柴油、燃料油、石脑油、溶剂油、石油气、沥青及其他相关产品、不含一二次炼油之外的质量升级油品</w:t>
                  </w:r>
                </w:p>
              </w:tc>
              <w:tc>
                <w:tcPr>
                  <w:tcW w:w="2179"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一次炼油（常减压）、二次炼油（催化裂化、加氢裂化、催化重整、延迟焦化）</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原油加工及石油制品制造（2511）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乙烯、对二甲苯（PX）</w:t>
                  </w:r>
                </w:p>
              </w:tc>
              <w:tc>
                <w:tcPr>
                  <w:tcW w:w="217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有机化学原料制造（2614）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2</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焦化</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焦炭</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焦炉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炼焦（2521）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3</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煤制液体燃料</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煤制甲醇</w:t>
                  </w:r>
                </w:p>
              </w:tc>
              <w:tc>
                <w:tcPr>
                  <w:tcW w:w="2179"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煤气化炉、合成塔</w:t>
                  </w:r>
                </w:p>
              </w:tc>
              <w:tc>
                <w:tcPr>
                  <w:tcW w:w="2064"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煤制液体燃料生产（2523）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煤制烯烃（乙烯、丙烯）</w:t>
                  </w:r>
                </w:p>
              </w:tc>
              <w:tc>
                <w:tcPr>
                  <w:tcW w:w="217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064"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煤制乙二醇</w:t>
                  </w:r>
                </w:p>
              </w:tc>
              <w:tc>
                <w:tcPr>
                  <w:tcW w:w="217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064"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4</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基础化学原料</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氯碱（烧碱）</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电解槽</w:t>
                  </w:r>
                </w:p>
              </w:tc>
              <w:tc>
                <w:tcPr>
                  <w:tcW w:w="2064"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无机碱制造（2612）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纯碱</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碳化塔</w:t>
                  </w:r>
                </w:p>
              </w:tc>
              <w:tc>
                <w:tcPr>
                  <w:tcW w:w="2064"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lang w:val="zh-CN"/>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lang w:val="zh-CN"/>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电石（碳化钙）</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电石炉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无机盐制造（2613）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lang w:val="zh-CN"/>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lang w:val="zh-CN"/>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黄磷</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黄磷制品设备</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其他基础化学原料制造（2619）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5</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化肥</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合成氨、尿素</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合成氨装置</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氮肥制造（2621）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lang w:val="zh-CN"/>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磷酸一铵、磷酸二铵</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氨化装置</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磷肥制造（2622）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6</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轮胎</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子午胎、斜交胎、摩托车胎等轮胎外胎，不包括内胎和轮胎翻新</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密炼机、硫化机</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轮胎制造（2911）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7</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水泥熟料</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水泥窑</w:t>
                  </w:r>
                </w:p>
              </w:tc>
              <w:tc>
                <w:tcPr>
                  <w:tcW w:w="2064"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水泥制造（3011）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水泥粉磨</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水泥磨机、预粉磨主电动机</w:t>
                  </w:r>
                </w:p>
              </w:tc>
              <w:tc>
                <w:tcPr>
                  <w:tcW w:w="2064"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8</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石灰</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生石灰、消石灰、水硬石灰</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石灰窑</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石灰和石膏制造（3012）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9</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平板</w:t>
                  </w:r>
                </w:p>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玻璃</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普通平板玻璃、浮法平板玻璃、压延玻璃、不包括光伏压延玻璃、基板玻璃</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玻璃熔炉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平板玻璃制造（3041）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10</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陶瓷</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建筑陶瓷、不包括非经高温烧结的发泡陶瓷板等</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辊道和隧道窑</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建筑陶瓷制品制造（3071）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卫生陶瓷</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隧道窑</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卫生陶瓷制品制造（3072）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11</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钢铁</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炼钢用生铁、熔融还原铁</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高炉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炼铁（3110）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非合金钢粗钢、低合金钢粗钢、合金钢粗钢</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转炉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炼钢（3120）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电弧炉、VOD电炉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12</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铸造用生铁</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铸造用生铁</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高炉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炼铁（3110）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13</w:t>
                  </w:r>
                </w:p>
              </w:tc>
              <w:tc>
                <w:tcPr>
                  <w:tcW w:w="735"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铁合金</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硅铁、锰铁合金、高碳铬铁、镍铁及其他铁合金产品</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矿热炉、电弧炉、高炉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铁合金冶炼（3140）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14</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有色</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氧化铝</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煅烧或焙烧炉</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电解铝，不包括再生铝</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电解槽</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阴极铜、阳极铜、粗铜、电解铜</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电解槽</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铜冶炼（3211）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粗铅、电解铅、粗锌、电解锌</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电解槽</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铅锌冶炼（3212）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15</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铸造</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黑色金属铸件</w:t>
                  </w:r>
                </w:p>
              </w:tc>
              <w:tc>
                <w:tcPr>
                  <w:tcW w:w="2179"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电炉等熔炼设备、造型设备</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黑色金属铸造（3391）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有色金属铸件</w:t>
                  </w:r>
                </w:p>
              </w:tc>
              <w:tc>
                <w:tcPr>
                  <w:tcW w:w="217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有色金属铸造（3392）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16</w:t>
                  </w:r>
                </w:p>
              </w:tc>
              <w:tc>
                <w:tcPr>
                  <w:tcW w:w="735"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煤电</w:t>
                  </w:r>
                </w:p>
              </w:tc>
              <w:tc>
                <w:tcPr>
                  <w:tcW w:w="285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电力（燃煤发电、包括煤矸石发电）</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抽凝、纯凝机组</w:t>
                  </w:r>
                </w:p>
              </w:tc>
              <w:tc>
                <w:tcPr>
                  <w:tcW w:w="2064"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火力发电（4411）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电力和热力（热电联产）</w:t>
                  </w: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抽凝机组</w:t>
                  </w:r>
                </w:p>
              </w:tc>
              <w:tc>
                <w:tcPr>
                  <w:tcW w:w="2064" w:type="dxa"/>
                  <w:vMerge w:val="restart"/>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热电联产（4412）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40"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735"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859"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c>
                <w:tcPr>
                  <w:tcW w:w="2179" w:type="dxa"/>
                  <w:vAlign w:val="center"/>
                </w:tcPr>
                <w:p>
                  <w:pPr>
                    <w:pStyle w:val="10"/>
                    <w:snapToGrid w:val="0"/>
                    <w:spacing w:before="24" w:after="24" w:line="240" w:lineRule="exact"/>
                    <w:ind w:left="0" w:leftChars="0" w:firstLine="0" w:firstLineChars="0"/>
                    <w:jc w:val="center"/>
                    <w:rPr>
                      <w:color w:val="auto"/>
                      <w:sz w:val="21"/>
                      <w:szCs w:val="21"/>
                      <w:highlight w:val="none"/>
                    </w:rPr>
                  </w:pPr>
                  <w:r>
                    <w:rPr>
                      <w:rFonts w:hint="eastAsia"/>
                      <w:color w:val="auto"/>
                      <w:sz w:val="21"/>
                      <w:szCs w:val="21"/>
                      <w:highlight w:val="none"/>
                    </w:rPr>
                    <w:t>背压机组</w:t>
                  </w:r>
                </w:p>
              </w:tc>
              <w:tc>
                <w:tcPr>
                  <w:tcW w:w="2064" w:type="dxa"/>
                  <w:vMerge w:val="continue"/>
                  <w:vAlign w:val="center"/>
                </w:tcPr>
                <w:p>
                  <w:pPr>
                    <w:pStyle w:val="10"/>
                    <w:snapToGrid w:val="0"/>
                    <w:spacing w:before="24" w:after="24" w:line="240" w:lineRule="exact"/>
                    <w:ind w:left="0" w:leftChars="0" w:firstLine="0" w:firstLineChars="0"/>
                    <w:jc w:val="center"/>
                    <w:rPr>
                      <w:color w:val="auto"/>
                      <w:sz w:val="21"/>
                      <w:szCs w:val="21"/>
                      <w:highlight w:val="none"/>
                    </w:rPr>
                  </w:pPr>
                </w:p>
              </w:tc>
            </w:tr>
          </w:tbl>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备注：“两高”项目的范围以产品和核心设备界定。</w:t>
            </w:r>
          </w:p>
          <w:p>
            <w:pPr>
              <w:adjustRightInd w:val="0"/>
              <w:snapToGrid w:val="0"/>
              <w:spacing w:line="360" w:lineRule="auto"/>
              <w:ind w:firstLine="480" w:firstLineChars="200"/>
              <w:rPr>
                <w:color w:val="auto"/>
                <w:sz w:val="24"/>
                <w:szCs w:val="24"/>
                <w:highlight w:val="none"/>
              </w:rPr>
            </w:pPr>
            <w:r>
              <w:rPr>
                <w:color w:val="auto"/>
                <w:sz w:val="24"/>
                <w:szCs w:val="24"/>
                <w:highlight w:val="none"/>
              </w:rPr>
              <w:t>本项目</w:t>
            </w:r>
            <w:r>
              <w:rPr>
                <w:rFonts w:hint="eastAsia"/>
                <w:color w:val="auto"/>
                <w:sz w:val="24"/>
                <w:szCs w:val="24"/>
                <w:highlight w:val="none"/>
              </w:rPr>
              <w:t>行业类别</w:t>
            </w:r>
            <w:r>
              <w:rPr>
                <w:color w:val="auto"/>
                <w:sz w:val="24"/>
                <w:szCs w:val="24"/>
                <w:highlight w:val="none"/>
              </w:rPr>
              <w:t>为</w:t>
            </w:r>
            <w:r>
              <w:rPr>
                <w:rFonts w:hint="default" w:ascii="Times New Roman" w:hAnsi="Times New Roman" w:eastAsia="宋体" w:cs="Times New Roman"/>
                <w:color w:val="auto"/>
                <w:sz w:val="24"/>
                <w:szCs w:val="24"/>
                <w:highlight w:val="none"/>
                <w:lang w:val="en-US" w:eastAsia="zh-CN"/>
              </w:rPr>
              <w:t>C2921塑料薄膜制造</w:t>
            </w:r>
            <w:r>
              <w:rPr>
                <w:rFonts w:hint="eastAsia"/>
                <w:color w:val="auto"/>
                <w:sz w:val="24"/>
                <w:szCs w:val="24"/>
                <w:highlight w:val="none"/>
              </w:rPr>
              <w:t>，不涉及上表中的产品和核心设备，不属于“两高”项目。</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eastAsia="zh-CN"/>
              </w:rPr>
              <w:t>（</w:t>
            </w:r>
            <w:r>
              <w:rPr>
                <w:rFonts w:hint="eastAsia" w:ascii="Times New Roman" w:hAnsi="Times New Roman" w:eastAsia="宋体" w:cs="Times New Roman"/>
                <w:b/>
                <w:sz w:val="24"/>
                <w:szCs w:val="24"/>
                <w:highlight w:val="none"/>
                <w:lang w:val="en-US" w:eastAsia="zh-CN"/>
              </w:rPr>
              <w:t>4</w:t>
            </w:r>
            <w:r>
              <w:rPr>
                <w:rFonts w:hint="eastAsia" w:ascii="Times New Roman" w:hAnsi="Times New Roman" w:eastAsia="宋体" w:cs="Times New Roman"/>
                <w:b/>
                <w:sz w:val="24"/>
                <w:szCs w:val="24"/>
                <w:highlight w:val="none"/>
                <w:lang w:eastAsia="zh-CN"/>
              </w:rPr>
              <w:t>）与</w:t>
            </w:r>
            <w:r>
              <w:rPr>
                <w:rFonts w:hint="default" w:ascii="Times New Roman" w:hAnsi="Times New Roman" w:eastAsia="宋体" w:cs="Times New Roman"/>
                <w:b/>
                <w:sz w:val="24"/>
                <w:szCs w:val="24"/>
                <w:highlight w:val="none"/>
              </w:rPr>
              <w:t>《</w:t>
            </w:r>
            <w:r>
              <w:rPr>
                <w:rFonts w:hint="eastAsia" w:ascii="Times New Roman" w:hAnsi="Times New Roman" w:eastAsia="宋体" w:cs="Times New Roman"/>
                <w:b/>
                <w:sz w:val="24"/>
                <w:szCs w:val="24"/>
                <w:highlight w:val="none"/>
              </w:rPr>
              <w:t>国家发展改革委 生态环境部关于印发“十四五”塑料污染治理行动方案的通知</w:t>
            </w:r>
            <w:r>
              <w:rPr>
                <w:rFonts w:hint="default" w:ascii="Times New Roman" w:hAnsi="Times New Roman" w:eastAsia="宋体" w:cs="Times New Roman"/>
                <w:b/>
                <w:sz w:val="24"/>
                <w:szCs w:val="24"/>
                <w:highlight w:val="none"/>
              </w:rPr>
              <w:t>》（发改环资〔2021〕1298号）符合性分析</w:t>
            </w:r>
          </w:p>
          <w:p>
            <w:pPr>
              <w:numPr>
                <w:ilvl w:val="0"/>
                <w:numId w:val="0"/>
              </w:numPr>
              <w:spacing w:line="360" w:lineRule="auto"/>
              <w:ind w:leftChars="200"/>
              <w:jc w:val="center"/>
              <w:rPr>
                <w:b/>
                <w:sz w:val="24"/>
                <w:szCs w:val="24"/>
                <w:highlight w:val="none"/>
              </w:rPr>
            </w:pPr>
            <w:r>
              <w:rPr>
                <w:rFonts w:hint="default" w:ascii="Times New Roman" w:hAnsi="Times New Roman" w:cs="Times New Roman"/>
                <w:b/>
                <w:sz w:val="21"/>
                <w:szCs w:val="21"/>
                <w:highlight w:val="none"/>
              </w:rPr>
              <w:t>表1-</w:t>
            </w:r>
            <w:r>
              <w:rPr>
                <w:rFonts w:hint="eastAsia" w:cs="Times New Roman"/>
                <w:b/>
                <w:sz w:val="21"/>
                <w:szCs w:val="21"/>
                <w:highlight w:val="none"/>
                <w:lang w:val="en-US" w:eastAsia="zh-CN"/>
              </w:rPr>
              <w:t>10</w:t>
            </w:r>
            <w:r>
              <w:rPr>
                <w:rFonts w:hint="default" w:ascii="Times New Roman" w:hAnsi="Times New Roman" w:cs="Times New Roman"/>
                <w:b/>
                <w:sz w:val="21"/>
                <w:szCs w:val="21"/>
                <w:highlight w:val="none"/>
              </w:rPr>
              <w:t xml:space="preserve">  本项目建设与发改环资〔2021〕1298号符合性分析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4200"/>
              <w:gridCol w:w="195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2"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类别</w:t>
                  </w:r>
                </w:p>
              </w:tc>
              <w:tc>
                <w:tcPr>
                  <w:tcW w:w="2526"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146号文要求</w:t>
                  </w:r>
                </w:p>
              </w:tc>
              <w:tc>
                <w:tcPr>
                  <w:tcW w:w="1173"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本项目情况</w:t>
                  </w:r>
                </w:p>
              </w:tc>
              <w:tc>
                <w:tcPr>
                  <w:tcW w:w="407"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2" w:type="pct"/>
                  <w:noWrap w:val="0"/>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val="0"/>
                      <w:bCs w:val="0"/>
                      <w:sz w:val="21"/>
                      <w:szCs w:val="21"/>
                      <w:highlight w:val="none"/>
                    </w:rPr>
                    <w:t>积极推动塑料生产和使用源头减量</w:t>
                  </w:r>
                </w:p>
              </w:tc>
              <w:tc>
                <w:tcPr>
                  <w:tcW w:w="2526" w:type="pct"/>
                  <w:noWrap w:val="0"/>
                  <w:vAlign w:val="center"/>
                </w:tcPr>
                <w:p>
                  <w:pPr>
                    <w:jc w:val="left"/>
                    <w:rPr>
                      <w:rFonts w:hint="default" w:ascii="Times New Roman" w:hAnsi="Times New Roman" w:cs="Times New Roman"/>
                      <w:b/>
                      <w:bCs/>
                      <w:sz w:val="21"/>
                      <w:szCs w:val="21"/>
                      <w:highlight w:val="none"/>
                    </w:rPr>
                  </w:pPr>
                  <w:r>
                    <w:rPr>
                      <w:rFonts w:hint="default" w:ascii="Times New Roman" w:hAnsi="Times New Roman" w:cs="Times New Roman"/>
                      <w:b w:val="0"/>
                      <w:bCs w:val="0"/>
                      <w:sz w:val="21"/>
                      <w:szCs w:val="21"/>
                      <w:highlight w:val="none"/>
                    </w:rPr>
                    <w:t>以一次性塑料制品为重点，制定绿色设计相关标准，优化产品结构设计，减少产品材料设计复杂度，增强塑料制品易回收利用性。禁止生产厚度小于0.025毫米的超薄塑料购物袋、厚度小于0.01毫米的聚乙烯农用地膜、含塑料微珠日化产品等部分危害环境和人体健康的产品。</w:t>
                  </w:r>
                </w:p>
              </w:tc>
              <w:tc>
                <w:tcPr>
                  <w:tcW w:w="1173" w:type="pct"/>
                  <w:noWrap w:val="0"/>
                  <w:vAlign w:val="center"/>
                </w:tcPr>
                <w:p>
                  <w:pPr>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cs="Times New Roman"/>
                      <w:b w:val="0"/>
                      <w:bCs w:val="0"/>
                      <w:sz w:val="21"/>
                      <w:szCs w:val="21"/>
                      <w:highlight w:val="none"/>
                      <w:lang w:eastAsia="zh-CN"/>
                    </w:rPr>
                    <w:t>本项目产品为</w:t>
                  </w:r>
                  <w:r>
                    <w:rPr>
                      <w:rFonts w:hint="eastAsia" w:cs="Times New Roman"/>
                      <w:b w:val="0"/>
                      <w:bCs w:val="0"/>
                      <w:color w:val="auto"/>
                      <w:sz w:val="21"/>
                      <w:szCs w:val="21"/>
                      <w:highlight w:val="none"/>
                      <w:lang w:eastAsia="zh-CN"/>
                    </w:rPr>
                    <w:t>工业薄膜，厚度大于</w:t>
                  </w:r>
                  <w:r>
                    <w:rPr>
                      <w:rFonts w:hint="eastAsia" w:cs="Times New Roman"/>
                      <w:b w:val="0"/>
                      <w:bCs w:val="0"/>
                      <w:color w:val="auto"/>
                      <w:sz w:val="21"/>
                      <w:szCs w:val="21"/>
                      <w:highlight w:val="none"/>
                      <w:lang w:val="en-US" w:eastAsia="zh-CN"/>
                    </w:rPr>
                    <w:t>0.025毫米，</w:t>
                  </w:r>
                  <w:r>
                    <w:rPr>
                      <w:rFonts w:hint="default" w:ascii="Times New Roman" w:hAnsi="Times New Roman" w:cs="Times New Roman"/>
                      <w:sz w:val="21"/>
                      <w:szCs w:val="21"/>
                      <w:highlight w:val="none"/>
                    </w:rPr>
                    <w:t>设计符合相关规范要求</w:t>
                  </w:r>
                </w:p>
              </w:tc>
              <w:tc>
                <w:tcPr>
                  <w:tcW w:w="407" w:type="pct"/>
                  <w:noWrap w:val="0"/>
                  <w:vAlign w:val="center"/>
                </w:tcPr>
                <w:p>
                  <w:pPr>
                    <w:jc w:val="center"/>
                    <w:rPr>
                      <w:rFonts w:hint="eastAsia" w:ascii="Times New Roman" w:hAnsi="Times New Roman" w:eastAsia="宋体" w:cs="Times New Roman"/>
                      <w:b/>
                      <w:bCs/>
                      <w:sz w:val="21"/>
                      <w:szCs w:val="21"/>
                      <w:highlight w:val="none"/>
                      <w:lang w:eastAsia="zh-CN"/>
                    </w:rPr>
                  </w:pPr>
                  <w:r>
                    <w:rPr>
                      <w:rFonts w:hint="eastAsia" w:ascii="Times New Roman" w:hAnsi="Times New Roman" w:cs="Times New Roman"/>
                      <w:b/>
                      <w:bCs/>
                      <w:sz w:val="21"/>
                      <w:szCs w:val="21"/>
                      <w:highlight w:val="none"/>
                      <w:lang w:eastAsia="zh-CN"/>
                    </w:rPr>
                    <w:t>符合</w:t>
                  </w:r>
                </w:p>
              </w:tc>
            </w:tr>
          </w:tbl>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default" w:ascii="Times New Roman" w:hAnsi="Times New Roman" w:cs="Times New Roman"/>
                <w:b/>
                <w:color w:val="000000"/>
                <w:sz w:val="24"/>
                <w:szCs w:val="24"/>
                <w:highlight w:val="none"/>
              </w:rPr>
            </w:pPr>
            <w:r>
              <w:rPr>
                <w:rFonts w:hint="default" w:ascii="Times New Roman" w:hAnsi="Times New Roman" w:cs="Times New Roman"/>
                <w:b/>
                <w:sz w:val="24"/>
                <w:szCs w:val="24"/>
                <w:highlight w:val="none"/>
              </w:rPr>
              <w:t>（</w:t>
            </w:r>
            <w:r>
              <w:rPr>
                <w:rFonts w:hint="eastAsia" w:cs="Times New Roman"/>
                <w:b/>
                <w:sz w:val="24"/>
                <w:szCs w:val="24"/>
                <w:highlight w:val="none"/>
                <w:lang w:val="en-US" w:eastAsia="zh-CN"/>
              </w:rPr>
              <w:t>5</w:t>
            </w:r>
            <w:r>
              <w:rPr>
                <w:rFonts w:hint="default" w:ascii="Times New Roman" w:hAnsi="Times New Roman" w:cs="Times New Roman"/>
                <w:b/>
                <w:sz w:val="24"/>
                <w:szCs w:val="24"/>
                <w:highlight w:val="none"/>
              </w:rPr>
              <w:t>）</w:t>
            </w:r>
            <w:r>
              <w:rPr>
                <w:rFonts w:hint="default" w:ascii="Times New Roman" w:hAnsi="Times New Roman" w:cs="Times New Roman"/>
                <w:b/>
                <w:color w:val="000000"/>
                <w:sz w:val="24"/>
                <w:szCs w:val="24"/>
                <w:highlight w:val="none"/>
              </w:rPr>
              <w:t>与《山东省涉挥发性有机物企业分行业治理指导意见》（鲁环发[2019]146号）符合性分析</w:t>
            </w:r>
          </w:p>
          <w:p>
            <w:pPr>
              <w:spacing w:line="360" w:lineRule="auto"/>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表1-</w:t>
            </w:r>
            <w:r>
              <w:rPr>
                <w:rFonts w:hint="eastAsia" w:cs="Times New Roman"/>
                <w:b/>
                <w:sz w:val="21"/>
                <w:szCs w:val="21"/>
                <w:highlight w:val="none"/>
                <w:lang w:val="en-US" w:eastAsia="zh-CN"/>
              </w:rPr>
              <w:t>11</w:t>
            </w:r>
            <w:r>
              <w:rPr>
                <w:rFonts w:hint="default" w:ascii="Times New Roman" w:hAnsi="Times New Roman" w:cs="Times New Roman"/>
                <w:b/>
                <w:sz w:val="21"/>
                <w:szCs w:val="21"/>
                <w:highlight w:val="none"/>
              </w:rPr>
              <w:t xml:space="preserve">  本项目建设与《山东省涉挥发性有机物企业分行业治理指导意见》符合性分析</w:t>
            </w:r>
          </w:p>
          <w:tbl>
            <w:tblPr>
              <w:tblStyle w:val="2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80"/>
              <w:gridCol w:w="4090"/>
              <w:gridCol w:w="198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类别</w:t>
                  </w: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146号文要求</w:t>
                  </w:r>
                </w:p>
              </w:tc>
              <w:tc>
                <w:tcPr>
                  <w:tcW w:w="1191"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本项目情况</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restar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总体要求</w:t>
                  </w: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推进源头替代。通过使用水性、粉末、高固体分、无溶剂、辐射</w:t>
                  </w:r>
                  <w:r>
                    <w:rPr>
                      <w:rFonts w:hint="default" w:ascii="Times New Roman" w:hAnsi="Times New Roman" w:cs="Times New Roman"/>
                      <w:sz w:val="21"/>
                      <w:szCs w:val="21"/>
                      <w:highlight w:val="none"/>
                      <w:lang w:eastAsia="zh-CN"/>
                    </w:rPr>
                    <w:t>烘干</w:t>
                  </w:r>
                  <w:r>
                    <w:rPr>
                      <w:rFonts w:hint="default" w:ascii="Times New Roman" w:hAnsi="Times New Roman" w:cs="Times New Roman"/>
                      <w:sz w:val="21"/>
                      <w:szCs w:val="21"/>
                      <w:highlight w:val="none"/>
                    </w:rPr>
                    <w:t>等低VOCs含量的涂料，水性、辐射</w:t>
                  </w:r>
                  <w:r>
                    <w:rPr>
                      <w:rFonts w:hint="default" w:ascii="Times New Roman" w:hAnsi="Times New Roman" w:cs="Times New Roman"/>
                      <w:sz w:val="21"/>
                      <w:szCs w:val="21"/>
                      <w:highlight w:val="none"/>
                      <w:lang w:eastAsia="zh-CN"/>
                    </w:rPr>
                    <w:t>烘干</w:t>
                  </w:r>
                  <w:r>
                    <w:rPr>
                      <w:rFonts w:hint="default" w:ascii="Times New Roman" w:hAnsi="Times New Roman" w:cs="Times New Roman"/>
                      <w:sz w:val="21"/>
                      <w:szCs w:val="21"/>
                      <w:highlight w:val="none"/>
                    </w:rPr>
                    <w:t>、植物基等低VOCs含量的油墨，水基、热熔、无溶剂、辐射</w:t>
                  </w:r>
                  <w:r>
                    <w:rPr>
                      <w:rFonts w:hint="default" w:ascii="Times New Roman" w:hAnsi="Times New Roman" w:cs="Times New Roman"/>
                      <w:sz w:val="21"/>
                      <w:szCs w:val="21"/>
                      <w:highlight w:val="none"/>
                      <w:lang w:eastAsia="zh-CN"/>
                    </w:rPr>
                    <w:t>烘干</w:t>
                  </w:r>
                  <w:r>
                    <w:rPr>
                      <w:rFonts w:hint="default" w:ascii="Times New Roman" w:hAnsi="Times New Roman" w:cs="Times New Roman"/>
                      <w:sz w:val="21"/>
                      <w:szCs w:val="21"/>
                      <w:highlight w:val="none"/>
                    </w:rPr>
                    <w:t>、改性、生物降解等低VOCs含量的胶粘剂，以及低VOCs含量、低反应活性的清洗剂等，替代溶剂型涂料、油墨、胶粘剂、清洗剂等，从源头减少VOCs产生。</w:t>
                  </w:r>
                </w:p>
              </w:tc>
              <w:tc>
                <w:tcPr>
                  <w:tcW w:w="1191"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color w:val="0D0D0D" w:themeColor="text1" w:themeTint="F2"/>
                      <w:sz w:val="21"/>
                      <w:szCs w:val="21"/>
                      <w:highlight w:val="none"/>
                      <w:lang w:eastAsia="zh-CN"/>
                      <w14:textFill>
                        <w14:solidFill>
                          <w14:schemeClr w14:val="tx1">
                            <w14:lumMod w14:val="95000"/>
                            <w14:lumOff w14:val="5000"/>
                          </w14:schemeClr>
                        </w14:solidFill>
                      </w14:textFill>
                    </w:rPr>
                    <w:t>本项目</w:t>
                  </w:r>
                  <w:r>
                    <w:rPr>
                      <w:rFonts w:hint="eastAsia" w:cs="Times New Roman"/>
                      <w:color w:val="0D0D0D" w:themeColor="text1" w:themeTint="F2"/>
                      <w:sz w:val="21"/>
                      <w:szCs w:val="21"/>
                      <w:highlight w:val="none"/>
                      <w:lang w:eastAsia="zh-CN"/>
                      <w14:textFill>
                        <w14:solidFill>
                          <w14:schemeClr w14:val="tx1">
                            <w14:lumMod w14:val="95000"/>
                            <w14:lumOff w14:val="5000"/>
                          </w14:schemeClr>
                        </w14:solidFill>
                      </w14:textFill>
                    </w:rPr>
                    <w:t>主要为</w:t>
                  </w:r>
                  <w:r>
                    <w:rPr>
                      <w:rFonts w:hint="default" w:ascii="Times New Roman" w:hAnsi="Times New Roman" w:cs="Times New Roman"/>
                      <w:color w:val="0D0D0D" w:themeColor="text1" w:themeTint="F2"/>
                      <w:sz w:val="21"/>
                      <w:szCs w:val="21"/>
                      <w:highlight w:val="none"/>
                      <w:lang w:eastAsia="zh-CN"/>
                      <w14:textFill>
                        <w14:solidFill>
                          <w14:schemeClr w14:val="tx1">
                            <w14:lumMod w14:val="95000"/>
                            <w14:lumOff w14:val="5000"/>
                          </w14:schemeClr>
                        </w14:solidFill>
                      </w14:textFill>
                    </w:rPr>
                    <w:t>聚乙烯</w:t>
                  </w:r>
                  <w:r>
                    <w:rPr>
                      <w:rFonts w:hint="eastAsia" w:cs="Times New Roman"/>
                      <w:color w:val="0D0D0D" w:themeColor="text1" w:themeTint="F2"/>
                      <w:sz w:val="21"/>
                      <w:szCs w:val="21"/>
                      <w:highlight w:val="none"/>
                      <w:lang w:eastAsia="zh-CN"/>
                      <w14:textFill>
                        <w14:solidFill>
                          <w14:schemeClr w14:val="tx1">
                            <w14:lumMod w14:val="95000"/>
                            <w14:lumOff w14:val="5000"/>
                          </w14:schemeClr>
                        </w14:solidFill>
                      </w14:textFill>
                    </w:rPr>
                    <w:t>颗粒、聚丙烯颗粒</w:t>
                  </w:r>
                  <w:r>
                    <w:rPr>
                      <w:rFonts w:hint="default" w:ascii="Times New Roman" w:hAnsi="Times New Roman" w:cs="Times New Roman"/>
                      <w:color w:val="0D0D0D" w:themeColor="text1" w:themeTint="F2"/>
                      <w:sz w:val="21"/>
                      <w:szCs w:val="21"/>
                      <w:highlight w:val="none"/>
                      <w:lang w:eastAsia="zh-CN"/>
                      <w14:textFill>
                        <w14:solidFill>
                          <w14:schemeClr w14:val="tx1">
                            <w14:lumMod w14:val="95000"/>
                            <w14:lumOff w14:val="5000"/>
                          </w14:schemeClr>
                        </w14:solidFill>
                      </w14:textFill>
                    </w:rPr>
                    <w:t>，</w:t>
                  </w:r>
                  <w:r>
                    <w:rPr>
                      <w:rFonts w:hint="eastAsia" w:cs="Times New Roman"/>
                      <w:color w:val="0D0D0D" w:themeColor="text1" w:themeTint="F2"/>
                      <w:sz w:val="21"/>
                      <w:szCs w:val="21"/>
                      <w:highlight w:val="none"/>
                      <w:lang w:eastAsia="zh-CN"/>
                      <w14:textFill>
                        <w14:solidFill>
                          <w14:schemeClr w14:val="tx1">
                            <w14:lumMod w14:val="95000"/>
                            <w14:lumOff w14:val="5000"/>
                          </w14:schemeClr>
                        </w14:solidFill>
                      </w14:textFill>
                    </w:rPr>
                    <w:t>在加热吹膜与回用造粒环节产生</w:t>
                  </w:r>
                  <w:r>
                    <w:rPr>
                      <w:rFonts w:hint="eastAsia" w:cs="Times New Roman"/>
                      <w:color w:val="0D0D0D" w:themeColor="text1" w:themeTint="F2"/>
                      <w:sz w:val="21"/>
                      <w:szCs w:val="21"/>
                      <w:highlight w:val="none"/>
                      <w:lang w:val="en-US" w:eastAsia="zh-CN"/>
                      <w14:textFill>
                        <w14:solidFill>
                          <w14:schemeClr w14:val="tx1">
                            <w14:lumMod w14:val="95000"/>
                            <w14:lumOff w14:val="5000"/>
                          </w14:schemeClr>
                        </w14:solidFill>
                      </w14:textFill>
                    </w:rPr>
                    <w:t>VOCs</w:t>
                  </w:r>
                  <w:r>
                    <w:rPr>
                      <w:rFonts w:hint="eastAsia" w:cs="Times New Roman"/>
                      <w:color w:val="0D0D0D" w:themeColor="text1" w:themeTint="F2"/>
                      <w:sz w:val="21"/>
                      <w:szCs w:val="21"/>
                      <w:highlight w:val="none"/>
                      <w:lang w:eastAsia="zh-CN"/>
                      <w14:textFill>
                        <w14:solidFill>
                          <w14:schemeClr w14:val="tx1">
                            <w14:lumMod w14:val="95000"/>
                            <w14:lumOff w14:val="5000"/>
                          </w14:schemeClr>
                        </w14:solidFill>
                      </w14:textFill>
                    </w:rPr>
                    <w:t>，</w:t>
                  </w:r>
                  <w:r>
                    <w:rPr>
                      <w:rFonts w:hint="default" w:ascii="Times New Roman" w:hAnsi="Times New Roman" w:cs="Times New Roman"/>
                      <w:color w:val="000000"/>
                      <w:sz w:val="21"/>
                      <w:szCs w:val="21"/>
                      <w:highlight w:val="none"/>
                    </w:rPr>
                    <w:t>经</w:t>
                  </w:r>
                  <w:r>
                    <w:rPr>
                      <w:rFonts w:hint="default" w:ascii="Times New Roman" w:hAnsi="Times New Roman" w:cs="Times New Roman"/>
                      <w:color w:val="000000"/>
                      <w:sz w:val="21"/>
                      <w:szCs w:val="21"/>
                      <w:highlight w:val="none"/>
                      <w:lang w:eastAsia="zh-CN"/>
                    </w:rPr>
                    <w:t>过集气罩管道收集至</w:t>
                  </w:r>
                  <w:r>
                    <w:rPr>
                      <w:rFonts w:hint="eastAsia" w:cs="Times New Roman"/>
                      <w:color w:val="0D0D0D" w:themeColor="text1" w:themeTint="F2"/>
                      <w:sz w:val="21"/>
                      <w:szCs w:val="21"/>
                      <w:highlight w:val="none"/>
                      <w:lang w:eastAsia="zh-CN"/>
                      <w14:textFill>
                        <w14:solidFill>
                          <w14:schemeClr w14:val="tx1">
                            <w14:lumMod w14:val="95000"/>
                            <w14:lumOff w14:val="5000"/>
                          </w14:schemeClr>
                        </w14:solidFill>
                      </w14:textFill>
                    </w:rPr>
                    <w:t>二级活性炭吸附装置，</w:t>
                  </w:r>
                  <w:r>
                    <w:rPr>
                      <w:rFonts w:hint="default" w:ascii="Times New Roman" w:hAnsi="Times New Roman" w:cs="Times New Roman"/>
                      <w:color w:val="000000"/>
                      <w:sz w:val="21"/>
                      <w:szCs w:val="21"/>
                      <w:highlight w:val="none"/>
                    </w:rPr>
                    <w:t>处理后通过</w:t>
                  </w:r>
                  <w:r>
                    <w:rPr>
                      <w:rFonts w:hint="default" w:ascii="Times New Roman" w:hAnsi="Times New Roman" w:cs="Times New Roman"/>
                      <w:color w:val="000000"/>
                      <w:sz w:val="21"/>
                      <w:szCs w:val="21"/>
                      <w:highlight w:val="none"/>
                      <w:lang w:val="en-US" w:eastAsia="zh-CN"/>
                    </w:rPr>
                    <w:t>15m</w:t>
                  </w:r>
                  <w:r>
                    <w:rPr>
                      <w:rFonts w:hint="default" w:ascii="Times New Roman" w:hAnsi="Times New Roman" w:cs="Times New Roman"/>
                      <w:color w:val="000000"/>
                      <w:sz w:val="21"/>
                      <w:szCs w:val="21"/>
                      <w:highlight w:val="none"/>
                    </w:rPr>
                    <w:t>排气筒排放</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7" w:hRule="atLeast"/>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收集运输、储存和处理过程，应加盖密闭。含VOCs物料生产和使用过程，应采取有效收集措施或在密闭空间中操作。</w:t>
                  </w:r>
                </w:p>
              </w:tc>
              <w:tc>
                <w:tcPr>
                  <w:tcW w:w="1191"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w:t>
                  </w:r>
                  <w:r>
                    <w:rPr>
                      <w:rFonts w:hint="eastAsia" w:cs="Times New Roman"/>
                      <w:sz w:val="21"/>
                      <w:szCs w:val="21"/>
                      <w:highlight w:val="none"/>
                      <w:lang w:eastAsia="zh-CN"/>
                    </w:rPr>
                    <w:t>产生</w:t>
                  </w:r>
                  <w:r>
                    <w:rPr>
                      <w:rFonts w:hint="default" w:ascii="Times New Roman" w:hAnsi="Times New Roman" w:cs="Times New Roman"/>
                      <w:color w:val="000000"/>
                      <w:sz w:val="21"/>
                      <w:szCs w:val="21"/>
                      <w:highlight w:val="none"/>
                    </w:rPr>
                    <w:t>的VOCs经</w:t>
                  </w:r>
                  <w:r>
                    <w:rPr>
                      <w:rFonts w:hint="default" w:ascii="Times New Roman" w:hAnsi="Times New Roman" w:cs="Times New Roman"/>
                      <w:color w:val="000000"/>
                      <w:sz w:val="21"/>
                      <w:szCs w:val="21"/>
                      <w:highlight w:val="none"/>
                      <w:lang w:eastAsia="zh-CN"/>
                    </w:rPr>
                    <w:t>过集气罩管道收集至二级</w:t>
                  </w:r>
                  <w:r>
                    <w:rPr>
                      <w:rFonts w:hint="default" w:ascii="Times New Roman" w:hAnsi="Times New Roman" w:cs="Times New Roman"/>
                      <w:color w:val="000000"/>
                      <w:sz w:val="21"/>
                      <w:szCs w:val="21"/>
                      <w:highlight w:val="none"/>
                    </w:rPr>
                    <w:t>活性炭吸附装置</w:t>
                  </w:r>
                  <w:r>
                    <w:rPr>
                      <w:rFonts w:hint="eastAsia" w:cs="Times New Roman"/>
                      <w:color w:val="000000"/>
                      <w:sz w:val="21"/>
                      <w:szCs w:val="21"/>
                      <w:highlight w:val="none"/>
                      <w:lang w:eastAsia="zh-CN"/>
                    </w:rPr>
                    <w:t>，</w:t>
                  </w:r>
                  <w:r>
                    <w:rPr>
                      <w:rFonts w:hint="default" w:ascii="Times New Roman" w:hAnsi="Times New Roman" w:cs="Times New Roman"/>
                      <w:color w:val="000000"/>
                      <w:sz w:val="21"/>
                      <w:szCs w:val="21"/>
                      <w:highlight w:val="none"/>
                    </w:rPr>
                    <w:t>处理后通过</w:t>
                  </w:r>
                  <w:r>
                    <w:rPr>
                      <w:rFonts w:hint="default" w:ascii="Times New Roman" w:hAnsi="Times New Roman" w:cs="Times New Roman"/>
                      <w:color w:val="000000"/>
                      <w:sz w:val="21"/>
                      <w:szCs w:val="21"/>
                      <w:highlight w:val="none"/>
                      <w:lang w:val="en-US" w:eastAsia="zh-CN"/>
                    </w:rPr>
                    <w:t>15m</w:t>
                  </w:r>
                  <w:r>
                    <w:rPr>
                      <w:rFonts w:hint="default" w:ascii="Times New Roman" w:hAnsi="Times New Roman" w:cs="Times New Roman"/>
                      <w:color w:val="000000"/>
                      <w:sz w:val="21"/>
                      <w:szCs w:val="21"/>
                      <w:highlight w:val="none"/>
                    </w:rPr>
                    <w:t>排气筒排放</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推进使用先进生产工艺。通过采用全密闭、连续化、自动化等生产技术，以及高效工艺与设备等，减少工艺过程无组织排放。挥发性有机液体装载优先采用底部装载方式。</w:t>
                  </w:r>
                </w:p>
              </w:tc>
              <w:tc>
                <w:tcPr>
                  <w:tcW w:w="1191"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不涉及挥发性有机液体的装载</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遵循“应收尽收、分质收集”的原则，科学设计废气收集系统，将无组织排放转变为有组织排放进行控制。采用全密闭措施的，除行业有特殊要求外，应保持微负压状态，并根据相关规范合理设置配风量。采用局部集气罩的，距集气罩开口面最远处的VOCs无组织排放位置，控制风速应不低于0.3米/秒，有行业要求的按照相关规定执行；集气罩的设计、安装应符合《机械安全 局部排气通风系统安全要求》（GB/T </w:t>
                  </w:r>
                  <w:r>
                    <w:rPr>
                      <w:rFonts w:hint="default" w:ascii="Times New Roman" w:hAnsi="Times New Roman" w:cs="Times New Roman"/>
                      <w:sz w:val="21"/>
                      <w:szCs w:val="21"/>
                      <w:highlight w:val="none"/>
                      <w:lang w:eastAsia="zh-CN"/>
                    </w:rPr>
                    <w:t>1325</w:t>
                  </w:r>
                  <w:r>
                    <w:rPr>
                      <w:rFonts w:hint="default" w:ascii="Times New Roman" w:hAnsi="Times New Roman" w:cs="Times New Roman"/>
                      <w:sz w:val="21"/>
                      <w:szCs w:val="21"/>
                      <w:highlight w:val="none"/>
                    </w:rPr>
                    <w:t>7），通风管路设计应符合《通风管道技术规程》（JGJ/T141）等相关规范要求，VOCs废气管路不得与其他废气管路合并。</w:t>
                  </w:r>
                </w:p>
              </w:tc>
              <w:tc>
                <w:tcPr>
                  <w:tcW w:w="1191"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项目对有机废气产生节点均进行了收集，集气罩、通风管路设计符合相关规范要求</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推进建设适宜高效的治污设施。企业新建治污设施或对现有治污设施实施改造，应依据排放废气的浓度、组分、风量，温度、湿度、压力，以及生产工况等，合理选择治理技术。鼓励企业采用多种技术的组合工艺，提高VOCs治理效率。</w:t>
                  </w:r>
                </w:p>
              </w:tc>
              <w:tc>
                <w:tcPr>
                  <w:tcW w:w="1191"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w:t>
                  </w:r>
                  <w:r>
                    <w:rPr>
                      <w:rFonts w:hint="eastAsia" w:cs="Times New Roman"/>
                      <w:sz w:val="21"/>
                      <w:szCs w:val="21"/>
                      <w:highlight w:val="none"/>
                      <w:lang w:eastAsia="zh-CN"/>
                    </w:rPr>
                    <w:t>产生</w:t>
                  </w:r>
                  <w:r>
                    <w:rPr>
                      <w:rFonts w:hint="default" w:ascii="Times New Roman" w:hAnsi="Times New Roman" w:cs="Times New Roman"/>
                      <w:color w:val="000000"/>
                      <w:sz w:val="21"/>
                      <w:szCs w:val="21"/>
                      <w:highlight w:val="none"/>
                    </w:rPr>
                    <w:t>的VOCs经</w:t>
                  </w:r>
                  <w:r>
                    <w:rPr>
                      <w:rFonts w:hint="default" w:ascii="Times New Roman" w:hAnsi="Times New Roman" w:cs="Times New Roman"/>
                      <w:color w:val="000000"/>
                      <w:sz w:val="21"/>
                      <w:szCs w:val="21"/>
                      <w:highlight w:val="none"/>
                      <w:lang w:eastAsia="zh-CN"/>
                    </w:rPr>
                    <w:t>过集气罩管道收集至二级</w:t>
                  </w:r>
                  <w:r>
                    <w:rPr>
                      <w:rFonts w:hint="default" w:ascii="Times New Roman" w:hAnsi="Times New Roman" w:cs="Times New Roman"/>
                      <w:color w:val="000000"/>
                      <w:sz w:val="21"/>
                      <w:szCs w:val="21"/>
                      <w:highlight w:val="none"/>
                    </w:rPr>
                    <w:t>活性炭吸附装置处理后通过</w:t>
                  </w:r>
                  <w:r>
                    <w:rPr>
                      <w:rFonts w:hint="default" w:ascii="Times New Roman" w:hAnsi="Times New Roman" w:cs="Times New Roman"/>
                      <w:color w:val="000000"/>
                      <w:sz w:val="21"/>
                      <w:szCs w:val="21"/>
                      <w:highlight w:val="none"/>
                      <w:lang w:val="en-US" w:eastAsia="zh-CN"/>
                    </w:rPr>
                    <w:t>15m</w:t>
                  </w:r>
                  <w:r>
                    <w:rPr>
                      <w:rFonts w:hint="default" w:ascii="Times New Roman" w:hAnsi="Times New Roman" w:cs="Times New Roman"/>
                      <w:color w:val="000000"/>
                      <w:sz w:val="21"/>
                      <w:szCs w:val="21"/>
                      <w:highlight w:val="none"/>
                    </w:rPr>
                    <w:t>排气筒排放</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治污设施的设计与安装应充分考虑安全性、经济性及适用性。①具有黏连性、积聚自燃性、高沸点、与碳发生化学反应的有机废气，不宜采用活性炭吸附、光催化氧化、低温等离子等治污设施。②含有酸性物质的有机废气，应充分考虑对治污设施的腐蚀等影响因素。含有颗粒物的废气，为保障VOCs治污设施运行的稳定性，宜进行预处理降低颗粒物浓度。③含卤素的有机废气，在使用直接燃烧、蓄热式燃烧等处理工艺时，宜采用急冷等方式减少二噁英的产生。④使用臭氧发生器等基于臭氧发生原理的治污设施，应采取有效措施降低臭氧逸散对周边环境的影响。⑤采用吸附处理工艺的，应满足《吸附法工业有机废气治理工程技术规范》（HJ2026）要求。⑥采用催化燃烧工艺的，应满足《催化燃烧法工业有机废气治理工程技术规范》（HJ2027）要求。采用蓄热燃烧等工艺的，应按相关技术规范要求设计。</w:t>
                  </w:r>
                </w:p>
              </w:tc>
              <w:tc>
                <w:tcPr>
                  <w:tcW w:w="1191"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w:t>
                  </w:r>
                  <w:r>
                    <w:rPr>
                      <w:rFonts w:hint="eastAsia" w:cs="Times New Roman"/>
                      <w:sz w:val="21"/>
                      <w:szCs w:val="21"/>
                      <w:highlight w:val="none"/>
                      <w:lang w:eastAsia="zh-CN"/>
                    </w:rPr>
                    <w:t>产生</w:t>
                  </w:r>
                  <w:r>
                    <w:rPr>
                      <w:rFonts w:hint="default" w:ascii="Times New Roman" w:hAnsi="Times New Roman" w:cs="Times New Roman"/>
                      <w:color w:val="000000"/>
                      <w:sz w:val="21"/>
                      <w:szCs w:val="21"/>
                      <w:highlight w:val="none"/>
                    </w:rPr>
                    <w:t>的VOCs经</w:t>
                  </w:r>
                  <w:r>
                    <w:rPr>
                      <w:rFonts w:hint="default" w:ascii="Times New Roman" w:hAnsi="Times New Roman" w:cs="Times New Roman"/>
                      <w:color w:val="000000"/>
                      <w:sz w:val="21"/>
                      <w:szCs w:val="21"/>
                      <w:highlight w:val="none"/>
                      <w:lang w:eastAsia="zh-CN"/>
                    </w:rPr>
                    <w:t>过集气罩管道收集至二级</w:t>
                  </w:r>
                  <w:r>
                    <w:rPr>
                      <w:rFonts w:hint="default" w:ascii="Times New Roman" w:hAnsi="Times New Roman" w:cs="Times New Roman"/>
                      <w:color w:val="000000"/>
                      <w:sz w:val="21"/>
                      <w:szCs w:val="21"/>
                      <w:highlight w:val="none"/>
                    </w:rPr>
                    <w:t>活性炭吸附装置处理后通过</w:t>
                  </w:r>
                  <w:r>
                    <w:rPr>
                      <w:rFonts w:hint="default" w:ascii="Times New Roman" w:hAnsi="Times New Roman" w:cs="Times New Roman"/>
                      <w:color w:val="000000"/>
                      <w:sz w:val="21"/>
                      <w:szCs w:val="21"/>
                      <w:highlight w:val="none"/>
                      <w:lang w:val="en-US" w:eastAsia="zh-CN"/>
                    </w:rPr>
                    <w:t>15m</w:t>
                  </w:r>
                  <w:r>
                    <w:rPr>
                      <w:rFonts w:hint="default" w:ascii="Times New Roman" w:hAnsi="Times New Roman" w:cs="Times New Roman"/>
                      <w:color w:val="000000"/>
                      <w:sz w:val="21"/>
                      <w:szCs w:val="21"/>
                      <w:highlight w:val="none"/>
                    </w:rPr>
                    <w:t>排气筒排放</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Merge w:val="continue"/>
                  <w:noWrap w:val="0"/>
                  <w:vAlign w:val="center"/>
                </w:tcPr>
                <w:p>
                  <w:pPr>
                    <w:jc w:val="center"/>
                    <w:rPr>
                      <w:rFonts w:hint="default" w:ascii="Times New Roman" w:hAnsi="Times New Roman" w:cs="Times New Roman"/>
                      <w:sz w:val="21"/>
                      <w:szCs w:val="21"/>
                      <w:highlight w:val="none"/>
                    </w:rPr>
                  </w:pPr>
                </w:p>
              </w:tc>
              <w:tc>
                <w:tcPr>
                  <w:tcW w:w="3112" w:type="pct"/>
                  <w:gridSpan w:val="2"/>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加强末端管控。实行重点排放源排放浓度与去除效率双重控制。车间或生产设施收集排放的废气，VOCs初始排放速率大于等于3千克/小时、重点区域大于等于2千克/小时的，应加大控制力度，除确保排放浓度稳定达标外，还应实行去除效率控制，VOCs去除率应不低于80%。有行业排放标准的按其相关规定执行。</w:t>
                  </w:r>
                </w:p>
              </w:tc>
              <w:tc>
                <w:tcPr>
                  <w:tcW w:w="1191"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color w:val="auto"/>
                      <w:sz w:val="21"/>
                      <w:szCs w:val="21"/>
                      <w:highlight w:val="none"/>
                    </w:rPr>
                    <w:t>项目VOCs排放速率符合排放标准要求，使用的</w:t>
                  </w:r>
                  <w:r>
                    <w:rPr>
                      <w:rFonts w:hint="default" w:ascii="Times New Roman" w:hAnsi="Times New Roman" w:cs="Times New Roman"/>
                      <w:color w:val="auto"/>
                      <w:sz w:val="21"/>
                      <w:szCs w:val="21"/>
                      <w:highlight w:val="none"/>
                      <w:lang w:val="en-US" w:eastAsia="zh-CN"/>
                    </w:rPr>
                    <w:t>二级活性炭吸附设备</w:t>
                  </w:r>
                  <w:r>
                    <w:rPr>
                      <w:rFonts w:hint="default" w:ascii="Times New Roman" w:hAnsi="Times New Roman" w:cs="Times New Roman"/>
                      <w:color w:val="auto"/>
                      <w:sz w:val="21"/>
                      <w:szCs w:val="21"/>
                      <w:highlight w:val="none"/>
                    </w:rPr>
                    <w:t>，VOCs去除率</w:t>
                  </w:r>
                  <w:r>
                    <w:rPr>
                      <w:rFonts w:hint="default" w:ascii="Times New Roman" w:hAnsi="Times New Roman" w:cs="Times New Roman"/>
                      <w:color w:val="auto"/>
                      <w:sz w:val="21"/>
                      <w:szCs w:val="21"/>
                      <w:highlight w:val="none"/>
                      <w:lang w:val="en-US" w:eastAsia="zh-CN"/>
                    </w:rPr>
                    <w:t>约90</w:t>
                  </w:r>
                  <w:r>
                    <w:rPr>
                      <w:rFonts w:hint="default" w:ascii="Times New Roman" w:hAnsi="Times New Roman" w:cs="Times New Roman"/>
                      <w:color w:val="auto"/>
                      <w:sz w:val="21"/>
                      <w:szCs w:val="21"/>
                      <w:highlight w:val="none"/>
                    </w:rPr>
                    <w:t>%，满足排放标准</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行业指导意见</w:t>
                  </w:r>
                </w:p>
              </w:tc>
              <w:tc>
                <w:tcPr>
                  <w:tcW w:w="65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（十）塑料制品加工行业</w:t>
                  </w:r>
                </w:p>
              </w:tc>
              <w:tc>
                <w:tcPr>
                  <w:tcW w:w="2462" w:type="pct"/>
                  <w:noWrap w:val="0"/>
                  <w:vAlign w:val="center"/>
                </w:tcPr>
                <w:p>
                  <w:pPr>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（1）加热挤出工段宜采用上吸风方式对废气进行有效收集，吹塑工段宜采取环绕方式对废气进行有效收集。</w:t>
                  </w:r>
                </w:p>
                <w:p>
                  <w:pPr>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（2）印刷工段产生的废气参照（二十）印刷业进行收集、处理。</w:t>
                  </w:r>
                </w:p>
                <w:p>
                  <w:pPr>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（3）加热挤出、压制、吹塑（发泡）、印刷等工艺产生的废气经除尘后宜采用浓缩结合燃烧法等工艺进行处理；使用含氯原料的工艺废气在处理过程中应充分考虑二噁英及酸性气体的控制。</w:t>
                  </w:r>
                </w:p>
              </w:tc>
              <w:tc>
                <w:tcPr>
                  <w:tcW w:w="1191" w:type="pct"/>
                  <w:noWrap w:val="0"/>
                  <w:vAlign w:val="center"/>
                </w:tcPr>
                <w:p>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本项目</w:t>
                  </w:r>
                  <w:r>
                    <w:rPr>
                      <w:rFonts w:hint="default" w:ascii="Times New Roman" w:hAnsi="Times New Roman" w:cs="Times New Roman"/>
                      <w:color w:val="auto"/>
                      <w:sz w:val="21"/>
                      <w:szCs w:val="21"/>
                      <w:highlight w:val="none"/>
                    </w:rPr>
                    <w:t>加热</w:t>
                  </w:r>
                  <w:r>
                    <w:rPr>
                      <w:rFonts w:hint="eastAsia" w:cs="Times New Roman"/>
                      <w:color w:val="auto"/>
                      <w:sz w:val="21"/>
                      <w:szCs w:val="21"/>
                      <w:highlight w:val="none"/>
                      <w:lang w:eastAsia="zh-CN"/>
                    </w:rPr>
                    <w:t>吹膜</w:t>
                  </w:r>
                  <w:r>
                    <w:rPr>
                      <w:rFonts w:hint="eastAsia" w:cs="Times New Roman"/>
                      <w:color w:val="auto"/>
                      <w:sz w:val="21"/>
                      <w:szCs w:val="21"/>
                      <w:highlight w:val="none"/>
                      <w:lang w:val="en-US" w:eastAsia="zh-CN"/>
                    </w:rPr>
                    <w:t>和造粒</w:t>
                  </w:r>
                  <w:r>
                    <w:rPr>
                      <w:rFonts w:hint="eastAsia" w:cs="Times New Roman"/>
                      <w:color w:val="auto"/>
                      <w:sz w:val="21"/>
                      <w:szCs w:val="21"/>
                      <w:highlight w:val="none"/>
                      <w:lang w:eastAsia="zh-CN"/>
                    </w:rPr>
                    <w:t>工段拟采用</w:t>
                  </w:r>
                  <w:r>
                    <w:rPr>
                      <w:rFonts w:hint="default" w:ascii="Times New Roman" w:hAnsi="Times New Roman" w:cs="Times New Roman"/>
                      <w:color w:val="auto"/>
                      <w:sz w:val="21"/>
                      <w:szCs w:val="21"/>
                      <w:highlight w:val="none"/>
                    </w:rPr>
                    <w:t>上吸风方式对废气进行有效收集</w:t>
                  </w:r>
                  <w:r>
                    <w:rPr>
                      <w:rFonts w:hint="eastAsia"/>
                      <w:lang w:eastAsia="zh-CN"/>
                    </w:rPr>
                    <w:t>；本项目无印刷工段</w:t>
                  </w:r>
                </w:p>
              </w:tc>
              <w:tc>
                <w:tcPr>
                  <w:tcW w:w="414"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 xml:space="preserve"> </w:t>
            </w:r>
            <w:r>
              <w:rPr>
                <w:rFonts w:hint="default" w:ascii="Times New Roman" w:hAnsi="Times New Roman" w:cs="Times New Roman"/>
                <w:b/>
                <w:bCs/>
                <w:sz w:val="24"/>
                <w:szCs w:val="24"/>
                <w:highlight w:val="none"/>
                <w:lang w:eastAsia="zh-CN"/>
              </w:rPr>
              <w:t>（</w:t>
            </w:r>
            <w:r>
              <w:rPr>
                <w:rFonts w:hint="eastAsia" w:cs="Times New Roman"/>
                <w:b/>
                <w:bCs/>
                <w:sz w:val="24"/>
                <w:szCs w:val="24"/>
                <w:highlight w:val="none"/>
                <w:lang w:val="en-US" w:eastAsia="zh-CN"/>
              </w:rPr>
              <w:t>6</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rPr>
              <w:t>与《山东省环境保护条例》符合性分析</w:t>
            </w:r>
          </w:p>
          <w:p>
            <w:pPr>
              <w:adjustRightInd w:val="0"/>
              <w:snapToGrid w:val="0"/>
              <w:ind w:firstLine="211" w:firstLineChars="10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表1-</w:t>
            </w:r>
            <w:r>
              <w:rPr>
                <w:rFonts w:hint="eastAsia" w:cs="Times New Roman"/>
                <w:b/>
                <w:bCs/>
                <w:sz w:val="21"/>
                <w:szCs w:val="21"/>
                <w:highlight w:val="none"/>
                <w:lang w:val="en-US" w:eastAsia="zh-CN"/>
              </w:rPr>
              <w:t>12</w:t>
            </w:r>
            <w:r>
              <w:rPr>
                <w:rFonts w:hint="default" w:ascii="Times New Roman" w:hAnsi="Times New Roman" w:cs="Times New Roman"/>
                <w:b/>
                <w:bCs/>
                <w:sz w:val="21"/>
                <w:szCs w:val="21"/>
                <w:highlight w:val="none"/>
              </w:rPr>
              <w:t xml:space="preserve"> 与《山东省环境保护条例》符合性分析一览表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986"/>
              <w:gridCol w:w="189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698" w:type="dxa"/>
                  <w:gridSpan w:val="2"/>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文件要求</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项目情况</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2" w:type="dxa"/>
                  <w:vMerge w:val="restart"/>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监督管理</w:t>
                  </w: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第十七条 实行排污许可管理制度。纳入排污许可管理目录的排污单位，应当依法申请领取排污许可证。未取得排污许可证的，不得排放污染物。</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themeColor="text1"/>
                      <w:sz w:val="21"/>
                      <w:szCs w:val="21"/>
                      <w:highlight w:val="none"/>
                      <w14:textFill>
                        <w14:solidFill>
                          <w14:schemeClr w14:val="tx1"/>
                        </w14:solidFill>
                      </w14:textFill>
                    </w:rPr>
                    <w:t>项目纳入排污许可管理目录，</w:t>
                  </w:r>
                  <w:r>
                    <w:rPr>
                      <w:rFonts w:hint="default" w:ascii="Times New Roman" w:hAnsi="Times New Roman" w:eastAsia="宋体" w:cs="Times New Roman"/>
                      <w:bCs w:val="0"/>
                      <w:color w:val="000000"/>
                      <w:sz w:val="21"/>
                      <w:szCs w:val="21"/>
                      <w:highlight w:val="none"/>
                    </w:rPr>
                    <w:t>应进行排污许可</w:t>
                  </w:r>
                  <w:r>
                    <w:rPr>
                      <w:rFonts w:hint="default" w:ascii="Times New Roman" w:hAnsi="Times New Roman" w:eastAsia="宋体" w:cs="Times New Roman"/>
                      <w:bCs w:val="0"/>
                      <w:color w:val="000000"/>
                      <w:sz w:val="21"/>
                      <w:szCs w:val="21"/>
                      <w:highlight w:val="none"/>
                      <w:lang w:val="en-US" w:eastAsia="zh-CN"/>
                    </w:rPr>
                    <w:t>登记管理</w:t>
                  </w:r>
                  <w:r>
                    <w:rPr>
                      <w:rFonts w:hint="default" w:ascii="Times New Roman" w:hAnsi="Times New Roman" w:eastAsia="宋体" w:cs="Times New Roman"/>
                      <w:bCs w:val="0"/>
                      <w:color w:val="000000"/>
                      <w:sz w:val="21"/>
                      <w:szCs w:val="21"/>
                      <w:highlight w:val="none"/>
                    </w:rPr>
                    <w:t>。</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2" w:type="dxa"/>
                  <w:vMerge w:val="continue"/>
                  <w:vAlign w:val="center"/>
                </w:tcPr>
                <w:p>
                  <w:pPr>
                    <w:pStyle w:val="20"/>
                    <w:spacing w:line="240" w:lineRule="auto"/>
                    <w:rPr>
                      <w:rFonts w:hint="default" w:ascii="Times New Roman" w:hAnsi="Times New Roman" w:eastAsia="宋体" w:cs="Times New Roman"/>
                      <w:bCs w:val="0"/>
                      <w:color w:val="000000"/>
                      <w:sz w:val="21"/>
                      <w:szCs w:val="21"/>
                      <w:highlight w:val="none"/>
                    </w:rPr>
                  </w:pP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本项目正在依法进行环境影响评价工作；本项目环境影响较小，不会对相邻地区造成重大环境影响</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2"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保护和改善环境</w:t>
                  </w: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第三十五条 省人民政府应当根据生态环境状况，在重点生态功能区、生态敏感区和脆弱区等区域划定生态保护红线，明确禁止、限制开发的区域和活动，制定严格的环境保护措施。</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本项目不在划定的生态保护红线范围内。</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2" w:type="dxa"/>
                  <w:vMerge w:val="restart"/>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防治污染和其他公害</w:t>
                  </w: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第四十六条 新建、改建、扩建建设项目，应当根据环境影响评价文件以及生态环境主管部门审批决定的要求建设环境保护设施、落实环境保护措施。</w:t>
                  </w:r>
                </w:p>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环境保护设施应当与主体工程同时设计、同时施工、同时投产使用。</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本项目将严格按照环评及批复要求建设环境保护设施、落实环境保护措施</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2" w:type="dxa"/>
                  <w:vMerge w:val="continue"/>
                  <w:vAlign w:val="center"/>
                </w:tcPr>
                <w:p>
                  <w:pPr>
                    <w:pStyle w:val="20"/>
                    <w:spacing w:line="240" w:lineRule="auto"/>
                    <w:rPr>
                      <w:rFonts w:hint="default" w:ascii="Times New Roman" w:hAnsi="Times New Roman" w:eastAsia="宋体" w:cs="Times New Roman"/>
                      <w:bCs w:val="0"/>
                      <w:color w:val="000000"/>
                      <w:sz w:val="21"/>
                      <w:szCs w:val="21"/>
                      <w:highlight w:val="none"/>
                    </w:rPr>
                  </w:pP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第四十七条 排污单位应当按照环境保护设施的设计要求和排污许可证规定的排放要求，制定完善环境保护管理制度和操作规程，并保障环境保护设施正常运行。</w:t>
                  </w:r>
                </w:p>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排污单位应当根据生产经营和污染防治的需要，建设应急环境保护设施。鼓励排污单位建设污染防治备用设施，在必要时投入使用。</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本项目将制定完善的环保管理制度和操作规程</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2"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信息公开和公众参与</w:t>
                  </w:r>
                </w:p>
              </w:tc>
              <w:tc>
                <w:tcPr>
                  <w:tcW w:w="4986" w:type="dxa"/>
                  <w:vAlign w:val="center"/>
                </w:tcPr>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第六十二条</w:t>
                  </w:r>
                  <w:r>
                    <w:rPr>
                      <w:rFonts w:hint="default" w:ascii="Times New Roman" w:hAnsi="Times New Roman" w:eastAsia="宋体" w:cs="Times New Roman"/>
                      <w:bCs w:val="0"/>
                      <w:color w:val="000000"/>
                      <w:sz w:val="21"/>
                      <w:szCs w:val="21"/>
                      <w:highlight w:val="none"/>
                    </w:rPr>
                    <w:tab/>
                  </w:r>
                  <w:r>
                    <w:rPr>
                      <w:rFonts w:hint="default" w:ascii="Times New Roman" w:hAnsi="Times New Roman" w:eastAsia="宋体" w:cs="Times New Roman"/>
                      <w:bCs w:val="0"/>
                      <w:color w:val="000000"/>
                      <w:sz w:val="21"/>
                      <w:szCs w:val="21"/>
                      <w:highlight w:val="none"/>
                    </w:rPr>
                    <w:t>对依法应当编制环境影响评价报告书的建设项目，建设单位应当按照规定在报批前向社会公开环境影响评价文件，征求公众意见。生态环境主管部门受理环境影响评价文件后，除涉及国家秘密、商业秘密或者个人隐私的内容外，应当向社会公开。</w:t>
                  </w:r>
                </w:p>
                <w:p>
                  <w:pPr>
                    <w:pStyle w:val="20"/>
                    <w:spacing w:line="240" w:lineRule="auto"/>
                    <w:jc w:val="left"/>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建设单位应当在项目建设过程中向社会公示采取的环境保护措施。</w:t>
                  </w:r>
                </w:p>
              </w:tc>
              <w:tc>
                <w:tcPr>
                  <w:tcW w:w="189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本项目为编制环境影响报告表项目。</w:t>
                  </w:r>
                </w:p>
              </w:tc>
              <w:tc>
                <w:tcPr>
                  <w:tcW w:w="715" w:type="dxa"/>
                  <w:vAlign w:val="center"/>
                </w:tcPr>
                <w:p>
                  <w:pPr>
                    <w:pStyle w:val="20"/>
                    <w:spacing w:line="240" w:lineRule="auto"/>
                    <w:rPr>
                      <w:rFonts w:hint="default" w:ascii="Times New Roman" w:hAnsi="Times New Roman" w:eastAsia="宋体" w:cs="Times New Roman"/>
                      <w:bCs w:val="0"/>
                      <w:color w:val="000000"/>
                      <w:sz w:val="21"/>
                      <w:szCs w:val="21"/>
                      <w:highlight w:val="none"/>
                    </w:rPr>
                  </w:pPr>
                  <w:r>
                    <w:rPr>
                      <w:rFonts w:hint="default" w:ascii="Times New Roman" w:hAnsi="Times New Roman" w:eastAsia="宋体" w:cs="Times New Roman"/>
                      <w:bCs w:val="0"/>
                      <w:color w:val="000000"/>
                      <w:sz w:val="21"/>
                      <w:szCs w:val="21"/>
                      <w:highlight w:val="none"/>
                    </w:rPr>
                    <w:t>符合</w:t>
                  </w:r>
                </w:p>
              </w:tc>
            </w:tr>
          </w:tbl>
          <w:p>
            <w:pPr>
              <w:snapToGrid w:val="0"/>
              <w:spacing w:line="360" w:lineRule="auto"/>
              <w:ind w:firstLine="482" w:firstLineChars="200"/>
              <w:jc w:val="left"/>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w:t>
            </w:r>
            <w:r>
              <w:rPr>
                <w:rFonts w:hint="default" w:ascii="Times New Roman" w:hAnsi="Times New Roman" w:cs="Times New Roman"/>
                <w:b/>
                <w:color w:val="000000"/>
                <w:sz w:val="24"/>
                <w:szCs w:val="24"/>
                <w:highlight w:val="none"/>
                <w:lang w:val="en-US" w:eastAsia="zh-CN"/>
              </w:rPr>
              <w:t>6</w:t>
            </w:r>
            <w:r>
              <w:rPr>
                <w:rFonts w:hint="default" w:ascii="Times New Roman" w:hAnsi="Times New Roman" w:cs="Times New Roman"/>
                <w:b/>
                <w:color w:val="000000"/>
                <w:sz w:val="24"/>
                <w:szCs w:val="24"/>
                <w:highlight w:val="none"/>
              </w:rPr>
              <w:t>）与《挥发性有机物无组织排放控制标准》（GB37822-2019）符合性分析</w:t>
            </w:r>
          </w:p>
          <w:p>
            <w:pPr>
              <w:snapToGrid w:val="0"/>
              <w:jc w:val="center"/>
              <w:rPr>
                <w:rFonts w:hint="default" w:ascii="Times New Roman" w:hAnsi="Times New Roman" w:cs="Times New Roman"/>
                <w:b/>
                <w:color w:val="000000"/>
                <w:sz w:val="21"/>
                <w:szCs w:val="21"/>
                <w:highlight w:val="none"/>
              </w:rPr>
            </w:pPr>
            <w:r>
              <w:rPr>
                <w:rFonts w:hint="default" w:ascii="Times New Roman" w:hAnsi="Times New Roman" w:cs="Times New Roman"/>
                <w:b/>
                <w:sz w:val="21"/>
                <w:szCs w:val="21"/>
                <w:highlight w:val="none"/>
              </w:rPr>
              <w:t>表1-</w:t>
            </w:r>
            <w:r>
              <w:rPr>
                <w:rFonts w:hint="eastAsia" w:cs="Times New Roman"/>
                <w:b/>
                <w:sz w:val="21"/>
                <w:szCs w:val="21"/>
                <w:highlight w:val="none"/>
                <w:lang w:val="en-US" w:eastAsia="zh-CN"/>
              </w:rPr>
              <w:t>12</w:t>
            </w:r>
            <w:r>
              <w:rPr>
                <w:rFonts w:hint="default" w:ascii="Times New Roman" w:hAnsi="Times New Roman" w:cs="Times New Roman"/>
                <w:b/>
                <w:sz w:val="21"/>
                <w:szCs w:val="21"/>
                <w:highlight w:val="none"/>
              </w:rPr>
              <w:t xml:space="preserve">  与《</w:t>
            </w:r>
            <w:r>
              <w:rPr>
                <w:rFonts w:hint="default" w:ascii="Times New Roman" w:hAnsi="Times New Roman" w:cs="Times New Roman"/>
                <w:b/>
                <w:color w:val="000000"/>
                <w:sz w:val="21"/>
                <w:szCs w:val="21"/>
                <w:highlight w:val="none"/>
              </w:rPr>
              <w:t>挥发性有机物无组织排放控制标准》</w:t>
            </w:r>
            <w:r>
              <w:rPr>
                <w:rFonts w:hint="default" w:ascii="Times New Roman" w:hAnsi="Times New Roman" w:cs="Times New Roman"/>
                <w:b/>
                <w:sz w:val="21"/>
                <w:szCs w:val="21"/>
                <w:highlight w:val="none"/>
              </w:rPr>
              <w:t>符合性分析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778"/>
              <w:gridCol w:w="185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控制要求</w:t>
                  </w:r>
                </w:p>
              </w:tc>
              <w:tc>
                <w:tcPr>
                  <w:tcW w:w="2873"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文件要求</w:t>
                  </w:r>
                </w:p>
              </w:tc>
              <w:tc>
                <w:tcPr>
                  <w:tcW w:w="1118"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本项目情况</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5.VOCs 物料储存 无组织排 放控制要 求</w:t>
                  </w:r>
                </w:p>
              </w:tc>
              <w:tc>
                <w:tcPr>
                  <w:tcW w:w="2873"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5.1.1VOCs 物料应储存于密闭的容器、包装袋、储罐、储库、料仓中。</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5.1.2 盛装VOCs物料的容器或包装袋应存放于室内，或存放于设置有雨棚、遮阳和防渗设施的专用场地，盛装VOCs物料的容器和包装袋在非取用状态是应加盖、封口，保持密闭。</w:t>
                  </w:r>
                </w:p>
              </w:tc>
              <w:tc>
                <w:tcPr>
                  <w:tcW w:w="1118" w:type="pct"/>
                  <w:noWrap w:val="0"/>
                  <w:vAlign w:val="center"/>
                </w:tcPr>
                <w:p>
                  <w:pPr>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本项目加强了含VOCs物料的密闭管理，采取高效率废气吸收处理</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6.VOCs 物料转移 和输送无 组织排放控制要求</w:t>
                  </w:r>
                </w:p>
              </w:tc>
              <w:tc>
                <w:tcPr>
                  <w:tcW w:w="2873"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6.1.1 液态 VOCs 物料应采用密闭管道输送。采用非管道输送方式转移液态VOCs物料时，应采用密闭容器、罐车。</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6.1.2 粉状、粒状VOCs 物料应采用气力输送设备、管状带式输送机、螺旋输送机等密闭输送方式或采用密闭的包装袋、容器或罐车进行物料转移</w:t>
                  </w:r>
                </w:p>
              </w:tc>
              <w:tc>
                <w:tcPr>
                  <w:tcW w:w="1118"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color w:val="000000" w:themeColor="text1"/>
                      <w:sz w:val="21"/>
                      <w:szCs w:val="21"/>
                      <w:highlight w:val="none"/>
                      <w14:textFill>
                        <w14:solidFill>
                          <w14:schemeClr w14:val="tx1"/>
                        </w14:solidFill>
                      </w14:textFill>
                    </w:rPr>
                    <w:t>本项目</w:t>
                  </w:r>
                  <w:r>
                    <w:rPr>
                      <w:rFonts w:hint="default" w:ascii="Times New Roman" w:hAnsi="Times New Roman" w:cs="Times New Roman"/>
                      <w:color w:val="000000" w:themeColor="text1"/>
                      <w:sz w:val="21"/>
                      <w:szCs w:val="21"/>
                      <w:highlight w:val="none"/>
                      <w:lang w:eastAsia="zh-CN"/>
                      <w14:textFill>
                        <w14:solidFill>
                          <w14:schemeClr w14:val="tx1"/>
                        </w14:solidFill>
                      </w14:textFill>
                    </w:rPr>
                    <w:t>固态</w:t>
                  </w:r>
                  <w:r>
                    <w:rPr>
                      <w:rFonts w:hint="default" w:ascii="Times New Roman" w:hAnsi="Times New Roman" w:cs="Times New Roman"/>
                      <w:color w:val="000000" w:themeColor="text1"/>
                      <w:sz w:val="21"/>
                      <w:szCs w:val="21"/>
                      <w:highlight w:val="none"/>
                      <w14:textFill>
                        <w14:solidFill>
                          <w14:schemeClr w14:val="tx1"/>
                        </w14:solidFill>
                      </w14:textFill>
                    </w:rPr>
                    <w:t>均为密封</w:t>
                  </w:r>
                  <w:r>
                    <w:rPr>
                      <w:rFonts w:hint="default" w:ascii="Times New Roman" w:hAnsi="Times New Roman" w:cs="Times New Roman"/>
                      <w:color w:val="000000" w:themeColor="text1"/>
                      <w:sz w:val="21"/>
                      <w:szCs w:val="21"/>
                      <w:highlight w:val="none"/>
                      <w:lang w:eastAsia="zh-CN"/>
                      <w14:textFill>
                        <w14:solidFill>
                          <w14:schemeClr w14:val="tx1"/>
                        </w14:solidFill>
                      </w14:textFill>
                    </w:rPr>
                    <w:t>放置</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7.2 含 VOCs 产 品的使用 过程</w:t>
                  </w:r>
                </w:p>
              </w:tc>
              <w:tc>
                <w:tcPr>
                  <w:tcW w:w="2873"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7.2.1VOCs质量占比大于等于10%的含VOCs产品，其使过程应采用密闭设备或在密闭空间内操作，废气应排至VOCs 废气收集处理系统；无法密闭的，应采取局部气体收集措施，废气应排至VOCs废气收集处理系统。 </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7.2.2 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w:t>
                  </w:r>
                </w:p>
              </w:tc>
              <w:tc>
                <w:tcPr>
                  <w:tcW w:w="1118"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项目</w:t>
                  </w:r>
                  <w:r>
                    <w:rPr>
                      <w:rFonts w:hint="default" w:ascii="Times New Roman" w:hAnsi="Times New Roman" w:eastAsia="宋体" w:cs="Times New Roman"/>
                      <w:b w:val="0"/>
                      <w:bCs w:val="0"/>
                      <w:sz w:val="21"/>
                      <w:szCs w:val="21"/>
                      <w:highlight w:val="none"/>
                      <w:lang w:val="en-US" w:eastAsia="zh-CN"/>
                    </w:rPr>
                    <w:t>废气治理工艺采用二级活性炭吸附</w:t>
                  </w:r>
                  <w:r>
                    <w:rPr>
                      <w:rFonts w:hint="eastAsia" w:ascii="Times New Roman" w:hAnsi="Times New Roman" w:cs="Times New Roman"/>
                      <w:b w:val="0"/>
                      <w:bCs w:val="0"/>
                      <w:sz w:val="21"/>
                      <w:szCs w:val="21"/>
                      <w:highlight w:val="none"/>
                      <w:lang w:val="en-US" w:eastAsia="zh-CN"/>
                    </w:rPr>
                    <w:t>后达标排放</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7.3 其他 要求</w:t>
                  </w:r>
                </w:p>
              </w:tc>
              <w:tc>
                <w:tcPr>
                  <w:tcW w:w="2873"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7.3.1 企业应建立台账，记录含VOCs原辅材料和含VOCs 产品的名称、使用量、回收量、废气量、去向以及VOCs含量等信息。台账保存期限不少于3年</w:t>
                  </w:r>
                </w:p>
              </w:tc>
              <w:tc>
                <w:tcPr>
                  <w:tcW w:w="1118"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本项目企业按照要求建立台账，记录含VOCs原材料的相关信息，台账保存不少于3年</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99"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10.VOCs 无组织排 放废气收 集处理系 统要求</w:t>
                  </w:r>
                </w:p>
              </w:tc>
              <w:tc>
                <w:tcPr>
                  <w:tcW w:w="2873"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10.1.2VOCs废气收集处理系统应与生产工艺 设备同步运行。VOCs 废气收集处理系统发生故障或检修时，对应的生产工艺设备应停止运行，待检修完毕后同步投入使用；生产工艺设备不能停止运行或不能及时停止运行的，应设置废气应急处理设施或采取其他替代措施。 </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10.3.1VOCs废气收集处理系统污染物排放应符合 DB16297 或相关行业排放标准的规定。</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10.3.2收集的废气中NMHC初始排放速率≥3kg/h时，应配置VCOs处理设施，处理效率不应低于80%；对于重点地区。收集的废气中NMHC初始排放速率≥2kg/h时，应配置VCOs 处理设施，处理效率不应低于80%；采用的原辅材料符合国家有关低VOCs含量产品规定的要求</w:t>
                  </w:r>
                </w:p>
              </w:tc>
              <w:tc>
                <w:tcPr>
                  <w:tcW w:w="1118" w:type="pct"/>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本项目废气处理系统与设备同步运行，生产车间废气</w:t>
                  </w:r>
                  <w:r>
                    <w:rPr>
                      <w:rFonts w:hint="default" w:ascii="Times New Roman" w:hAnsi="Times New Roman" w:cs="Times New Roman"/>
                      <w:color w:val="000000"/>
                      <w:sz w:val="21"/>
                      <w:szCs w:val="21"/>
                      <w:highlight w:val="none"/>
                      <w:lang w:eastAsia="zh-CN"/>
                    </w:rPr>
                    <w:t>集气罩</w:t>
                  </w:r>
                  <w:r>
                    <w:rPr>
                      <w:rFonts w:hint="default" w:ascii="Times New Roman" w:hAnsi="Times New Roman" w:cs="Times New Roman"/>
                      <w:sz w:val="21"/>
                      <w:szCs w:val="21"/>
                      <w:highlight w:val="none"/>
                    </w:rPr>
                    <w:t>收集后进入废气处理装置，处理后达标排放，符合相关行业排放标准的规定</w:t>
                  </w:r>
                </w:p>
              </w:tc>
              <w:tc>
                <w:tcPr>
                  <w:tcW w:w="407"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符合</w:t>
                  </w:r>
                </w:p>
              </w:tc>
            </w:tr>
          </w:tbl>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w:t>
            </w:r>
            <w:r>
              <w:rPr>
                <w:rFonts w:hint="default"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）与《</w:t>
            </w:r>
            <w:r>
              <w:rPr>
                <w:rFonts w:hint="default" w:ascii="Times New Roman" w:hAnsi="Times New Roman" w:cs="Times New Roman"/>
                <w:b/>
                <w:bCs/>
                <w:sz w:val="24"/>
                <w:szCs w:val="24"/>
                <w:highlight w:val="none"/>
                <w:lang w:val="en-US" w:eastAsia="zh-CN"/>
              </w:rPr>
              <w:t>2022年度淄博市挥发性有机物治理和臭氧污染管控方案</w:t>
            </w:r>
            <w:r>
              <w:rPr>
                <w:rFonts w:hint="default" w:ascii="Times New Roman" w:hAnsi="Times New Roman" w:cs="Times New Roman"/>
                <w:b/>
                <w:bCs/>
                <w:sz w:val="24"/>
                <w:szCs w:val="24"/>
                <w:highlight w:val="none"/>
              </w:rPr>
              <w:t>》的通知（淄</w:t>
            </w:r>
            <w:r>
              <w:rPr>
                <w:rFonts w:hint="default" w:ascii="Times New Roman" w:hAnsi="Times New Roman" w:cs="Times New Roman"/>
                <w:b/>
                <w:bCs/>
                <w:sz w:val="24"/>
                <w:szCs w:val="24"/>
                <w:highlight w:val="none"/>
                <w:lang w:val="en-US" w:eastAsia="zh-CN"/>
              </w:rPr>
              <w:t>环委办</w:t>
            </w:r>
            <w:r>
              <w:rPr>
                <w:rFonts w:hint="default" w:ascii="Times New Roman" w:hAnsi="Times New Roman" w:cs="Times New Roman"/>
                <w:b/>
                <w:bCs/>
                <w:sz w:val="24"/>
                <w:szCs w:val="24"/>
                <w:highlight w:val="none"/>
              </w:rPr>
              <w:t>〔202</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r>
              <w:rPr>
                <w:rFonts w:hint="default" w:ascii="Times New Roman" w:hAnsi="Times New Roman" w:cs="Times New Roman"/>
                <w:b/>
                <w:bCs/>
                <w:sz w:val="24"/>
                <w:szCs w:val="24"/>
                <w:highlight w:val="none"/>
                <w:lang w:val="en-US" w:eastAsia="zh-CN"/>
              </w:rPr>
              <w:t>12</w:t>
            </w:r>
            <w:r>
              <w:rPr>
                <w:rFonts w:hint="default" w:ascii="Times New Roman" w:hAnsi="Times New Roman" w:cs="Times New Roman"/>
                <w:b/>
                <w:bCs/>
                <w:sz w:val="24"/>
                <w:szCs w:val="24"/>
                <w:highlight w:val="none"/>
              </w:rPr>
              <w:t>号）符合性分析</w:t>
            </w:r>
          </w:p>
          <w:p>
            <w:pPr>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w:t>
            </w:r>
            <w:r>
              <w:rPr>
                <w:rFonts w:hint="default" w:ascii="Times New Roman" w:hAnsi="Times New Roman" w:cs="Times New Roman"/>
                <w:b/>
                <w:bCs/>
                <w:sz w:val="21"/>
                <w:szCs w:val="21"/>
                <w:highlight w:val="none"/>
                <w:lang w:val="en-US" w:eastAsia="zh-CN"/>
              </w:rPr>
              <w:t>1-1</w:t>
            </w:r>
            <w:r>
              <w:rPr>
                <w:rFonts w:hint="eastAsia" w:cs="Times New Roman"/>
                <w:b/>
                <w:bCs/>
                <w:sz w:val="21"/>
                <w:szCs w:val="21"/>
                <w:highlight w:val="none"/>
                <w:lang w:val="en-US" w:eastAsia="zh-CN"/>
              </w:rPr>
              <w:t>3</w:t>
            </w:r>
            <w:r>
              <w:rPr>
                <w:rFonts w:hint="default" w:ascii="Times New Roman" w:hAnsi="Times New Roman" w:cs="Times New Roman"/>
                <w:b/>
                <w:bCs/>
                <w:sz w:val="21"/>
                <w:szCs w:val="21"/>
                <w:highlight w:val="none"/>
              </w:rPr>
              <w:t>本项目与淄</w:t>
            </w:r>
            <w:r>
              <w:rPr>
                <w:rFonts w:hint="default" w:ascii="Times New Roman" w:hAnsi="Times New Roman" w:cs="Times New Roman"/>
                <w:b/>
                <w:bCs/>
                <w:sz w:val="21"/>
                <w:szCs w:val="21"/>
                <w:highlight w:val="none"/>
                <w:lang w:val="en-US" w:eastAsia="zh-CN"/>
              </w:rPr>
              <w:t>环为办</w:t>
            </w:r>
            <w:r>
              <w:rPr>
                <w:rFonts w:hint="default" w:ascii="Times New Roman" w:hAnsi="Times New Roman" w:cs="Times New Roman"/>
                <w:b/>
                <w:bCs/>
                <w:sz w:val="21"/>
                <w:szCs w:val="21"/>
                <w:highlight w:val="none"/>
              </w:rPr>
              <w:t>〔202</w:t>
            </w:r>
            <w:r>
              <w:rPr>
                <w:rFonts w:hint="default" w:ascii="Times New Roman" w:hAnsi="Times New Roman" w:cs="Times New Roman"/>
                <w:b/>
                <w:bCs/>
                <w:sz w:val="21"/>
                <w:szCs w:val="21"/>
                <w:highlight w:val="none"/>
                <w:lang w:val="en-US" w:eastAsia="zh-CN"/>
              </w:rPr>
              <w:t>2</w:t>
            </w:r>
            <w:r>
              <w:rPr>
                <w:rFonts w:hint="default" w:ascii="Times New Roman" w:hAnsi="Times New Roman" w:cs="Times New Roman"/>
                <w:b/>
                <w:bCs/>
                <w:sz w:val="21"/>
                <w:szCs w:val="21"/>
                <w:highlight w:val="none"/>
              </w:rPr>
              <w:t>〕</w:t>
            </w:r>
            <w:r>
              <w:rPr>
                <w:rFonts w:hint="default" w:ascii="Times New Roman" w:hAnsi="Times New Roman" w:cs="Times New Roman"/>
                <w:b/>
                <w:bCs/>
                <w:sz w:val="21"/>
                <w:szCs w:val="21"/>
                <w:highlight w:val="none"/>
                <w:lang w:val="en-US" w:eastAsia="zh-CN"/>
              </w:rPr>
              <w:t>12</w:t>
            </w:r>
            <w:r>
              <w:rPr>
                <w:rFonts w:hint="default" w:ascii="Times New Roman" w:hAnsi="Times New Roman" w:cs="Times New Roman"/>
                <w:b/>
                <w:bCs/>
                <w:sz w:val="21"/>
                <w:szCs w:val="21"/>
                <w:highlight w:val="none"/>
              </w:rPr>
              <w:t>号符合性分析</w:t>
            </w:r>
          </w:p>
          <w:tbl>
            <w:tblPr>
              <w:tblStyle w:val="23"/>
              <w:tblW w:w="49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059"/>
              <w:gridCol w:w="1554"/>
              <w:gridCol w:w="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7" w:hRule="atLeast"/>
                <w:jc w:val="center"/>
              </w:trPr>
              <w:tc>
                <w:tcPr>
                  <w:tcW w:w="3662"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文件要求</w:t>
                  </w:r>
                </w:p>
              </w:tc>
              <w:tc>
                <w:tcPr>
                  <w:tcW w:w="939"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项目情况</w:t>
                  </w:r>
                </w:p>
              </w:tc>
              <w:tc>
                <w:tcPr>
                  <w:tcW w:w="398"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符合性分析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3662" w:type="pct"/>
                  <w:tcBorders>
                    <w:tl2br w:val="nil"/>
                    <w:tr2bl w:val="nil"/>
                  </w:tcBorders>
                  <w:noWrap w:val="0"/>
                  <w:vAlign w:val="center"/>
                </w:tcPr>
                <w:p>
                  <w:pPr>
                    <w:pStyle w:val="84"/>
                    <w:numPr>
                      <w:ilvl w:val="0"/>
                      <w:numId w:val="0"/>
                    </w:numPr>
                    <w:spacing w:line="240" w:lineRule="auto"/>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1.加快低挥发性原辅材料替代。要加大低(无)挥发性原辅材料替代政策宣传力度</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引导企业优先使用低(无)挥发性涂料、油墨、胶粘剂、涂层剂(油脂)、清洗剂等原辅材料</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进一步提高低(无)挥发性原辅材料使用率。以机械加工、家具制造、包装印刷等行业为重点</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鼓励企业开展低(无)挥发性原辅材料生产工艺的升级改造</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建设源头替代示范项目</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形成示范带动效应。企业应建立规范的原辅材料使用台账</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各级监督检查须将企业原辅材料台账及挥发性有机物含量检测报告纳入检查内容。</w:t>
                  </w:r>
                </w:p>
              </w:tc>
              <w:tc>
                <w:tcPr>
                  <w:tcW w:w="939"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本项目使用</w:t>
                  </w:r>
                  <w:r>
                    <w:rPr>
                      <w:rFonts w:hint="eastAsia" w:cs="Times New Roman"/>
                      <w:b w:val="0"/>
                      <w:bCs w:val="0"/>
                      <w:sz w:val="21"/>
                      <w:szCs w:val="21"/>
                      <w:highlight w:val="none"/>
                      <w:lang w:val="en-US" w:eastAsia="zh-CN"/>
                    </w:rPr>
                    <w:t>聚乙烯、聚丙烯等原辅材料</w:t>
                  </w:r>
                  <w:r>
                    <w:rPr>
                      <w:rFonts w:hint="default" w:ascii="Times New Roman" w:hAnsi="Times New Roman" w:eastAsia="宋体" w:cs="Times New Roman"/>
                      <w:b w:val="0"/>
                      <w:bCs w:val="0"/>
                      <w:sz w:val="21"/>
                      <w:szCs w:val="21"/>
                      <w:highlight w:val="none"/>
                      <w:lang w:val="en-US" w:eastAsia="zh-CN"/>
                    </w:rPr>
                    <w:t>，企业须按照要求建立规范的原辅料使用台账。</w:t>
                  </w:r>
                </w:p>
              </w:tc>
              <w:tc>
                <w:tcPr>
                  <w:tcW w:w="398"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3662" w:type="pct"/>
                  <w:tcBorders>
                    <w:tl2br w:val="nil"/>
                    <w:tr2bl w:val="nil"/>
                  </w:tcBorders>
                  <w:noWrap w:val="0"/>
                  <w:vAlign w:val="center"/>
                </w:tcPr>
                <w:p>
                  <w:pPr>
                    <w:keepNext w:val="0"/>
                    <w:keepLines w:val="0"/>
                    <w:widowControl/>
                    <w:numPr>
                      <w:ilvl w:val="0"/>
                      <w:numId w:val="0"/>
                    </w:numPr>
                    <w:suppressLineNumbers w:val="0"/>
                    <w:ind w:leftChars="0"/>
                    <w:jc w:val="left"/>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2.提升综合治理效率。</w:t>
                  </w:r>
                </w:p>
                <w:p>
                  <w:pPr>
                    <w:keepNext w:val="0"/>
                    <w:keepLines w:val="0"/>
                    <w:widowControl/>
                    <w:numPr>
                      <w:ilvl w:val="0"/>
                      <w:numId w:val="0"/>
                    </w:numPr>
                    <w:suppressLineNumbers w:val="0"/>
                    <w:ind w:leftChars="0"/>
                    <w:jc w:val="left"/>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推进使用先进生产工艺</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通过采用全密闭、连续化、自动化等生产技术</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以及高效工艺设各等</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减少工艺过程无组织排放。按照</w:t>
                  </w:r>
                </w:p>
                <w:p>
                  <w:pPr>
                    <w:keepNext w:val="0"/>
                    <w:keepLines w:val="0"/>
                    <w:widowControl/>
                    <w:numPr>
                      <w:ilvl w:val="0"/>
                      <w:numId w:val="0"/>
                    </w:numPr>
                    <w:suppressLineNumbers w:val="0"/>
                    <w:ind w:left="0" w:leftChars="0" w:firstLine="0" w:firstLineChars="0"/>
                    <w:jc w:val="left"/>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“适宜高效”和“降风增浓”原则</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优先对车间内涉挥发性有机物的设各、工序进行密闭</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或进行局部废气收集。加强生产车间密闭管理</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在符合安全生产、职业卫生等要求前提下</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采用自动感应门、密闭性好的塑钢门窗等</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在非必要时保持关闭。高浓度挥发性有机物废气不宜直接与大风量、低浓度挥发性有机物废气混合。按照适宜高效的原则提高治理设施去除率</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高浓度挥发性有机物废气(&gt;30000mg/m</w:t>
                  </w:r>
                  <w:r>
                    <w:rPr>
                      <w:rFonts w:hint="default" w:ascii="Times New Roman" w:hAnsi="Times New Roman" w:eastAsia="宋体" w:cs="Times New Roman"/>
                      <w:b w:val="0"/>
                      <w:bCs w:val="0"/>
                      <w:sz w:val="21"/>
                      <w:szCs w:val="21"/>
                      <w:highlight w:val="none"/>
                      <w:vertAlign w:val="superscript"/>
                      <w:lang w:val="en-US" w:eastAsia="zh-CN"/>
                    </w:rPr>
                    <w:t>3</w:t>
                  </w:r>
                  <w:r>
                    <w:rPr>
                      <w:rFonts w:hint="default" w:ascii="Times New Roman" w:hAnsi="Times New Roman" w:eastAsia="宋体" w:cs="Times New Roman"/>
                      <w:b w:val="0"/>
                      <w:bCs w:val="0"/>
                      <w:sz w:val="21"/>
                      <w:szCs w:val="21"/>
                      <w:highlight w:val="none"/>
                      <w:lang w:val="en-US" w:eastAsia="zh-CN"/>
                    </w:rPr>
                    <w:t>)</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宜采用吸收、冷凝、吸附、膜分离等组合技术回收处理</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不能达标时再辅以其他技术实现达标排放;中高浓度废气(3000mg/m</w:t>
                  </w:r>
                  <w:r>
                    <w:rPr>
                      <w:rFonts w:hint="default" w:ascii="Times New Roman" w:hAnsi="Times New Roman" w:eastAsia="宋体" w:cs="Times New Roman"/>
                      <w:b w:val="0"/>
                      <w:bCs w:val="0"/>
                      <w:sz w:val="21"/>
                      <w:szCs w:val="21"/>
                      <w:highlight w:val="none"/>
                      <w:vertAlign w:val="superscript"/>
                      <w:lang w:val="en-US" w:eastAsia="zh-CN"/>
                    </w:rPr>
                    <w:t>3</w:t>
                  </w:r>
                  <w:r>
                    <w:rPr>
                      <w:rFonts w:hint="default" w:ascii="Times New Roman" w:hAnsi="Times New Roman" w:eastAsia="宋体" w:cs="Times New Roman"/>
                      <w:b w:val="0"/>
                      <w:bCs w:val="0"/>
                      <w:sz w:val="21"/>
                      <w:szCs w:val="21"/>
                      <w:highlight w:val="none"/>
                      <w:lang w:val="en-US" w:eastAsia="zh-CN"/>
                    </w:rPr>
                    <w:t>-30000mg/m</w:t>
                  </w:r>
                  <w:r>
                    <w:rPr>
                      <w:rFonts w:hint="default" w:ascii="Times New Roman" w:hAnsi="Times New Roman" w:eastAsia="宋体" w:cs="Times New Roman"/>
                      <w:b w:val="0"/>
                      <w:bCs w:val="0"/>
                      <w:sz w:val="21"/>
                      <w:szCs w:val="21"/>
                      <w:highlight w:val="none"/>
                      <w:vertAlign w:val="superscript"/>
                      <w:lang w:val="en-US" w:eastAsia="zh-CN"/>
                    </w:rPr>
                    <w:t>3</w:t>
                  </w:r>
                  <w:r>
                    <w:rPr>
                      <w:rFonts w:hint="default" w:ascii="Times New Roman" w:hAnsi="Times New Roman" w:eastAsia="宋体" w:cs="Times New Roman"/>
                      <w:b w:val="0"/>
                      <w:bCs w:val="0"/>
                      <w:sz w:val="21"/>
                      <w:szCs w:val="21"/>
                      <w:highlight w:val="none"/>
                      <w:lang w:val="en-US" w:eastAsia="zh-CN"/>
                    </w:rPr>
                    <w:t>)</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有回收价值时宜采用吸收技术回收处理</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无回收价值时宜采用燃烧技术。中低浓度挥发性有机物废气(&lt;3000mg/m</w:t>
                  </w:r>
                  <w:r>
                    <w:rPr>
                      <w:rFonts w:hint="default" w:ascii="Times New Roman" w:hAnsi="Times New Roman" w:eastAsia="宋体" w:cs="Times New Roman"/>
                      <w:b w:val="0"/>
                      <w:bCs w:val="0"/>
                      <w:sz w:val="21"/>
                      <w:szCs w:val="21"/>
                      <w:highlight w:val="none"/>
                      <w:vertAlign w:val="superscript"/>
                      <w:lang w:val="en-US" w:eastAsia="zh-CN"/>
                    </w:rPr>
                    <w:t>3</w:t>
                  </w:r>
                  <w:r>
                    <w:rPr>
                      <w:rFonts w:hint="default" w:ascii="Times New Roman" w:hAnsi="Times New Roman" w:eastAsia="宋体" w:cs="Times New Roman"/>
                      <w:b w:val="0"/>
                      <w:bCs w:val="0"/>
                      <w:sz w:val="21"/>
                      <w:szCs w:val="21"/>
                      <w:highlight w:val="none"/>
                      <w:lang w:val="en-US" w:eastAsia="zh-CN"/>
                    </w:rPr>
                    <w:t>)，宜采用生物技术、燃烧技术、吸附浓缩一燃烧技术等。鼓励使用液氮的企业</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统筹考虑液氮气化和挥发性有机物废气冷凝的热交换</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实现废气治理和节能相结合。严禁大风量、高浓度有机废气的有机化工、医药制药、石油化工等行业企业使用UV光解、低温等离子、光氧催化等低效治污设施。其他行业在保证异味治理的前提下</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 xml:space="preserve">原则上全面淘汰以上低效治污设施。杜绝仅采用水或水溶液洗涤吸收方式处理含非水溶性组分的挥发性有机物废气。挥发性有机物废气不得与含颗粒物等其他污染物的废气混合。 </w:t>
                  </w:r>
                </w:p>
              </w:tc>
              <w:tc>
                <w:tcPr>
                  <w:tcW w:w="939" w:type="pct"/>
                  <w:tcBorders>
                    <w:tl2br w:val="nil"/>
                    <w:tr2bl w:val="nil"/>
                  </w:tcBorders>
                  <w:noWrap w:val="0"/>
                  <w:vAlign w:val="center"/>
                </w:tcPr>
                <w:p>
                  <w:pPr>
                    <w:pStyle w:val="84"/>
                    <w:spacing w:line="240" w:lineRule="auto"/>
                    <w:ind w:firstLine="0" w:firstLineChars="0"/>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本项目在生产设备的上方安装集气罩，进行废气的收集。本项目废气中挥发性有机物的含量较低，废气治理工艺采用二级活性炭吸附</w:t>
                  </w:r>
                </w:p>
              </w:tc>
              <w:tc>
                <w:tcPr>
                  <w:tcW w:w="398" w:type="pct"/>
                  <w:tcBorders>
                    <w:tl2br w:val="nil"/>
                    <w:tr2bl w:val="nil"/>
                  </w:tcBorders>
                  <w:noWrap w:val="0"/>
                  <w:vAlign w:val="center"/>
                </w:tcPr>
                <w:p>
                  <w:pPr>
                    <w:pStyle w:val="84"/>
                    <w:spacing w:line="240" w:lineRule="auto"/>
                    <w:ind w:firstLine="0" w:firstLineChars="0"/>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366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3.提高精细化管控水平。加强治理设施运行管理</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按照治理设施的工艺设计和污染物排放标准</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制定治理设施运行规范或操作规程</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并明确异常情况的处理方案。对新建或改建的治理设施</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企业应组织相关岗位人员进行培训</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培训内容和考核结果要存档。企业应建立台账</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记录废气治理设施的主要运行和维护信息</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包括但不限于运行时间、废气处理量、操作温度、停留时间、吸附剂再生/更换周期和更换量、催化剂更换周期和更换量、吸收液pH值等关键参数。台账保存期限不少于五年</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法律法规或标准另有规定的除外。企业应及时清洗更换吸附剂、吸收剂、催化剂、蓄热体、过滤棉等治理设施耗材</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确保治理设施能够稳定高效运行。治理设施应严格按照设计方案和操作规程运行</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原则上蓄热式燃烧装置(RTO)燃烧温度不低于760℃</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催化燃烧装置(CO)燃烧温度不低于300℃。使用活性炭等吸附工艺的企业</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应选择符合相关产品质量标准的吸附剂</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并提供产品质量证明材料</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在运行过程中应足额充填、及时更换</w:t>
                  </w:r>
                  <w:r>
                    <w:rPr>
                      <w:rFonts w:hint="eastAsia"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并确保废气在吸附装置中有足够的停留时间。</w:t>
                  </w:r>
                  <w:r>
                    <w:rPr>
                      <w:rFonts w:hint="default" w:ascii="Times New Roman" w:hAnsi="Times New Roman" w:eastAsia="宋体" w:cs="Times New Roman"/>
                      <w:b w:val="0"/>
                      <w:bCs w:val="0"/>
                      <w:sz w:val="21"/>
                      <w:szCs w:val="21"/>
                      <w:highlight w:val="none"/>
                      <w:lang w:val="en-US" w:eastAsia="zh-CN"/>
                    </w:rPr>
                    <w:t>保存期限不少于五年</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法律法规或标准另有规定的除外。企业应及时清洗更换吸附剂、吸收剂、催化剂、蓄热体、过滤棉等治理设施耗材</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确保治理设施能够稳定高效运行。治理设施应严格按照设计方案和操作规程运行</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原 则上蓄热式燃烧装置(RTO)燃烧温度不低于760°C</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催化燃烧装置(CO)燃烧温度不低于300°C。使用活性炭等吸附工艺的企业</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应选择符合相关产品质量标准的吸附剂</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并提供产品质量证明材料</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在运行过程中应足额充填、及时更换</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并确保废气在吸附装置中有足够的停留时间。</w:t>
                  </w:r>
                </w:p>
              </w:tc>
              <w:tc>
                <w:tcPr>
                  <w:tcW w:w="939"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企业按照要求建立废气治理台账，台账保存期限不低于五年。企业采用活性炭吸附有机废气，需外购符合质量标准的活性炭产品，按照环评的要求填充活性炭的量，并进行定期的更换</w:t>
                  </w:r>
                </w:p>
              </w:tc>
              <w:tc>
                <w:tcPr>
                  <w:tcW w:w="398" w:type="pct"/>
                  <w:tcBorders>
                    <w:tl2br w:val="nil"/>
                    <w:tr2bl w:val="nil"/>
                  </w:tcBorders>
                  <w:noWrap w:val="0"/>
                  <w:vAlign w:val="center"/>
                </w:tcPr>
                <w:p>
                  <w:pPr>
                    <w:pStyle w:val="84"/>
                    <w:spacing w:line="240" w:lineRule="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符合</w:t>
                  </w:r>
                </w:p>
              </w:tc>
            </w:tr>
          </w:tbl>
          <w:p>
            <w:pPr>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综上所述，本项目符合国家及省、市相关环保要求。</w:t>
            </w:r>
          </w:p>
          <w:p>
            <w:pPr>
              <w:spacing w:line="360" w:lineRule="auto"/>
              <w:rPr>
                <w:rFonts w:hint="eastAsia" w:cs="Times New Roman"/>
                <w:kern w:val="0"/>
                <w:sz w:val="24"/>
                <w:szCs w:val="24"/>
                <w:highlight w:val="none"/>
                <w:lang w:val="en-US" w:eastAsia="zh-CN"/>
              </w:rPr>
            </w:pPr>
            <w:r>
              <w:rPr>
                <w:rFonts w:hint="eastAsia" w:cs="Times New Roman"/>
                <w:kern w:val="0"/>
                <w:sz w:val="24"/>
                <w:szCs w:val="24"/>
                <w:highlight w:val="none"/>
                <w:lang w:val="en-US" w:eastAsia="zh-CN"/>
              </w:rPr>
              <w:t xml:space="preserve"> </w:t>
            </w: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eastAsia" w:cs="Times New Roman"/>
                <w:kern w:val="0"/>
                <w:sz w:val="24"/>
                <w:szCs w:val="24"/>
                <w:highlight w:val="none"/>
                <w:lang w:val="en-US" w:eastAsia="zh-CN"/>
              </w:rPr>
            </w:pPr>
          </w:p>
          <w:p>
            <w:pPr>
              <w:pStyle w:val="2"/>
              <w:rPr>
                <w:rFonts w:hint="default" w:cs="Times New Roman"/>
                <w:kern w:val="0"/>
                <w:sz w:val="24"/>
                <w:szCs w:val="24"/>
                <w:highlight w:val="none"/>
                <w:lang w:val="en-US" w:eastAsia="zh-CN"/>
              </w:rPr>
            </w:pPr>
          </w:p>
          <w:p>
            <w:pPr>
              <w:spacing w:line="360" w:lineRule="auto"/>
              <w:rPr>
                <w:rFonts w:hint="default" w:ascii="Times New Roman" w:hAnsi="Times New Roman" w:eastAsia="宋体" w:cs="Times New Roman"/>
                <w:kern w:val="0"/>
                <w:sz w:val="24"/>
                <w:szCs w:val="24"/>
                <w:highlight w:val="none"/>
                <w:lang w:val="en-US" w:eastAsia="zh-CN"/>
              </w:rPr>
            </w:pPr>
          </w:p>
        </w:tc>
      </w:tr>
    </w:tbl>
    <w:p>
      <w:pPr>
        <w:spacing w:line="360" w:lineRule="auto"/>
        <w:outlineLvl w:val="0"/>
        <w:rPr>
          <w:rFonts w:hint="default" w:ascii="Times New Roman" w:hAnsi="Times New Roman" w:eastAsia="黑体" w:cs="Times New Roman"/>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jc w:val="center"/>
        <w:outlineLvl w:val="0"/>
        <w:rPr>
          <w:rFonts w:hint="default" w:ascii="Times New Roman" w:hAnsi="Times New Roman" w:eastAsia="黑体" w:cs="Times New Roman"/>
          <w:snapToGrid w:val="0"/>
          <w:sz w:val="30"/>
          <w:szCs w:val="30"/>
          <w:highlight w:val="none"/>
        </w:rPr>
      </w:pPr>
      <w:r>
        <w:rPr>
          <w:rFonts w:hint="default" w:ascii="Times New Roman" w:hAnsi="Times New Roman" w:eastAsia="黑体" w:cs="Times New Roman"/>
          <w:snapToGrid w:val="0"/>
          <w:sz w:val="30"/>
          <w:szCs w:val="30"/>
          <w:highlight w:val="none"/>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96" w:type="dxa"/>
            <w:tcBorders>
              <w:top w:val="single" w:color="auto" w:sz="8" w:space="0"/>
              <w:bottom w:val="single" w:color="auto" w:sz="4" w:space="0"/>
            </w:tcBorders>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建设内容</w:t>
            </w:r>
          </w:p>
        </w:tc>
        <w:tc>
          <w:tcPr>
            <w:tcW w:w="8488" w:type="dxa"/>
            <w:tcBorders>
              <w:top w:val="single" w:color="auto" w:sz="8" w:space="0"/>
              <w:bottom w:val="single" w:color="auto" w:sz="4" w:space="0"/>
            </w:tcBorders>
            <w:noWrap w:val="0"/>
            <w:vAlign w:val="top"/>
          </w:tcPr>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1、项目由来</w:t>
            </w:r>
          </w:p>
          <w:p>
            <w:pPr>
              <w:adjustRightInd w:val="0"/>
              <w:snapToGrid w:val="0"/>
              <w:spacing w:line="360" w:lineRule="auto"/>
              <w:ind w:firstLine="480" w:firstLineChars="200"/>
              <w:rPr>
                <w:rFonts w:hint="default" w:ascii="Times New Roman" w:hAnsi="Times New Roman" w:eastAsia="宋体" w:cs="Times New Roman"/>
                <w:bCs/>
                <w:sz w:val="24"/>
                <w:szCs w:val="24"/>
                <w:highlight w:val="none"/>
                <w:lang w:eastAsia="zh-CN"/>
              </w:rPr>
            </w:pPr>
            <w:r>
              <w:rPr>
                <w:rFonts w:hint="default" w:ascii="Times New Roman" w:hAnsi="Times New Roman" w:cs="Times New Roman"/>
                <w:bCs/>
                <w:sz w:val="24"/>
                <w:szCs w:val="24"/>
                <w:highlight w:val="none"/>
              </w:rPr>
              <w:t>（1）</w:t>
            </w:r>
            <w:r>
              <w:rPr>
                <w:rFonts w:hint="default" w:ascii="Times New Roman" w:hAnsi="Times New Roman" w:cs="Times New Roman"/>
                <w:bCs/>
                <w:sz w:val="24"/>
                <w:szCs w:val="24"/>
                <w:highlight w:val="none"/>
                <w:lang w:eastAsia="zh-CN"/>
              </w:rPr>
              <w:t>公司介绍</w:t>
            </w:r>
          </w:p>
          <w:p>
            <w:pPr>
              <w:adjustRightInd w:val="0"/>
              <w:snapToGrid w:val="0"/>
              <w:spacing w:line="360" w:lineRule="auto"/>
              <w:ind w:firstLine="480" w:firstLineChars="200"/>
              <w:rPr>
                <w:rFonts w:hint="default" w:ascii="Times New Roman" w:hAnsi="Times New Roman" w:cs="Times New Roman"/>
                <w:bCs/>
                <w:sz w:val="24"/>
                <w:szCs w:val="24"/>
                <w:highlight w:val="none"/>
                <w:lang w:val="zh-CN"/>
              </w:rPr>
            </w:pPr>
            <w:r>
              <w:rPr>
                <w:rFonts w:hint="default" w:ascii="Times New Roman" w:hAnsi="Times New Roman" w:cs="Times New Roman"/>
                <w:bCs/>
                <w:sz w:val="24"/>
                <w:szCs w:val="24"/>
                <w:highlight w:val="none"/>
                <w:lang w:val="zh-CN"/>
              </w:rPr>
              <w:t>桓台昱丰包装制品厂（92370321MAC5BGY628）成立于2022年12月，组织形式为个人经营，经营者马昌征，注册地址位于山东省淄博市桓台县果里镇德阳学校东100米，经营范围：一般项目：包装材料及制品销售；塑料制品销售；纸制品销售；塑料包装箱及容器制造；金属包装容器及材料制造；纸制品制造；金属包装容器及材料销售；塑料制品制造。（除依法须经批准的项目外，凭营业执照依法自主开展经营活动）。</w:t>
            </w:r>
          </w:p>
          <w:p>
            <w:pPr>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（2）项目</w:t>
            </w:r>
            <w:r>
              <w:rPr>
                <w:rFonts w:hint="default" w:ascii="Times New Roman" w:hAnsi="Times New Roman" w:cs="Times New Roman"/>
                <w:bCs/>
                <w:sz w:val="24"/>
                <w:szCs w:val="24"/>
                <w:highlight w:val="none"/>
                <w:lang w:eastAsia="zh-CN"/>
              </w:rPr>
              <w:t>介绍</w:t>
            </w:r>
          </w:p>
          <w:p>
            <w:pPr>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eastAsia="zh-CN"/>
              </w:rPr>
              <w:t>公司</w:t>
            </w:r>
            <w:r>
              <w:rPr>
                <w:rFonts w:hint="default" w:ascii="Times New Roman" w:hAnsi="Times New Roman" w:cs="Times New Roman"/>
                <w:bCs/>
                <w:sz w:val="24"/>
                <w:szCs w:val="24"/>
                <w:highlight w:val="none"/>
              </w:rPr>
              <w:t>拟投资</w:t>
            </w:r>
            <w:r>
              <w:rPr>
                <w:rFonts w:hint="eastAsia" w:cs="Times New Roman"/>
                <w:bCs/>
                <w:sz w:val="24"/>
                <w:szCs w:val="24"/>
                <w:highlight w:val="none"/>
                <w:lang w:val="en-US" w:eastAsia="zh-CN"/>
              </w:rPr>
              <w:t>3</w:t>
            </w:r>
            <w:r>
              <w:rPr>
                <w:rFonts w:hint="default" w:ascii="Times New Roman" w:hAnsi="Times New Roman" w:cs="Times New Roman"/>
                <w:bCs/>
                <w:sz w:val="24"/>
                <w:szCs w:val="24"/>
                <w:highlight w:val="none"/>
                <w:lang w:val="en-US" w:eastAsia="zh-CN"/>
              </w:rPr>
              <w:t>00</w:t>
            </w:r>
            <w:r>
              <w:rPr>
                <w:rFonts w:hint="default" w:ascii="Times New Roman" w:hAnsi="Times New Roman" w:cs="Times New Roman"/>
                <w:bCs/>
                <w:sz w:val="24"/>
                <w:szCs w:val="24"/>
                <w:highlight w:val="none"/>
              </w:rPr>
              <w:t>万元开展</w:t>
            </w:r>
            <w:r>
              <w:rPr>
                <w:rFonts w:hint="default" w:ascii="Times New Roman" w:hAnsi="Times New Roman" w:eastAsia="宋体" w:cs="Times New Roman"/>
                <w:bCs/>
                <w:sz w:val="24"/>
                <w:szCs w:val="24"/>
                <w:highlight w:val="none"/>
              </w:rPr>
              <w:t>“塑料制品生产项目”</w:t>
            </w:r>
            <w:r>
              <w:rPr>
                <w:rFonts w:hint="default" w:ascii="Times New Roman" w:hAnsi="Times New Roman" w:eastAsia="宋体" w:cs="Times New Roman"/>
                <w:bCs/>
                <w:sz w:val="24"/>
                <w:szCs w:val="24"/>
                <w:highlight w:val="none"/>
                <w:lang w:eastAsia="zh-CN"/>
              </w:rPr>
              <w:t>，</w:t>
            </w:r>
            <w:r>
              <w:rPr>
                <w:rFonts w:hint="default" w:ascii="Times New Roman" w:hAnsi="Times New Roman" w:cs="Times New Roman"/>
                <w:bCs/>
                <w:sz w:val="24"/>
                <w:szCs w:val="24"/>
                <w:highlight w:val="none"/>
              </w:rPr>
              <w:t>根据《建设项目环境影响评价分类管理名录（2021年版）》，本项目所涉及的行业类别如下：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表2-</w:t>
            </w:r>
            <w:r>
              <w:rPr>
                <w:rFonts w:hint="default" w:ascii="Times New Roman" w:hAnsi="Times New Roman" w:cs="Times New Roman"/>
                <w:b/>
                <w:sz w:val="21"/>
                <w:szCs w:val="21"/>
                <w:highlight w:val="none"/>
                <w:lang w:val="en-US" w:eastAsia="zh-CN"/>
              </w:rPr>
              <w:t>1</w:t>
            </w:r>
            <w:r>
              <w:rPr>
                <w:rFonts w:hint="default" w:ascii="Times New Roman" w:hAnsi="Times New Roman" w:cs="Times New Roman"/>
                <w:b/>
                <w:sz w:val="21"/>
                <w:szCs w:val="21"/>
                <w:highlight w:val="none"/>
              </w:rPr>
              <w:t xml:space="preserve">  本项目环境影响评价分类管理名录一览表</w:t>
            </w:r>
          </w:p>
          <w:tbl>
            <w:tblPr>
              <w:tblStyle w:val="23"/>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693"/>
              <w:gridCol w:w="2683"/>
              <w:gridCol w:w="178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1" w:type="dxa"/>
                  <w:gridSpan w:val="2"/>
                  <w:tcBorders>
                    <w:tl2br w:val="single" w:color="auto" w:sz="4" w:space="0"/>
                  </w:tcBorders>
                  <w:noWrap w:val="0"/>
                  <w:vAlign w:val="center"/>
                </w:tcPr>
                <w:p>
                  <w:pPr>
                    <w:keepNext w:val="0"/>
                    <w:keepLines w:val="0"/>
                    <w:pageBreakBefore w:val="0"/>
                    <w:tabs>
                      <w:tab w:val="right" w:pos="2985"/>
                    </w:tabs>
                    <w:kinsoku/>
                    <w:wordWrap/>
                    <w:overflowPunct/>
                    <w:topLinePunct w:val="0"/>
                    <w:autoSpaceDE/>
                    <w:autoSpaceDN/>
                    <w:bidi w:val="0"/>
                    <w:adjustRightInd w:val="0"/>
                    <w:snapToGrid w:val="0"/>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ab/>
                  </w:r>
                  <w:r>
                    <w:rPr>
                      <w:rFonts w:hint="default" w:ascii="Times New Roman" w:hAnsi="Times New Roman" w:cs="Times New Roman"/>
                      <w:b/>
                      <w:sz w:val="21"/>
                      <w:szCs w:val="21"/>
                      <w:highlight w:val="none"/>
                    </w:rPr>
                    <w:t>环评类别</w:t>
                  </w:r>
                </w:p>
                <w:p>
                  <w:pPr>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项目类别</w:t>
                  </w:r>
                </w:p>
              </w:tc>
              <w:tc>
                <w:tcPr>
                  <w:tcW w:w="268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报告书</w:t>
                  </w:r>
                </w:p>
              </w:tc>
              <w:tc>
                <w:tcPr>
                  <w:tcW w:w="178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报告表</w:t>
                  </w:r>
                </w:p>
              </w:tc>
              <w:tc>
                <w:tcPr>
                  <w:tcW w:w="682" w:type="dxa"/>
                  <w:noWrap w:val="0"/>
                  <w:vAlign w:val="center"/>
                </w:tcPr>
                <w:p>
                  <w:pPr>
                    <w:keepNext w:val="0"/>
                    <w:keepLines w:val="0"/>
                    <w:pageBreakBefore w:val="0"/>
                    <w:kinsoku/>
                    <w:wordWrap/>
                    <w:overflowPunct/>
                    <w:topLinePunct w:val="0"/>
                    <w:autoSpaceDE/>
                    <w:autoSpaceDN/>
                    <w:bidi w:val="0"/>
                    <w:adjustRightInd w:val="0"/>
                    <w:snapToGrid w:val="0"/>
                    <w:ind w:left="-107" w:leftChars="-51" w:right="-57" w:rightChars="-27"/>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4" w:type="dxa"/>
                  <w:gridSpan w:val="5"/>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b/>
                      <w:bCs/>
                      <w:sz w:val="21"/>
                      <w:szCs w:val="21"/>
                      <w:highlight w:val="none"/>
                      <w:lang w:val="en-US"/>
                    </w:rPr>
                  </w:pPr>
                  <w:r>
                    <w:rPr>
                      <w:rFonts w:hint="default" w:ascii="Times New Roman" w:hAnsi="Times New Roman" w:cs="Times New Roman" w:eastAsiaTheme="minorEastAsia"/>
                      <w:b/>
                      <w:bCs/>
                      <w:color w:val="000000"/>
                      <w:kern w:val="0"/>
                      <w:sz w:val="21"/>
                      <w:szCs w:val="21"/>
                      <w:highlight w:val="none"/>
                      <w:lang w:val="en-US" w:eastAsia="zh-CN" w:bidi="ar"/>
                    </w:rPr>
                    <w:t>二十六、橡胶和塑料制品业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53</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塑料制品业 292</w:t>
                  </w:r>
                </w:p>
              </w:tc>
              <w:tc>
                <w:tcPr>
                  <w:tcW w:w="26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以再生塑料为原料生产的；有电镀工艺的；年用溶剂型胶粘剂10吨及以上的；年用溶剂型涂料（含稀释剂）10吨及以上的</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其他（年用非溶剂型低VOCs含量涂料10吨以下的除外）</w:t>
                  </w:r>
                </w:p>
              </w:tc>
              <w:tc>
                <w:tcPr>
                  <w:tcW w:w="68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w:t>
                  </w:r>
                </w:p>
              </w:tc>
            </w:tr>
          </w:tbl>
          <w:p>
            <w:pPr>
              <w:adjustRightInd w:val="0"/>
              <w:snapToGrid w:val="0"/>
              <w:spacing w:line="360" w:lineRule="auto"/>
              <w:ind w:firstLine="480" w:firstLineChars="200"/>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本项目</w:t>
            </w:r>
            <w:r>
              <w:rPr>
                <w:rFonts w:hint="default" w:ascii="Times New Roman" w:hAnsi="Times New Roman" w:cs="Times New Roman"/>
                <w:sz w:val="24"/>
                <w:szCs w:val="24"/>
                <w:highlight w:val="none"/>
                <w:lang w:val="en-US" w:eastAsia="zh-CN"/>
              </w:rPr>
              <w:t>不以再</w:t>
            </w:r>
            <w:r>
              <w:rPr>
                <w:rFonts w:hint="default" w:ascii="Times New Roman" w:hAnsi="Times New Roman" w:cs="Times New Roman"/>
                <w:color w:val="auto"/>
                <w:sz w:val="24"/>
                <w:szCs w:val="24"/>
                <w:highlight w:val="none"/>
                <w:lang w:val="en-US" w:eastAsia="zh-CN"/>
              </w:rPr>
              <w:t>生塑料为原料生产的、不使用溶剂型涂料（含稀释剂），因此本项</w:t>
            </w:r>
            <w:r>
              <w:rPr>
                <w:rFonts w:hint="default" w:ascii="Times New Roman" w:hAnsi="Times New Roman" w:cs="Times New Roman"/>
                <w:sz w:val="24"/>
                <w:szCs w:val="24"/>
                <w:highlight w:val="none"/>
                <w:lang w:val="en-US" w:eastAsia="zh-CN"/>
              </w:rPr>
              <w:t>目属于报告表类别中</w:t>
            </w:r>
            <w:r>
              <w:rPr>
                <w:rFonts w:hint="default" w:ascii="Times New Roman" w:hAnsi="Times New Roman" w:eastAsia="宋体" w:cs="Times New Roman"/>
                <w:sz w:val="24"/>
                <w:szCs w:val="24"/>
                <w:highlight w:val="none"/>
                <w:lang w:val="en-US" w:eastAsia="zh-CN"/>
              </w:rPr>
              <w:t>的“其他（年用非溶剂型低VOCs含量涂料10吨以下的除外）”，因此</w:t>
            </w:r>
            <w:r>
              <w:rPr>
                <w:rFonts w:hint="default" w:ascii="Times New Roman" w:hAnsi="Times New Roman" w:eastAsia="宋体" w:cs="Times New Roman"/>
                <w:sz w:val="24"/>
                <w:szCs w:val="24"/>
                <w:highlight w:val="none"/>
              </w:rPr>
              <w:t>属于应编制环境影响评价报告表的项目。</w:t>
            </w:r>
          </w:p>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2、建设项目概况</w:t>
            </w:r>
          </w:p>
          <w:p>
            <w:pPr>
              <w:adjustRightInd w:val="0"/>
              <w:snapToGrid w:val="0"/>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cs="Times New Roman"/>
                <w:bCs/>
                <w:sz w:val="24"/>
                <w:szCs w:val="24"/>
                <w:highlight w:val="none"/>
              </w:rPr>
              <w:t>项目名称：</w:t>
            </w:r>
            <w:r>
              <w:rPr>
                <w:rFonts w:hint="default" w:ascii="Times New Roman" w:hAnsi="Times New Roman" w:eastAsia="宋体" w:cs="Times New Roman"/>
                <w:bCs/>
                <w:sz w:val="24"/>
                <w:szCs w:val="24"/>
                <w:highlight w:val="none"/>
              </w:rPr>
              <w:t>塑料制品生产项目</w:t>
            </w:r>
          </w:p>
          <w:p>
            <w:pPr>
              <w:adjustRightInd w:val="0"/>
              <w:snapToGrid w:val="0"/>
              <w:spacing w:line="360" w:lineRule="auto"/>
              <w:ind w:firstLine="480" w:firstLineChars="200"/>
              <w:rPr>
                <w:rFonts w:hint="default" w:ascii="Times New Roman" w:hAnsi="Times New Roman" w:cs="Times New Roman"/>
                <w:sz w:val="24"/>
                <w:szCs w:val="24"/>
                <w:highlight w:val="none"/>
                <w:lang w:eastAsia="zh-CN"/>
              </w:rPr>
            </w:pPr>
            <w:r>
              <w:rPr>
                <w:rFonts w:hint="default" w:ascii="Times New Roman" w:hAnsi="Times New Roman" w:cs="Times New Roman"/>
                <w:bCs/>
                <w:sz w:val="24"/>
                <w:szCs w:val="24"/>
                <w:highlight w:val="none"/>
              </w:rPr>
              <w:t>建设单位：</w:t>
            </w:r>
            <w:r>
              <w:rPr>
                <w:rFonts w:hint="default" w:ascii="Times New Roman" w:hAnsi="Times New Roman" w:cs="Times New Roman"/>
                <w:bCs/>
                <w:sz w:val="24"/>
                <w:szCs w:val="24"/>
                <w:highlight w:val="none"/>
                <w:lang w:val="zh-CN"/>
              </w:rPr>
              <w:t>桓台昱丰包装制品厂</w:t>
            </w:r>
          </w:p>
          <w:p>
            <w:pPr>
              <w:adjustRightInd w:val="0"/>
              <w:snapToGrid w:val="0"/>
              <w:spacing w:line="360" w:lineRule="auto"/>
              <w:ind w:firstLine="480" w:firstLineChars="200"/>
              <w:rPr>
                <w:rFonts w:hint="default" w:ascii="Times New Roman" w:hAnsi="Times New Roman" w:eastAsia="宋体" w:cs="Times New Roman"/>
                <w:bCs/>
                <w:sz w:val="24"/>
                <w:szCs w:val="24"/>
                <w:highlight w:val="none"/>
                <w:lang w:eastAsia="zh-CN"/>
              </w:rPr>
            </w:pPr>
            <w:r>
              <w:rPr>
                <w:rFonts w:hint="default" w:ascii="Times New Roman" w:hAnsi="Times New Roman" w:cs="Times New Roman"/>
                <w:bCs/>
                <w:sz w:val="24"/>
                <w:szCs w:val="24"/>
                <w:highlight w:val="none"/>
              </w:rPr>
              <w:t>建设性质：</w:t>
            </w:r>
            <w:r>
              <w:rPr>
                <w:rFonts w:hint="default" w:ascii="Times New Roman" w:hAnsi="Times New Roman" w:cs="Times New Roman"/>
                <w:bCs/>
                <w:sz w:val="24"/>
                <w:szCs w:val="24"/>
                <w:highlight w:val="none"/>
                <w:lang w:eastAsia="zh-CN"/>
              </w:rPr>
              <w:t>新建</w:t>
            </w:r>
          </w:p>
          <w:p>
            <w:pPr>
              <w:adjustRightInd w:val="0"/>
              <w:snapToGrid w:val="0"/>
              <w:spacing w:line="360" w:lineRule="auto"/>
              <w:ind w:firstLine="480" w:firstLineChars="200"/>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sz w:val="24"/>
                <w:szCs w:val="24"/>
                <w:highlight w:val="none"/>
              </w:rPr>
              <w:t>项目地点：本项目建设地点位于</w:t>
            </w:r>
            <w:r>
              <w:rPr>
                <w:rFonts w:hint="default" w:ascii="Times New Roman" w:hAnsi="Times New Roman" w:eastAsia="宋体" w:cs="Times New Roman"/>
                <w:sz w:val="24"/>
                <w:szCs w:val="24"/>
                <w:highlight w:val="none"/>
                <w:lang w:val="en-US" w:eastAsia="zh-CN"/>
              </w:rPr>
              <w:t>山东省淄博市桓台县果里镇德阳学校东100米</w:t>
            </w:r>
            <w:r>
              <w:rPr>
                <w:rFonts w:hint="default" w:ascii="Times New Roman" w:hAnsi="Times New Roman" w:cs="Times New Roman"/>
                <w:bCs/>
                <w:sz w:val="24"/>
                <w:szCs w:val="24"/>
                <w:highlight w:val="none"/>
                <w:lang w:val="en-US" w:eastAsia="zh-CN"/>
              </w:rPr>
              <w:t>，</w:t>
            </w:r>
            <w:r>
              <w:rPr>
                <w:rFonts w:hint="default" w:ascii="Times New Roman" w:hAnsi="Times New Roman" w:cs="Times New Roman"/>
                <w:bCs/>
                <w:sz w:val="24"/>
                <w:szCs w:val="24"/>
                <w:highlight w:val="none"/>
              </w:rPr>
              <w:t>中心经纬度：</w:t>
            </w:r>
            <w:r>
              <w:rPr>
                <w:rFonts w:hint="default" w:ascii="Times New Roman" w:hAnsi="Times New Roman" w:cs="Times New Roman"/>
                <w:bCs/>
                <w:sz w:val="24"/>
                <w:szCs w:val="24"/>
                <w:highlight w:val="none"/>
                <w:lang w:eastAsia="zh-CN"/>
              </w:rPr>
              <w:t>东经118.</w:t>
            </w:r>
            <w:r>
              <w:rPr>
                <w:rFonts w:hint="eastAsia" w:cs="Times New Roman"/>
                <w:bCs/>
                <w:sz w:val="24"/>
                <w:szCs w:val="24"/>
                <w:highlight w:val="none"/>
                <w:lang w:val="en-US" w:eastAsia="zh-CN"/>
              </w:rPr>
              <w:t>088376</w:t>
            </w:r>
            <w:r>
              <w:rPr>
                <w:rFonts w:hint="default" w:ascii="Times New Roman" w:hAnsi="Times New Roman" w:cs="Times New Roman"/>
                <w:bCs/>
                <w:sz w:val="24"/>
                <w:szCs w:val="24"/>
                <w:highlight w:val="none"/>
                <w:lang w:val="en-US" w:eastAsia="zh-CN"/>
              </w:rPr>
              <w:t>°</w:t>
            </w:r>
            <w:r>
              <w:rPr>
                <w:rFonts w:hint="default" w:ascii="Times New Roman" w:hAnsi="Times New Roman" w:cs="Times New Roman"/>
                <w:bCs/>
                <w:sz w:val="24"/>
                <w:szCs w:val="24"/>
                <w:highlight w:val="none"/>
              </w:rPr>
              <w:t>，</w:t>
            </w:r>
            <w:r>
              <w:rPr>
                <w:rFonts w:hint="default" w:ascii="Times New Roman" w:hAnsi="Times New Roman" w:cs="Times New Roman"/>
                <w:bCs/>
                <w:sz w:val="24"/>
                <w:szCs w:val="24"/>
                <w:highlight w:val="none"/>
                <w:lang w:eastAsia="zh-CN"/>
              </w:rPr>
              <w:t>北纬36.</w:t>
            </w:r>
            <w:r>
              <w:rPr>
                <w:rFonts w:hint="eastAsia" w:cs="Times New Roman"/>
                <w:bCs/>
                <w:sz w:val="24"/>
                <w:szCs w:val="24"/>
                <w:highlight w:val="none"/>
                <w:lang w:val="en-US" w:eastAsia="zh-CN"/>
              </w:rPr>
              <w:t>912789</w:t>
            </w:r>
            <w:r>
              <w:rPr>
                <w:rFonts w:hint="default" w:ascii="Times New Roman" w:hAnsi="Times New Roman" w:cs="Times New Roman"/>
                <w:bCs/>
                <w:sz w:val="24"/>
                <w:szCs w:val="24"/>
                <w:highlight w:val="none"/>
                <w:lang w:val="en-US" w:eastAsia="zh-CN"/>
              </w:rPr>
              <w:t>°</w:t>
            </w:r>
            <w:r>
              <w:rPr>
                <w:rFonts w:hint="default" w:ascii="Times New Roman" w:hAnsi="Times New Roman" w:cs="Times New Roman"/>
                <w:bCs/>
                <w:sz w:val="24"/>
                <w:szCs w:val="24"/>
                <w:highlight w:val="none"/>
              </w:rPr>
              <w:t>。项目所在地</w:t>
            </w:r>
            <w:r>
              <w:rPr>
                <w:rFonts w:hint="default" w:ascii="Times New Roman" w:hAnsi="Times New Roman" w:cs="Times New Roman"/>
                <w:bCs/>
                <w:color w:val="auto"/>
                <w:sz w:val="24"/>
                <w:szCs w:val="24"/>
                <w:highlight w:val="none"/>
              </w:rPr>
              <w:t>理位置详见附图1。根据现场勘察可知</w:t>
            </w:r>
            <w:r>
              <w:rPr>
                <w:rFonts w:hint="default" w:ascii="Times New Roman" w:hAnsi="Times New Roman" w:cs="Times New Roman"/>
                <w:bCs/>
                <w:sz w:val="24"/>
                <w:szCs w:val="24"/>
                <w:highlight w:val="none"/>
                <w:lang w:val="en-US" w:eastAsia="zh-CN"/>
              </w:rPr>
              <w:t>，</w:t>
            </w:r>
            <w:r>
              <w:rPr>
                <w:rFonts w:hint="default" w:ascii="Times New Roman" w:hAnsi="Times New Roman" w:cs="Times New Roman"/>
                <w:bCs/>
                <w:color w:val="auto"/>
                <w:sz w:val="24"/>
                <w:szCs w:val="24"/>
                <w:highlight w:val="none"/>
              </w:rPr>
              <w:t>厂区</w:t>
            </w:r>
            <w:r>
              <w:rPr>
                <w:rFonts w:hint="default" w:ascii="Times New Roman" w:hAnsi="Times New Roman" w:cs="Times New Roman"/>
                <w:bCs/>
                <w:color w:val="auto"/>
                <w:sz w:val="24"/>
                <w:szCs w:val="24"/>
                <w:highlight w:val="none"/>
                <w:lang w:eastAsia="zh-CN"/>
              </w:rPr>
              <w:t>西侧为山东赛特新材料股份有限公司，南</w:t>
            </w:r>
            <w:r>
              <w:rPr>
                <w:rFonts w:hint="default" w:ascii="Times New Roman" w:hAnsi="Times New Roman" w:cs="Times New Roman"/>
                <w:bCs/>
                <w:color w:val="auto"/>
                <w:sz w:val="24"/>
                <w:szCs w:val="24"/>
                <w:highlight w:val="none"/>
              </w:rPr>
              <w:t>侧</w:t>
            </w:r>
            <w:r>
              <w:rPr>
                <w:rFonts w:hint="default" w:ascii="Times New Roman" w:hAnsi="Times New Roman" w:cs="Times New Roman"/>
                <w:bCs/>
                <w:color w:val="auto"/>
                <w:sz w:val="24"/>
                <w:szCs w:val="24"/>
                <w:highlight w:val="none"/>
                <w:lang w:eastAsia="zh-CN"/>
              </w:rPr>
              <w:t>为</w:t>
            </w:r>
            <w:r>
              <w:rPr>
                <w:rFonts w:hint="default" w:ascii="Times New Roman" w:hAnsi="Times New Roman" w:cs="Times New Roman"/>
                <w:bCs/>
                <w:color w:val="auto"/>
                <w:sz w:val="24"/>
                <w:szCs w:val="24"/>
                <w:highlight w:val="none"/>
                <w:lang w:val="en-US" w:eastAsia="zh-CN"/>
              </w:rPr>
              <w:t>淄博圣容纸制品有限公司</w:t>
            </w:r>
            <w:r>
              <w:rPr>
                <w:rFonts w:hint="eastAsia" w:cs="Times New Roman"/>
                <w:bCs/>
                <w:color w:val="auto"/>
                <w:sz w:val="24"/>
                <w:szCs w:val="24"/>
                <w:highlight w:val="none"/>
                <w:lang w:val="en-US" w:eastAsia="zh-CN"/>
              </w:rPr>
              <w:t>在建</w:t>
            </w:r>
            <w:r>
              <w:rPr>
                <w:rFonts w:hint="default" w:ascii="Times New Roman" w:hAnsi="Times New Roman" w:cs="Times New Roman"/>
                <w:bCs/>
                <w:color w:val="auto"/>
                <w:sz w:val="24"/>
                <w:szCs w:val="24"/>
                <w:highlight w:val="none"/>
                <w:lang w:val="en-US" w:eastAsia="zh-CN"/>
              </w:rPr>
              <w:t>厂房</w:t>
            </w:r>
            <w:r>
              <w:rPr>
                <w:rFonts w:hint="default" w:ascii="Times New Roman" w:hAnsi="Times New Roman" w:cs="Times New Roman"/>
                <w:bCs/>
                <w:color w:val="auto"/>
                <w:sz w:val="24"/>
                <w:szCs w:val="24"/>
                <w:highlight w:val="none"/>
                <w:lang w:eastAsia="zh-CN"/>
              </w:rPr>
              <w:t>，东侧</w:t>
            </w:r>
            <w:r>
              <w:rPr>
                <w:rFonts w:hint="default" w:ascii="Times New Roman" w:hAnsi="Times New Roman" w:cs="Times New Roman"/>
                <w:bCs/>
                <w:color w:val="auto"/>
                <w:sz w:val="24"/>
                <w:szCs w:val="24"/>
                <w:highlight w:val="none"/>
              </w:rPr>
              <w:t>为</w:t>
            </w:r>
            <w:r>
              <w:rPr>
                <w:rFonts w:hint="default" w:ascii="Times New Roman" w:hAnsi="Times New Roman" w:cs="Times New Roman"/>
                <w:bCs/>
                <w:color w:val="auto"/>
                <w:sz w:val="24"/>
                <w:szCs w:val="24"/>
                <w:highlight w:val="none"/>
                <w:lang w:val="en-US" w:eastAsia="zh-CN"/>
              </w:rPr>
              <w:t>淄博圣容纸制品有限公司</w:t>
            </w:r>
            <w:r>
              <w:rPr>
                <w:rFonts w:hint="eastAsia" w:cs="Times New Roman"/>
                <w:bCs/>
                <w:color w:val="auto"/>
                <w:sz w:val="24"/>
                <w:szCs w:val="24"/>
                <w:highlight w:val="none"/>
                <w:lang w:val="en-US" w:eastAsia="zh-CN"/>
              </w:rPr>
              <w:t>在建</w:t>
            </w:r>
            <w:r>
              <w:rPr>
                <w:rFonts w:hint="default" w:ascii="Times New Roman" w:hAnsi="Times New Roman" w:cs="Times New Roman"/>
                <w:bCs/>
                <w:color w:val="auto"/>
                <w:sz w:val="24"/>
                <w:szCs w:val="24"/>
                <w:highlight w:val="none"/>
                <w:lang w:val="en-US" w:eastAsia="zh-CN"/>
              </w:rPr>
              <w:t>厂房</w:t>
            </w:r>
            <w:r>
              <w:rPr>
                <w:rFonts w:hint="default" w:ascii="Times New Roman" w:hAnsi="Times New Roman" w:cs="Times New Roman"/>
                <w:bCs/>
                <w:color w:val="0000FF"/>
                <w:sz w:val="24"/>
                <w:szCs w:val="24"/>
                <w:highlight w:val="none"/>
                <w:lang w:eastAsia="zh-CN"/>
              </w:rPr>
              <w:t>，</w:t>
            </w:r>
            <w:r>
              <w:rPr>
                <w:rFonts w:hint="default" w:ascii="Times New Roman" w:hAnsi="Times New Roman" w:cs="Times New Roman"/>
                <w:bCs/>
                <w:sz w:val="24"/>
                <w:szCs w:val="24"/>
                <w:highlight w:val="none"/>
                <w:lang w:eastAsia="zh-CN"/>
              </w:rPr>
              <w:t>北侧为</w:t>
            </w:r>
            <w:r>
              <w:rPr>
                <w:rFonts w:hint="default" w:ascii="Times New Roman" w:hAnsi="Times New Roman" w:cs="Times New Roman"/>
                <w:bCs/>
                <w:sz w:val="24"/>
                <w:szCs w:val="24"/>
                <w:highlight w:val="none"/>
                <w:lang w:val="en-US" w:eastAsia="zh-CN"/>
              </w:rPr>
              <w:t>桓台润通金属材料有限公司</w:t>
            </w:r>
            <w:r>
              <w:rPr>
                <w:rFonts w:hint="default" w:ascii="Times New Roman" w:hAnsi="Times New Roman" w:cs="Times New Roman"/>
                <w:bCs/>
                <w:sz w:val="24"/>
                <w:szCs w:val="24"/>
                <w:highlight w:val="none"/>
              </w:rPr>
              <w:t>。</w:t>
            </w:r>
            <w:r>
              <w:rPr>
                <w:rFonts w:hint="default" w:ascii="Times New Roman" w:hAnsi="Times New Roman" w:cs="Times New Roman"/>
                <w:bCs/>
                <w:color w:val="auto"/>
                <w:sz w:val="24"/>
                <w:szCs w:val="24"/>
                <w:highlight w:val="none"/>
              </w:rPr>
              <w:t>距离本项目最近的敏感目标为厂区</w:t>
            </w:r>
            <w:r>
              <w:rPr>
                <w:rFonts w:hint="default" w:ascii="Times New Roman" w:hAnsi="Times New Roman" w:cs="Times New Roman"/>
                <w:bCs/>
                <w:color w:val="auto"/>
                <w:sz w:val="24"/>
                <w:szCs w:val="24"/>
                <w:highlight w:val="none"/>
                <w:lang w:val="en-US" w:eastAsia="zh-CN"/>
              </w:rPr>
              <w:t>东</w:t>
            </w:r>
            <w:r>
              <w:rPr>
                <w:rFonts w:hint="default" w:ascii="Times New Roman" w:hAnsi="Times New Roman" w:cs="Times New Roman"/>
                <w:bCs/>
                <w:color w:val="auto"/>
                <w:sz w:val="24"/>
                <w:szCs w:val="24"/>
                <w:highlight w:val="none"/>
              </w:rPr>
              <w:t>侧的</w:t>
            </w:r>
            <w:r>
              <w:rPr>
                <w:rFonts w:hint="eastAsia" w:cs="Times New Roman"/>
                <w:bCs/>
                <w:color w:val="auto"/>
                <w:sz w:val="24"/>
                <w:szCs w:val="24"/>
                <w:highlight w:val="none"/>
                <w:lang w:eastAsia="zh-CN"/>
              </w:rPr>
              <w:t>西龙</w:t>
            </w:r>
            <w:r>
              <w:rPr>
                <w:rFonts w:hint="default" w:ascii="Times New Roman" w:hAnsi="Times New Roman" w:cs="Times New Roman"/>
                <w:bCs/>
                <w:color w:val="auto"/>
                <w:sz w:val="24"/>
                <w:szCs w:val="24"/>
                <w:highlight w:val="none"/>
                <w:lang w:eastAsia="zh-CN"/>
              </w:rPr>
              <w:t>村</w:t>
            </w:r>
            <w:r>
              <w:rPr>
                <w:rFonts w:hint="default" w:ascii="Times New Roman" w:hAnsi="Times New Roman" w:cs="Times New Roman"/>
                <w:bCs/>
                <w:color w:val="auto"/>
                <w:sz w:val="24"/>
                <w:szCs w:val="24"/>
                <w:highlight w:val="none"/>
              </w:rPr>
              <w:t>，距离约</w:t>
            </w:r>
            <w:r>
              <w:rPr>
                <w:rFonts w:hint="eastAsia" w:cs="Times New Roman"/>
                <w:bCs/>
                <w:color w:val="auto"/>
                <w:sz w:val="24"/>
                <w:szCs w:val="24"/>
                <w:highlight w:val="none"/>
                <w:lang w:val="en-US" w:eastAsia="zh-CN"/>
              </w:rPr>
              <w:t>85</w:t>
            </w:r>
            <w:r>
              <w:rPr>
                <w:rFonts w:hint="default" w:ascii="Times New Roman" w:hAnsi="Times New Roman" w:cs="Times New Roman"/>
                <w:bCs/>
                <w:color w:val="auto"/>
                <w:sz w:val="24"/>
                <w:szCs w:val="24"/>
                <w:highlight w:val="none"/>
              </w:rPr>
              <w:t>m</w:t>
            </w:r>
            <w:r>
              <w:rPr>
                <w:rFonts w:hint="default" w:ascii="Times New Roman" w:hAnsi="Times New Roman" w:cs="Times New Roman"/>
                <w:b w:val="0"/>
                <w:bCs w:val="0"/>
                <w:color w:val="auto"/>
                <w:sz w:val="24"/>
                <w:szCs w:val="24"/>
                <w:highlight w:val="none"/>
                <w:lang w:val="en-US" w:eastAsia="zh-CN"/>
              </w:rPr>
              <w:t>。项目</w:t>
            </w:r>
            <w:r>
              <w:rPr>
                <w:rFonts w:hint="default" w:ascii="Times New Roman" w:hAnsi="Times New Roman" w:cs="Times New Roman"/>
                <w:b w:val="0"/>
                <w:bCs w:val="0"/>
                <w:sz w:val="24"/>
                <w:szCs w:val="24"/>
                <w:highlight w:val="none"/>
                <w:lang w:val="en-US" w:eastAsia="zh-CN"/>
              </w:rPr>
              <w:t>所在地位置优越，交通运输便利。</w:t>
            </w:r>
            <w:r>
              <w:rPr>
                <w:rFonts w:hint="default" w:ascii="Times New Roman" w:hAnsi="Times New Roman" w:cs="Times New Roman"/>
                <w:bCs/>
                <w:color w:val="auto"/>
                <w:sz w:val="24"/>
                <w:szCs w:val="24"/>
                <w:highlight w:val="none"/>
              </w:rPr>
              <w:t>项目周边环境情况详见附图</w:t>
            </w:r>
            <w:r>
              <w:rPr>
                <w:rFonts w:hint="default" w:ascii="Times New Roman" w:hAnsi="Times New Roman" w:cs="Times New Roman"/>
                <w:bCs/>
                <w:color w:val="auto"/>
                <w:sz w:val="24"/>
                <w:szCs w:val="24"/>
                <w:highlight w:val="none"/>
                <w:lang w:val="en-US" w:eastAsia="zh-CN"/>
              </w:rPr>
              <w:t>3</w:t>
            </w:r>
            <w:r>
              <w:rPr>
                <w:rFonts w:hint="default" w:ascii="Times New Roman" w:hAnsi="Times New Roman" w:cs="Times New Roman"/>
                <w:bCs/>
                <w:color w:val="auto"/>
                <w:sz w:val="24"/>
                <w:szCs w:val="24"/>
                <w:highlight w:val="none"/>
                <w:lang w:eastAsia="zh-CN"/>
              </w:rPr>
              <w:t>。</w:t>
            </w:r>
          </w:p>
          <w:p>
            <w:pPr>
              <w:adjustRightInd w:val="0"/>
              <w:snapToGrid w:val="0"/>
              <w:spacing w:line="360" w:lineRule="auto"/>
              <w:ind w:firstLine="480" w:firstLineChars="200"/>
              <w:rPr>
                <w:rFonts w:hint="default" w:ascii="Times New Roman" w:hAnsi="Times New Roman" w:cs="Times New Roman"/>
                <w:bCs/>
                <w:sz w:val="24"/>
                <w:szCs w:val="24"/>
                <w:highlight w:val="none"/>
                <w:lang w:val="en-US"/>
              </w:rPr>
            </w:pPr>
            <w:r>
              <w:rPr>
                <w:rFonts w:hint="default" w:ascii="Times New Roman" w:hAnsi="Times New Roman" w:cs="Times New Roman"/>
                <w:bCs/>
                <w:sz w:val="24"/>
                <w:szCs w:val="24"/>
                <w:highlight w:val="none"/>
              </w:rPr>
              <w:t>建设内容：项目位于</w:t>
            </w:r>
            <w:r>
              <w:rPr>
                <w:rFonts w:hint="default" w:ascii="Times New Roman" w:hAnsi="Times New Roman" w:eastAsia="宋体" w:cs="Times New Roman"/>
                <w:sz w:val="24"/>
                <w:szCs w:val="24"/>
                <w:highlight w:val="none"/>
                <w:lang w:val="en-US" w:eastAsia="zh-CN"/>
              </w:rPr>
              <w:t>山东省淄博市桓台县果里镇德阳学校东100米</w:t>
            </w:r>
            <w:r>
              <w:rPr>
                <w:rFonts w:hint="default" w:ascii="Times New Roman" w:hAnsi="Times New Roman" w:cs="Times New Roman"/>
                <w:bCs/>
                <w:sz w:val="24"/>
                <w:szCs w:val="24"/>
                <w:highlight w:val="none"/>
              </w:rPr>
              <w:t>，</w:t>
            </w:r>
            <w:r>
              <w:rPr>
                <w:rFonts w:hint="default" w:ascii="Times New Roman" w:hAnsi="Times New Roman" w:cs="Times New Roman"/>
                <w:bCs/>
                <w:sz w:val="24"/>
                <w:szCs w:val="24"/>
                <w:highlight w:val="none"/>
                <w:lang w:val="en-US" w:eastAsia="zh-CN"/>
              </w:rPr>
              <w:t>项目</w:t>
            </w:r>
            <w:r>
              <w:rPr>
                <w:rFonts w:hint="default" w:ascii="Times New Roman" w:hAnsi="Times New Roman" w:cs="Times New Roman"/>
                <w:bCs/>
                <w:sz w:val="24"/>
                <w:szCs w:val="24"/>
                <w:highlight w:val="none"/>
              </w:rPr>
              <w:t>占地面积</w:t>
            </w:r>
            <w:r>
              <w:rPr>
                <w:rFonts w:hint="default" w:ascii="Times New Roman" w:hAnsi="Times New Roman" w:cs="Times New Roman"/>
                <w:bCs/>
                <w:sz w:val="24"/>
                <w:szCs w:val="24"/>
                <w:highlight w:val="none"/>
                <w:lang w:val="en-US" w:eastAsia="zh-CN"/>
              </w:rPr>
              <w:t>约</w:t>
            </w:r>
            <w:r>
              <w:rPr>
                <w:rFonts w:hint="default" w:ascii="Times New Roman" w:hAnsi="Times New Roman" w:cs="Times New Roman"/>
                <w:bCs/>
                <w:sz w:val="24"/>
                <w:szCs w:val="24"/>
                <w:highlight w:val="none"/>
              </w:rPr>
              <w:t>为</w:t>
            </w:r>
            <w:r>
              <w:rPr>
                <w:rFonts w:hint="eastAsia" w:cs="Times New Roman"/>
                <w:bCs/>
                <w:sz w:val="24"/>
                <w:szCs w:val="24"/>
                <w:highlight w:val="none"/>
                <w:lang w:val="en-US" w:eastAsia="zh-CN"/>
              </w:rPr>
              <w:t>70</w:t>
            </w:r>
            <w:r>
              <w:rPr>
                <w:rFonts w:hint="default" w:ascii="Times New Roman" w:hAnsi="Times New Roman" w:cs="Times New Roman"/>
                <w:bCs/>
                <w:sz w:val="24"/>
                <w:szCs w:val="24"/>
                <w:highlight w:val="none"/>
              </w:rPr>
              <w:t>0平方米，</w:t>
            </w:r>
            <w:r>
              <w:rPr>
                <w:rFonts w:hint="eastAsia" w:cs="Times New Roman"/>
                <w:bCs/>
                <w:sz w:val="24"/>
                <w:szCs w:val="24"/>
                <w:highlight w:val="none"/>
                <w:lang w:eastAsia="zh-CN"/>
              </w:rPr>
              <w:t>租赁现有厂房</w:t>
            </w:r>
            <w:r>
              <w:rPr>
                <w:rFonts w:hint="default" w:ascii="Times New Roman" w:hAnsi="Times New Roman" w:cs="Times New Roman"/>
                <w:bCs/>
                <w:sz w:val="24"/>
                <w:szCs w:val="24"/>
                <w:highlight w:val="none"/>
              </w:rPr>
              <w:t>；购置吹膜机、风冷造粒机等主要生产及配套设备9台（套）；项目建成后年产</w:t>
            </w:r>
            <w:r>
              <w:rPr>
                <w:rFonts w:hint="eastAsia" w:cs="Times New Roman"/>
                <w:bCs/>
                <w:sz w:val="24"/>
                <w:szCs w:val="24"/>
                <w:highlight w:val="none"/>
                <w:lang w:eastAsia="zh-CN"/>
              </w:rPr>
              <w:t>工业薄膜</w:t>
            </w:r>
            <w:r>
              <w:rPr>
                <w:rFonts w:hint="eastAsia" w:cs="Times New Roman"/>
                <w:bCs/>
                <w:sz w:val="24"/>
                <w:szCs w:val="24"/>
                <w:highlight w:val="none"/>
                <w:lang w:val="en-US" w:eastAsia="zh-CN"/>
              </w:rPr>
              <w:t>3</w:t>
            </w:r>
            <w:r>
              <w:rPr>
                <w:rFonts w:hint="default" w:ascii="Times New Roman" w:hAnsi="Times New Roman" w:cs="Times New Roman"/>
                <w:bCs/>
                <w:sz w:val="24"/>
                <w:szCs w:val="24"/>
                <w:highlight w:val="none"/>
              </w:rPr>
              <w:t>000吨</w:t>
            </w:r>
            <w:r>
              <w:rPr>
                <w:rFonts w:hint="default" w:ascii="Times New Roman" w:hAnsi="Times New Roman" w:cs="Times New Roman"/>
                <w:bCs/>
                <w:sz w:val="24"/>
                <w:szCs w:val="24"/>
                <w:highlight w:val="none"/>
                <w:lang w:val="en-US" w:eastAsia="zh-CN"/>
              </w:rPr>
              <w:t>。</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bCs/>
                <w:sz w:val="24"/>
                <w:szCs w:val="24"/>
                <w:highlight w:val="none"/>
              </w:rPr>
              <w:t>总投资及环保投资：总投资</w:t>
            </w:r>
            <w:r>
              <w:rPr>
                <w:rFonts w:hint="eastAsia" w:cs="Times New Roman"/>
                <w:bCs/>
                <w:sz w:val="24"/>
                <w:szCs w:val="24"/>
                <w:highlight w:val="none"/>
                <w:lang w:val="en-US" w:eastAsia="zh-CN"/>
              </w:rPr>
              <w:t>3</w:t>
            </w:r>
            <w:r>
              <w:rPr>
                <w:rFonts w:hint="default" w:ascii="Times New Roman" w:hAnsi="Times New Roman" w:cs="Times New Roman"/>
                <w:bCs/>
                <w:sz w:val="24"/>
                <w:szCs w:val="24"/>
                <w:highlight w:val="none"/>
                <w:lang w:val="en-US" w:eastAsia="zh-CN"/>
              </w:rPr>
              <w:t>00</w:t>
            </w:r>
            <w:r>
              <w:rPr>
                <w:rFonts w:hint="default" w:ascii="Times New Roman" w:hAnsi="Times New Roman" w:cs="Times New Roman"/>
                <w:bCs/>
                <w:sz w:val="24"/>
                <w:szCs w:val="24"/>
                <w:highlight w:val="none"/>
              </w:rPr>
              <w:t>万元，</w:t>
            </w:r>
            <w:r>
              <w:rPr>
                <w:rFonts w:hint="default" w:ascii="Times New Roman" w:hAnsi="Times New Roman" w:cs="Times New Roman"/>
                <w:bCs/>
                <w:color w:val="000000" w:themeColor="text1"/>
                <w:sz w:val="24"/>
                <w:szCs w:val="24"/>
                <w:highlight w:val="none"/>
                <w14:textFill>
                  <w14:solidFill>
                    <w14:schemeClr w14:val="tx1"/>
                  </w14:solidFill>
                </w14:textFill>
              </w:rPr>
              <w:t>环保投资</w:t>
            </w:r>
            <w:r>
              <w:rPr>
                <w:rFonts w:hint="eastAsia"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0</w:t>
            </w:r>
            <w:r>
              <w:rPr>
                <w:rFonts w:hint="default" w:ascii="Times New Roman" w:hAnsi="Times New Roman" w:cs="Times New Roman"/>
                <w:bCs/>
                <w:color w:val="000000" w:themeColor="text1"/>
                <w:sz w:val="24"/>
                <w:szCs w:val="24"/>
                <w:highlight w:val="none"/>
                <w14:textFill>
                  <w14:solidFill>
                    <w14:schemeClr w14:val="tx1"/>
                  </w14:solidFill>
                </w14:textFill>
              </w:rPr>
              <w:t>万元，占总投资的</w:t>
            </w:r>
            <w:r>
              <w:rPr>
                <w:rFonts w:hint="eastAsia" w:cs="Times New Roman"/>
                <w:bCs/>
                <w:color w:val="000000" w:themeColor="text1"/>
                <w:sz w:val="24"/>
                <w:szCs w:val="24"/>
                <w:highlight w:val="none"/>
                <w:lang w:val="en-US" w:eastAsia="zh-CN"/>
                <w14:textFill>
                  <w14:solidFill>
                    <w14:schemeClr w14:val="tx1"/>
                  </w14:solidFill>
                </w14:textFill>
              </w:rPr>
              <w:t>6.7</w:t>
            </w:r>
            <w:r>
              <w:rPr>
                <w:rFonts w:hint="default" w:ascii="Times New Roman" w:hAnsi="Times New Roman" w:cs="Times New Roman"/>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拟建项目工程组成见下表。</w:t>
            </w:r>
          </w:p>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default" w:ascii="Times New Roman" w:hAnsi="Times New Roman" w:eastAsia="宋体" w:cs="Times New Roman"/>
                <w:bCs/>
                <w:sz w:val="21"/>
                <w:szCs w:val="21"/>
                <w:highlight w:val="none"/>
                <w:lang w:val="en-US" w:eastAsia="zh-CN" w:bidi="ar"/>
              </w:rPr>
              <w:t>2</w:t>
            </w:r>
            <w:r>
              <w:rPr>
                <w:rStyle w:val="57"/>
                <w:rFonts w:hint="default" w:ascii="Times New Roman" w:hAnsi="Times New Roman" w:eastAsia="宋体" w:cs="Times New Roman"/>
                <w:bCs/>
                <w:sz w:val="21"/>
                <w:szCs w:val="21"/>
                <w:highlight w:val="none"/>
                <w:lang w:bidi="ar"/>
              </w:rPr>
              <w:t xml:space="preserve">  项目工程组成一览表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87"/>
              <w:gridCol w:w="532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127" w:type="pct"/>
                  <w:gridSpan w:val="2"/>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名称</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建设内容</w:t>
                  </w:r>
                </w:p>
              </w:tc>
              <w:tc>
                <w:tcPr>
                  <w:tcW w:w="64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eastAsia" w:ascii="Times New Roman" w:hAnsi="Times New Roman" w:eastAsia="宋体" w:cs="Times New Roman"/>
                      <w:b/>
                      <w:bCs w:val="0"/>
                      <w:sz w:val="21"/>
                      <w:szCs w:val="21"/>
                      <w:highlight w:val="none"/>
                      <w:lang w:eastAsia="zh-CN"/>
                    </w:rPr>
                  </w:pPr>
                  <w:r>
                    <w:rPr>
                      <w:rFonts w:hint="eastAsia" w:cs="Times New Roman"/>
                      <w:b/>
                      <w:bCs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主体工程</w:t>
                  </w:r>
                </w:p>
              </w:tc>
              <w:tc>
                <w:tcPr>
                  <w:tcW w:w="718" w:type="pct"/>
                  <w:noWrap w:val="0"/>
                  <w:vAlign w:val="center"/>
                </w:tcPr>
                <w:p>
                  <w:pPr>
                    <w:pStyle w:val="74"/>
                    <w:spacing w:line="240" w:lineRule="auto"/>
                    <w:ind w:firstLine="0" w:firstLineChars="0"/>
                    <w:jc w:val="center"/>
                    <w:rPr>
                      <w:rFonts w:hint="default" w:ascii="Times New Roman" w:hAnsi="Times New Roman" w:cs="Times New Roman"/>
                      <w:bCs/>
                      <w:color w:val="0000FF"/>
                      <w:sz w:val="21"/>
                      <w:szCs w:val="21"/>
                      <w:highlight w:val="none"/>
                      <w:lang w:val="en-US" w:eastAsia="zh-CN"/>
                    </w:rPr>
                  </w:pPr>
                  <w:r>
                    <w:rPr>
                      <w:rStyle w:val="49"/>
                      <w:rFonts w:hint="eastAsia" w:cs="Times New Roman"/>
                      <w:b w:val="0"/>
                      <w:i w:val="0"/>
                      <w:caps w:val="0"/>
                      <w:color w:val="auto"/>
                      <w:spacing w:val="0"/>
                      <w:w w:val="100"/>
                      <w:kern w:val="2"/>
                      <w:sz w:val="21"/>
                      <w:szCs w:val="21"/>
                      <w:highlight w:val="none"/>
                      <w:lang w:val="en-US" w:eastAsia="zh-CN" w:bidi="ar-SA"/>
                    </w:rPr>
                    <w:t>生产</w:t>
                  </w:r>
                  <w:r>
                    <w:rPr>
                      <w:rStyle w:val="49"/>
                      <w:rFonts w:hint="default" w:ascii="Times New Roman" w:hAnsi="Times New Roman" w:cs="Times New Roman"/>
                      <w:b w:val="0"/>
                      <w:i w:val="0"/>
                      <w:caps w:val="0"/>
                      <w:color w:val="auto"/>
                      <w:spacing w:val="0"/>
                      <w:w w:val="100"/>
                      <w:kern w:val="2"/>
                      <w:sz w:val="21"/>
                      <w:szCs w:val="21"/>
                      <w:highlight w:val="none"/>
                      <w:lang w:val="en-US" w:eastAsia="zh-CN" w:bidi="ar-SA"/>
                    </w:rPr>
                    <w:t>车间</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1座，1层，</w:t>
                  </w:r>
                  <w:r>
                    <w:rPr>
                      <w:rFonts w:hint="default" w:ascii="Times New Roman" w:hAnsi="Times New Roman" w:cs="Times New Roman"/>
                      <w:bCs/>
                      <w:color w:val="auto"/>
                      <w:sz w:val="21"/>
                      <w:szCs w:val="21"/>
                      <w:highlight w:val="none"/>
                      <w:lang w:eastAsia="zh-CN"/>
                    </w:rPr>
                    <w:t>建筑</w:t>
                  </w:r>
                  <w:r>
                    <w:rPr>
                      <w:rFonts w:hint="default" w:ascii="Times New Roman" w:hAnsi="Times New Roman" w:cs="Times New Roman"/>
                      <w:bCs/>
                      <w:color w:val="auto"/>
                      <w:sz w:val="21"/>
                      <w:szCs w:val="21"/>
                      <w:highlight w:val="none"/>
                    </w:rPr>
                    <w:t>面积约为</w:t>
                  </w:r>
                  <w:r>
                    <w:rPr>
                      <w:rFonts w:hint="eastAsia" w:cs="Times New Roman"/>
                      <w:bCs/>
                      <w:color w:val="auto"/>
                      <w:sz w:val="21"/>
                      <w:szCs w:val="21"/>
                      <w:highlight w:val="none"/>
                      <w:lang w:val="en-US" w:eastAsia="zh-CN"/>
                    </w:rPr>
                    <w:t>61</w:t>
                  </w:r>
                  <w:r>
                    <w:rPr>
                      <w:rFonts w:hint="default" w:ascii="Times New Roman" w:hAnsi="Times New Roman" w:cs="Times New Roman"/>
                      <w:bCs/>
                      <w:color w:val="auto"/>
                      <w:sz w:val="21"/>
                      <w:szCs w:val="21"/>
                      <w:highlight w:val="none"/>
                      <w:lang w:val="en-US" w:eastAsia="zh-CN"/>
                    </w:rPr>
                    <w:t>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r>
                    <w:rPr>
                      <w:rFonts w:hint="default" w:ascii="Times New Roman" w:hAnsi="Times New Roman" w:cs="Times New Roman"/>
                      <w:bCs/>
                      <w:color w:val="auto"/>
                      <w:sz w:val="21"/>
                      <w:szCs w:val="21"/>
                      <w:highlight w:val="none"/>
                      <w:lang w:eastAsia="zh-CN"/>
                    </w:rPr>
                    <w:t>，</w:t>
                  </w:r>
                  <w:r>
                    <w:rPr>
                      <w:rFonts w:hint="eastAsia" w:cs="Times New Roman"/>
                      <w:bCs/>
                      <w:color w:val="auto"/>
                      <w:sz w:val="21"/>
                      <w:szCs w:val="21"/>
                      <w:highlight w:val="none"/>
                      <w:lang w:val="en-US" w:eastAsia="zh-CN"/>
                    </w:rPr>
                    <w:t>生产车间内设置生产区、原料暂存区、产品暂存区和危废暂存间。其中生产区位于生产车间的北侧</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生产区内</w:t>
                  </w:r>
                  <w:r>
                    <w:rPr>
                      <w:rFonts w:hint="default" w:ascii="Times New Roman" w:hAnsi="Times New Roman" w:cs="Times New Roman"/>
                      <w:bCs/>
                      <w:color w:val="auto"/>
                      <w:sz w:val="21"/>
                      <w:szCs w:val="21"/>
                      <w:highlight w:val="none"/>
                      <w:lang w:val="en-US" w:eastAsia="zh-CN"/>
                    </w:rPr>
                    <w:t>布设吹膜机、风冷造粒机等</w:t>
                  </w:r>
                  <w:r>
                    <w:rPr>
                      <w:rFonts w:hint="eastAsia" w:cs="Times New Roman"/>
                      <w:bCs/>
                      <w:color w:val="auto"/>
                      <w:sz w:val="21"/>
                      <w:szCs w:val="21"/>
                      <w:highlight w:val="none"/>
                      <w:lang w:val="en-US" w:eastAsia="zh-CN"/>
                    </w:rPr>
                    <w:t>，用于塑料薄膜的生产。</w:t>
                  </w:r>
                </w:p>
              </w:tc>
              <w:tc>
                <w:tcPr>
                  <w:tcW w:w="649" w:type="pct"/>
                  <w:vMerge w:val="restar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eastAsia="zh-CN"/>
                    </w:rPr>
                    <w:t>租赁现有</w:t>
                  </w:r>
                  <w:r>
                    <w:rPr>
                      <w:rFonts w:hint="default" w:ascii="Times New Roman" w:hAnsi="Times New Roman" w:cs="Times New Roman"/>
                      <w:bCs/>
                      <w:sz w:val="21"/>
                      <w:szCs w:val="21"/>
                      <w:highlight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restar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eastAsia="宋体" w:cs="Times New Roman"/>
                      <w:bCs/>
                      <w:sz w:val="21"/>
                      <w:szCs w:val="21"/>
                      <w:highlight w:val="none"/>
                      <w:lang w:eastAsia="zh-CN"/>
                    </w:rPr>
                  </w:pPr>
                  <w:r>
                    <w:rPr>
                      <w:rFonts w:hint="default" w:ascii="Times New Roman" w:hAnsi="Times New Roman" w:cs="Times New Roman"/>
                      <w:bCs/>
                      <w:sz w:val="21"/>
                      <w:szCs w:val="21"/>
                      <w:highlight w:val="none"/>
                      <w:lang w:eastAsia="zh-CN"/>
                    </w:rPr>
                    <w:t>储运工程</w:t>
                  </w: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lang w:val="en-US" w:eastAsia="zh-CN"/>
                    </w:rPr>
                  </w:pPr>
                  <w:r>
                    <w:rPr>
                      <w:rFonts w:hint="eastAsia" w:cs="Times New Roman"/>
                      <w:bCs/>
                      <w:sz w:val="21"/>
                      <w:szCs w:val="21"/>
                      <w:highlight w:val="none"/>
                      <w:lang w:val="en-US" w:eastAsia="zh-CN"/>
                    </w:rPr>
                    <w:t>原料暂存区</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cs="Times New Roman"/>
                      <w:bCs/>
                      <w:color w:val="auto"/>
                      <w:sz w:val="21"/>
                      <w:szCs w:val="21"/>
                      <w:highlight w:val="none"/>
                    </w:rPr>
                  </w:pPr>
                  <w:r>
                    <w:rPr>
                      <w:rFonts w:hint="eastAsia" w:cs="Times New Roman"/>
                      <w:bCs/>
                      <w:color w:val="auto"/>
                      <w:sz w:val="21"/>
                      <w:szCs w:val="21"/>
                      <w:highlight w:val="none"/>
                      <w:lang w:val="en-US" w:eastAsia="zh-CN"/>
                    </w:rPr>
                    <w:t>1座，1层，</w:t>
                  </w:r>
                  <w:r>
                    <w:rPr>
                      <w:rFonts w:hint="default" w:ascii="Times New Roman" w:hAnsi="Times New Roman" w:cs="Times New Roman"/>
                      <w:bCs/>
                      <w:color w:val="auto"/>
                      <w:sz w:val="21"/>
                      <w:szCs w:val="21"/>
                      <w:highlight w:val="none"/>
                    </w:rPr>
                    <w:t>占地面积约为</w:t>
                  </w:r>
                  <w:r>
                    <w:rPr>
                      <w:rFonts w:hint="eastAsia" w:cs="Times New Roman"/>
                      <w:bCs/>
                      <w:color w:val="auto"/>
                      <w:sz w:val="21"/>
                      <w:szCs w:val="21"/>
                      <w:highlight w:val="none"/>
                      <w:lang w:val="en-US" w:eastAsia="zh-CN"/>
                    </w:rPr>
                    <w:t>3</w:t>
                  </w:r>
                  <w:r>
                    <w:rPr>
                      <w:rFonts w:hint="default" w:ascii="Times New Roman" w:hAnsi="Times New Roman" w:cs="Times New Roman"/>
                      <w:bCs/>
                      <w:color w:val="auto"/>
                      <w:sz w:val="21"/>
                      <w:szCs w:val="21"/>
                      <w:highlight w:val="none"/>
                      <w:lang w:val="en-US" w:eastAsia="zh-CN"/>
                    </w:rPr>
                    <w:t>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r>
                    <w:rPr>
                      <w:rFonts w:hint="default" w:ascii="Times New Roman" w:hAnsi="Times New Roman" w:cs="Times New Roman"/>
                      <w:bCs/>
                      <w:color w:val="auto"/>
                      <w:sz w:val="21"/>
                      <w:szCs w:val="21"/>
                      <w:highlight w:val="none"/>
                    </w:rPr>
                    <w:t>，</w:t>
                  </w:r>
                  <w:r>
                    <w:rPr>
                      <w:rFonts w:hint="eastAsia" w:cs="Times New Roman"/>
                      <w:bCs/>
                      <w:color w:val="auto"/>
                      <w:sz w:val="21"/>
                      <w:szCs w:val="21"/>
                      <w:highlight w:val="none"/>
                      <w:lang w:eastAsia="zh-CN"/>
                    </w:rPr>
                    <w:t>位于</w:t>
                  </w:r>
                  <w:r>
                    <w:rPr>
                      <w:rFonts w:hint="eastAsia" w:cs="Times New Roman"/>
                      <w:bCs/>
                      <w:color w:val="auto"/>
                      <w:sz w:val="21"/>
                      <w:szCs w:val="21"/>
                      <w:highlight w:val="none"/>
                      <w:lang w:val="en-US" w:eastAsia="zh-CN"/>
                    </w:rPr>
                    <w:t>生产</w:t>
                  </w:r>
                  <w:r>
                    <w:rPr>
                      <w:rFonts w:hint="eastAsia" w:cs="Times New Roman"/>
                      <w:bCs/>
                      <w:color w:val="auto"/>
                      <w:sz w:val="21"/>
                      <w:szCs w:val="21"/>
                      <w:highlight w:val="none"/>
                      <w:lang w:eastAsia="zh-CN"/>
                    </w:rPr>
                    <w:t>车间内南侧，</w:t>
                  </w:r>
                  <w:r>
                    <w:rPr>
                      <w:rFonts w:hint="default" w:ascii="Times New Roman" w:hAnsi="Times New Roman" w:cs="Times New Roman"/>
                      <w:bCs/>
                      <w:color w:val="auto"/>
                      <w:sz w:val="21"/>
                      <w:szCs w:val="21"/>
                      <w:highlight w:val="none"/>
                      <w:lang w:eastAsia="zh-CN"/>
                    </w:rPr>
                    <w:t>用于原料的储存</w:t>
                  </w:r>
                </w:p>
              </w:tc>
              <w:tc>
                <w:tcPr>
                  <w:tcW w:w="64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eastAsia="宋体" w:cs="Times New Roman"/>
                      <w:bCs/>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cs="Times New Roman"/>
                      <w:bCs/>
                      <w:sz w:val="21"/>
                      <w:szCs w:val="21"/>
                      <w:highlight w:val="none"/>
                      <w:lang w:eastAsia="zh-CN"/>
                    </w:rPr>
                  </w:pP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lang w:val="en-US" w:eastAsia="zh-CN"/>
                    </w:rPr>
                  </w:pPr>
                  <w:r>
                    <w:rPr>
                      <w:rFonts w:hint="eastAsia" w:cs="Times New Roman"/>
                      <w:bCs/>
                      <w:sz w:val="21"/>
                      <w:szCs w:val="21"/>
                      <w:highlight w:val="none"/>
                      <w:lang w:val="en-US" w:eastAsia="zh-CN"/>
                    </w:rPr>
                    <w:t>产品暂存区</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eastAsia" w:ascii="Times New Roman" w:hAnsi="Times New Roman" w:eastAsia="宋体" w:cs="Times New Roman"/>
                      <w:bCs/>
                      <w:color w:val="auto"/>
                      <w:kern w:val="2"/>
                      <w:position w:val="-10"/>
                      <w:sz w:val="21"/>
                      <w:szCs w:val="21"/>
                      <w:highlight w:val="none"/>
                      <w:lang w:val="en-US" w:eastAsia="zh-CN" w:bidi="ar-SA"/>
                    </w:rPr>
                  </w:pPr>
                  <w:r>
                    <w:rPr>
                      <w:rFonts w:hint="eastAsia" w:cs="Times New Roman"/>
                      <w:bCs/>
                      <w:color w:val="auto"/>
                      <w:sz w:val="21"/>
                      <w:szCs w:val="21"/>
                      <w:highlight w:val="none"/>
                      <w:lang w:val="en-US" w:eastAsia="zh-CN"/>
                    </w:rPr>
                    <w:t>1座，1层，</w:t>
                  </w:r>
                  <w:r>
                    <w:rPr>
                      <w:rFonts w:hint="default" w:ascii="Times New Roman" w:hAnsi="Times New Roman" w:cs="Times New Roman"/>
                      <w:bCs/>
                      <w:color w:val="auto"/>
                      <w:sz w:val="21"/>
                      <w:szCs w:val="21"/>
                      <w:highlight w:val="none"/>
                    </w:rPr>
                    <w:t>占地面积约为</w:t>
                  </w:r>
                  <w:r>
                    <w:rPr>
                      <w:rFonts w:hint="eastAsia" w:cs="Times New Roman"/>
                      <w:bCs/>
                      <w:color w:val="auto"/>
                      <w:sz w:val="21"/>
                      <w:szCs w:val="21"/>
                      <w:highlight w:val="none"/>
                      <w:lang w:val="en-US" w:eastAsia="zh-CN"/>
                    </w:rPr>
                    <w:t>3</w:t>
                  </w:r>
                  <w:r>
                    <w:rPr>
                      <w:rFonts w:hint="default" w:ascii="Times New Roman" w:hAnsi="Times New Roman" w:cs="Times New Roman"/>
                      <w:bCs/>
                      <w:color w:val="auto"/>
                      <w:sz w:val="21"/>
                      <w:szCs w:val="21"/>
                      <w:highlight w:val="none"/>
                      <w:lang w:val="en-US" w:eastAsia="zh-CN"/>
                    </w:rPr>
                    <w:t>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r>
                    <w:rPr>
                      <w:rFonts w:hint="default" w:ascii="Times New Roman" w:hAnsi="Times New Roman" w:cs="Times New Roman"/>
                      <w:bCs/>
                      <w:color w:val="auto"/>
                      <w:sz w:val="21"/>
                      <w:szCs w:val="21"/>
                      <w:highlight w:val="none"/>
                    </w:rPr>
                    <w:t>，</w:t>
                  </w:r>
                  <w:r>
                    <w:rPr>
                      <w:rFonts w:hint="eastAsia" w:cs="Times New Roman"/>
                      <w:bCs/>
                      <w:color w:val="auto"/>
                      <w:sz w:val="21"/>
                      <w:szCs w:val="21"/>
                      <w:highlight w:val="none"/>
                      <w:lang w:eastAsia="zh-CN"/>
                    </w:rPr>
                    <w:t>位于车间内东南</w:t>
                  </w:r>
                  <w:r>
                    <w:rPr>
                      <w:rFonts w:hint="eastAsia" w:cs="Times New Roman"/>
                      <w:bCs/>
                      <w:color w:val="auto"/>
                      <w:sz w:val="21"/>
                      <w:szCs w:val="21"/>
                      <w:highlight w:val="none"/>
                      <w:lang w:val="en-US" w:eastAsia="zh-CN"/>
                    </w:rPr>
                    <w:t>侧</w:t>
                  </w:r>
                  <w:r>
                    <w:rPr>
                      <w:rFonts w:hint="eastAsia"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eastAsia="zh-CN"/>
                    </w:rPr>
                    <w:t>用于</w:t>
                  </w:r>
                  <w:r>
                    <w:rPr>
                      <w:rFonts w:hint="default" w:ascii="Times New Roman" w:hAnsi="Times New Roman" w:cs="Times New Roman"/>
                      <w:bCs/>
                      <w:color w:val="auto"/>
                      <w:sz w:val="21"/>
                      <w:szCs w:val="21"/>
                      <w:highlight w:val="none"/>
                      <w:lang w:val="en-US" w:eastAsia="zh-CN"/>
                    </w:rPr>
                    <w:t>产品</w:t>
                  </w:r>
                  <w:r>
                    <w:rPr>
                      <w:rFonts w:hint="default" w:ascii="Times New Roman" w:hAnsi="Times New Roman" w:cs="Times New Roman"/>
                      <w:bCs/>
                      <w:color w:val="auto"/>
                      <w:sz w:val="21"/>
                      <w:szCs w:val="21"/>
                      <w:highlight w:val="none"/>
                      <w:lang w:eastAsia="zh-CN"/>
                    </w:rPr>
                    <w:t>的储存</w:t>
                  </w:r>
                  <w:r>
                    <w:rPr>
                      <w:rFonts w:hint="eastAsia" w:cs="Times New Roman"/>
                      <w:bCs/>
                      <w:color w:val="auto"/>
                      <w:sz w:val="21"/>
                      <w:szCs w:val="21"/>
                      <w:highlight w:val="none"/>
                      <w:lang w:eastAsia="zh-CN"/>
                    </w:rPr>
                    <w:t>。</w:t>
                  </w:r>
                </w:p>
              </w:tc>
              <w:tc>
                <w:tcPr>
                  <w:tcW w:w="64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eastAsia="宋体" w:cs="Times New Roman"/>
                      <w:bCs/>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lang w:val="en-US" w:eastAsia="zh-CN"/>
                    </w:rPr>
                    <w:t>辅助工程</w:t>
                  </w: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lang w:val="en-US" w:eastAsia="zh-CN"/>
                    </w:rPr>
                  </w:pPr>
                  <w:r>
                    <w:rPr>
                      <w:rFonts w:hint="default" w:ascii="Times New Roman" w:hAnsi="Times New Roman" w:cs="Times New Roman"/>
                      <w:bCs/>
                      <w:sz w:val="21"/>
                      <w:szCs w:val="21"/>
                      <w:highlight w:val="none"/>
                      <w:lang w:val="en-US" w:eastAsia="zh-CN"/>
                    </w:rPr>
                    <w:t>办公室</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1座，1层，</w:t>
                  </w:r>
                  <w:r>
                    <w:rPr>
                      <w:rFonts w:hint="default" w:ascii="Times New Roman" w:hAnsi="Times New Roman" w:cs="Times New Roman"/>
                      <w:bCs/>
                      <w:color w:val="auto"/>
                      <w:sz w:val="21"/>
                      <w:szCs w:val="21"/>
                      <w:highlight w:val="none"/>
                    </w:rPr>
                    <w:t>占地面积约为</w:t>
                  </w:r>
                  <w:r>
                    <w:rPr>
                      <w:rFonts w:hint="eastAsia" w:cs="Times New Roman"/>
                      <w:bCs/>
                      <w:color w:val="auto"/>
                      <w:sz w:val="21"/>
                      <w:szCs w:val="21"/>
                      <w:highlight w:val="none"/>
                      <w:lang w:val="en-US" w:eastAsia="zh-CN"/>
                    </w:rPr>
                    <w:t>9</w:t>
                  </w:r>
                  <w:r>
                    <w:rPr>
                      <w:rFonts w:hint="default" w:ascii="Times New Roman" w:hAnsi="Times New Roman" w:cs="Times New Roman"/>
                      <w:bCs/>
                      <w:color w:val="auto"/>
                      <w:sz w:val="21"/>
                      <w:szCs w:val="21"/>
                      <w:highlight w:val="none"/>
                      <w:lang w:val="en-US" w:eastAsia="zh-CN"/>
                    </w:rPr>
                    <w:t>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p>
              </w:tc>
              <w:tc>
                <w:tcPr>
                  <w:tcW w:w="64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restar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公用工程</w:t>
                  </w: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供水</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新鲜用水量为</w:t>
                  </w:r>
                  <w:r>
                    <w:rPr>
                      <w:rFonts w:hint="default" w:ascii="Times New Roman" w:hAnsi="Times New Roman" w:cs="Times New Roman"/>
                      <w:bCs/>
                      <w:sz w:val="21"/>
                      <w:szCs w:val="21"/>
                      <w:highlight w:val="none"/>
                      <w:lang w:val="en-US" w:eastAsia="zh-CN"/>
                    </w:rPr>
                    <w:t>90</w:t>
                  </w:r>
                  <w:r>
                    <w:rPr>
                      <w:rFonts w:hint="default" w:ascii="Times New Roman" w:hAnsi="Times New Roman" w:cs="Times New Roman"/>
                      <w:bCs/>
                      <w:sz w:val="21"/>
                      <w:szCs w:val="21"/>
                      <w:highlight w:val="none"/>
                    </w:rPr>
                    <w:t>m</w:t>
                  </w:r>
                  <w:r>
                    <w:rPr>
                      <w:rFonts w:hint="default" w:ascii="Times New Roman" w:hAnsi="Times New Roman" w:cs="Times New Roman"/>
                      <w:bCs/>
                      <w:sz w:val="21"/>
                      <w:szCs w:val="21"/>
                      <w:highlight w:val="none"/>
                      <w:vertAlign w:val="superscript"/>
                    </w:rPr>
                    <w:t>3</w:t>
                  </w:r>
                  <w:r>
                    <w:rPr>
                      <w:rFonts w:hint="default" w:ascii="Times New Roman" w:hAnsi="Times New Roman" w:cs="Times New Roman"/>
                      <w:bCs/>
                      <w:sz w:val="21"/>
                      <w:szCs w:val="21"/>
                      <w:highlight w:val="none"/>
                    </w:rPr>
                    <w:t>/a，用水</w:t>
                  </w:r>
                  <w:r>
                    <w:rPr>
                      <w:rFonts w:hint="default" w:ascii="Times New Roman" w:hAnsi="Times New Roman" w:cs="Times New Roman"/>
                      <w:bCs/>
                      <w:sz w:val="21"/>
                      <w:szCs w:val="21"/>
                      <w:highlight w:val="none"/>
                      <w:lang w:eastAsia="zh-CN"/>
                    </w:rPr>
                    <w:t>由</w:t>
                  </w:r>
                  <w:r>
                    <w:rPr>
                      <w:rFonts w:hint="eastAsia" w:cs="Times New Roman"/>
                      <w:bCs/>
                      <w:sz w:val="21"/>
                      <w:szCs w:val="21"/>
                      <w:highlight w:val="none"/>
                      <w:lang w:val="en-US" w:eastAsia="zh-CN"/>
                    </w:rPr>
                    <w:t>桓台县</w:t>
                  </w:r>
                  <w:r>
                    <w:rPr>
                      <w:rFonts w:hint="default" w:ascii="Times New Roman" w:hAnsi="Times New Roman" w:cs="Times New Roman"/>
                      <w:bCs/>
                      <w:sz w:val="21"/>
                      <w:szCs w:val="21"/>
                      <w:highlight w:val="none"/>
                    </w:rPr>
                    <w:t>供水管网供给</w:t>
                  </w:r>
                </w:p>
              </w:tc>
              <w:tc>
                <w:tcPr>
                  <w:tcW w:w="64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bCs/>
                      <w:sz w:val="21"/>
                      <w:szCs w:val="21"/>
                      <w:highlight w:val="none"/>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供电</w:t>
                  </w:r>
                </w:p>
              </w:tc>
              <w:tc>
                <w:tcPr>
                  <w:tcW w:w="3222"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年</w:t>
                  </w:r>
                  <w:r>
                    <w:rPr>
                      <w:rFonts w:hint="default" w:ascii="Times New Roman" w:hAnsi="Times New Roman" w:cs="Times New Roman"/>
                      <w:sz w:val="21"/>
                      <w:szCs w:val="21"/>
                      <w:highlight w:val="none"/>
                    </w:rPr>
                    <w:t>用电量</w:t>
                  </w:r>
                  <w:r>
                    <w:rPr>
                      <w:rFonts w:hint="eastAsia" w:cs="Times New Roman"/>
                      <w:sz w:val="21"/>
                      <w:szCs w:val="21"/>
                      <w:highlight w:val="none"/>
                      <w:lang w:val="en-US" w:eastAsia="zh-CN"/>
                    </w:rPr>
                    <w:t>30.82</w:t>
                  </w:r>
                  <w:r>
                    <w:rPr>
                      <w:rFonts w:hint="default" w:ascii="Times New Roman" w:hAnsi="Times New Roman" w:cs="Times New Roman"/>
                      <w:sz w:val="21"/>
                      <w:szCs w:val="21"/>
                      <w:highlight w:val="none"/>
                    </w:rPr>
                    <w:t>万kW·h，</w:t>
                  </w:r>
                  <w:r>
                    <w:rPr>
                      <w:rFonts w:hint="default" w:ascii="Times New Roman" w:hAnsi="Times New Roman" w:cs="Times New Roman"/>
                      <w:sz w:val="21"/>
                      <w:szCs w:val="21"/>
                      <w:highlight w:val="none"/>
                      <w:lang w:eastAsia="zh-CN"/>
                    </w:rPr>
                    <w:t>用电</w:t>
                  </w:r>
                  <w:r>
                    <w:rPr>
                      <w:rFonts w:hint="default" w:ascii="Times New Roman" w:hAnsi="Times New Roman" w:cs="Times New Roman"/>
                      <w:bCs/>
                      <w:sz w:val="21"/>
                      <w:szCs w:val="21"/>
                      <w:highlight w:val="none"/>
                    </w:rPr>
                    <w:t>由</w:t>
                  </w:r>
                  <w:r>
                    <w:rPr>
                      <w:rFonts w:hint="eastAsia" w:cs="Times New Roman"/>
                      <w:bCs/>
                      <w:sz w:val="21"/>
                      <w:szCs w:val="21"/>
                      <w:highlight w:val="none"/>
                      <w:lang w:val="en-US" w:eastAsia="zh-CN"/>
                    </w:rPr>
                    <w:t>桓台县</w:t>
                  </w:r>
                  <w:r>
                    <w:rPr>
                      <w:rFonts w:hint="default" w:ascii="Times New Roman" w:hAnsi="Times New Roman" w:cs="Times New Roman"/>
                      <w:bCs/>
                      <w:sz w:val="21"/>
                      <w:szCs w:val="21"/>
                      <w:highlight w:val="none"/>
                    </w:rPr>
                    <w:t>供</w:t>
                  </w:r>
                  <w:r>
                    <w:rPr>
                      <w:rFonts w:hint="default" w:ascii="Times New Roman" w:hAnsi="Times New Roman" w:cs="Times New Roman"/>
                      <w:bCs/>
                      <w:sz w:val="21"/>
                      <w:szCs w:val="21"/>
                      <w:highlight w:val="none"/>
                      <w:lang w:eastAsia="zh-CN"/>
                    </w:rPr>
                    <w:t>电</w:t>
                  </w:r>
                  <w:r>
                    <w:rPr>
                      <w:rFonts w:hint="default" w:ascii="Times New Roman" w:hAnsi="Times New Roman" w:cs="Times New Roman"/>
                      <w:bCs/>
                      <w:sz w:val="21"/>
                      <w:szCs w:val="21"/>
                      <w:highlight w:val="none"/>
                    </w:rPr>
                    <w:t>管网供给</w:t>
                  </w:r>
                </w:p>
              </w:tc>
              <w:tc>
                <w:tcPr>
                  <w:tcW w:w="649"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sz w:val="21"/>
                      <w:szCs w:val="21"/>
                      <w:highlight w:val="none"/>
                    </w:rPr>
                  </w:pPr>
                  <w:r>
                    <w:rPr>
                      <w:rFonts w:hint="default" w:ascii="Times New Roman" w:hAnsi="Times New Roman" w:eastAsia="宋体" w:cs="Times New Roman"/>
                      <w:bCs/>
                      <w:sz w:val="21"/>
                      <w:szCs w:val="21"/>
                      <w:highlight w:val="none"/>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restar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right="0" w:firstLine="0" w:firstLineChars="0"/>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环保工程</w:t>
                  </w: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废水处理</w:t>
                  </w:r>
                </w:p>
              </w:tc>
              <w:tc>
                <w:tcPr>
                  <w:tcW w:w="3872" w:type="pct"/>
                  <w:gridSpan w:val="2"/>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生活污水经化粪池处理后由环卫部门定期清运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cs="Times New Roman"/>
                      <w:sz w:val="21"/>
                      <w:szCs w:val="21"/>
                      <w:highlight w:val="none"/>
                    </w:rPr>
                  </w:pP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废气处理</w:t>
                  </w:r>
                </w:p>
              </w:tc>
              <w:tc>
                <w:tcPr>
                  <w:tcW w:w="3872" w:type="pct"/>
                  <w:gridSpan w:val="2"/>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加热吹膜与回用造粒过程中</w:t>
                  </w:r>
                  <w:r>
                    <w:rPr>
                      <w:rFonts w:hint="default" w:ascii="Times New Roman" w:hAnsi="Times New Roman" w:cs="Times New Roman"/>
                      <w:color w:val="auto"/>
                      <w:sz w:val="21"/>
                      <w:szCs w:val="21"/>
                      <w:highlight w:val="none"/>
                      <w:lang w:val="en-US" w:eastAsia="zh-CN"/>
                    </w:rPr>
                    <w:t>产生的VOCs</w:t>
                  </w:r>
                  <w:r>
                    <w:rPr>
                      <w:rFonts w:hint="eastAsia" w:cs="Times New Roman"/>
                      <w:color w:val="auto"/>
                      <w:sz w:val="21"/>
                      <w:szCs w:val="21"/>
                      <w:highlight w:val="none"/>
                      <w:lang w:val="en-US" w:eastAsia="zh-CN"/>
                    </w:rPr>
                    <w:t>经</w:t>
                  </w:r>
                  <w:r>
                    <w:rPr>
                      <w:rFonts w:hint="default" w:ascii="Times New Roman" w:hAnsi="Times New Roman" w:cs="Times New Roman"/>
                      <w:color w:val="auto"/>
                      <w:sz w:val="21"/>
                      <w:szCs w:val="21"/>
                      <w:highlight w:val="none"/>
                      <w:lang w:val="en-US" w:eastAsia="zh-CN"/>
                    </w:rPr>
                    <w:t>集气罩收集后通过</w:t>
                  </w:r>
                  <w:r>
                    <w:rPr>
                      <w:rFonts w:hint="eastAsia" w:cs="Times New Roman"/>
                      <w:color w:val="auto"/>
                      <w:sz w:val="21"/>
                      <w:szCs w:val="21"/>
                      <w:highlight w:val="none"/>
                      <w:lang w:val="en-US" w:eastAsia="zh-CN"/>
                    </w:rPr>
                    <w:t>二级</w:t>
                  </w:r>
                  <w:r>
                    <w:rPr>
                      <w:rFonts w:hint="default" w:ascii="Times New Roman" w:hAnsi="Times New Roman" w:cs="Times New Roman"/>
                      <w:color w:val="auto"/>
                      <w:sz w:val="21"/>
                      <w:szCs w:val="21"/>
                      <w:highlight w:val="none"/>
                      <w:lang w:val="en-US" w:eastAsia="zh-CN"/>
                    </w:rPr>
                    <w:t>活性炭处理，</w:t>
                  </w:r>
                  <w:r>
                    <w:rPr>
                      <w:rFonts w:hint="eastAsia" w:cs="Times New Roman"/>
                      <w:color w:val="auto"/>
                      <w:sz w:val="21"/>
                      <w:szCs w:val="21"/>
                      <w:highlight w:val="none"/>
                      <w:lang w:val="en-US" w:eastAsia="zh-CN"/>
                    </w:rPr>
                    <w:t>由</w:t>
                  </w:r>
                  <w:r>
                    <w:rPr>
                      <w:rFonts w:hint="default" w:ascii="Times New Roman" w:hAnsi="Times New Roman" w:cs="Times New Roman"/>
                      <w:color w:val="auto"/>
                      <w:sz w:val="21"/>
                      <w:szCs w:val="21"/>
                      <w:highlight w:val="none"/>
                      <w:lang w:val="en-US" w:eastAsia="zh-CN"/>
                    </w:rPr>
                    <w:t>15m高DA00</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固废处理</w:t>
                  </w:r>
                </w:p>
              </w:tc>
              <w:tc>
                <w:tcPr>
                  <w:tcW w:w="3872" w:type="pct"/>
                  <w:gridSpan w:val="2"/>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eastAsia" w:ascii="Times New Roman" w:hAnsi="Times New Roman" w:eastAsia="宋体" w:cs="Times New Roman"/>
                      <w:sz w:val="21"/>
                      <w:szCs w:val="21"/>
                      <w:highlight w:val="none"/>
                      <w:lang w:eastAsia="zh-CN"/>
                    </w:rPr>
                  </w:pPr>
                  <w:r>
                    <w:rPr>
                      <w:rFonts w:hint="default" w:ascii="Times New Roman" w:hAnsi="Times New Roman" w:cs="Times New Roman"/>
                      <w:color w:val="auto"/>
                      <w:sz w:val="21"/>
                      <w:szCs w:val="21"/>
                      <w:highlight w:val="none"/>
                      <w:lang w:eastAsia="zh-CN"/>
                    </w:rPr>
                    <w:t>本项目</w:t>
                  </w:r>
                  <w:r>
                    <w:rPr>
                      <w:rFonts w:hint="default" w:ascii="Times New Roman" w:hAnsi="Times New Roman" w:cs="Times New Roman"/>
                      <w:color w:val="auto"/>
                      <w:sz w:val="21"/>
                      <w:szCs w:val="21"/>
                      <w:highlight w:val="none"/>
                      <w:lang w:val="en-US" w:eastAsia="zh-CN"/>
                    </w:rPr>
                    <w:t>生活垃圾由环卫部门定期清运；</w:t>
                  </w:r>
                  <w:r>
                    <w:rPr>
                      <w:rFonts w:hint="eastAsia" w:cs="Times New Roman"/>
                      <w:color w:val="auto"/>
                      <w:sz w:val="21"/>
                      <w:szCs w:val="21"/>
                      <w:highlight w:val="none"/>
                      <w:lang w:val="en-US" w:eastAsia="zh-CN"/>
                    </w:rPr>
                    <w:t>废包装袋</w:t>
                  </w:r>
                  <w:r>
                    <w:rPr>
                      <w:rFonts w:hint="default" w:ascii="Times New Roman" w:hAnsi="Times New Roman" w:cs="Times New Roman"/>
                      <w:color w:val="auto"/>
                      <w:sz w:val="21"/>
                      <w:szCs w:val="21"/>
                      <w:highlight w:val="none"/>
                      <w:lang w:val="en-US" w:eastAsia="zh-CN"/>
                    </w:rPr>
                    <w:t>收集后外售；</w:t>
                  </w:r>
                  <w:r>
                    <w:rPr>
                      <w:rFonts w:hint="eastAsia" w:cs="Times New Roman"/>
                      <w:color w:val="auto"/>
                      <w:sz w:val="21"/>
                      <w:szCs w:val="21"/>
                      <w:highlight w:val="none"/>
                      <w:lang w:val="en-US" w:eastAsia="zh-CN"/>
                    </w:rPr>
                    <w:t>废边角料及不合格品回用于生产；</w:t>
                  </w:r>
                  <w:r>
                    <w:rPr>
                      <w:rFonts w:hint="default" w:ascii="Times New Roman" w:hAnsi="Times New Roman" w:cs="Times New Roman"/>
                      <w:color w:val="auto"/>
                      <w:sz w:val="21"/>
                      <w:szCs w:val="21"/>
                      <w:highlight w:val="none"/>
                    </w:rPr>
                    <w:t>废活性炭</w:t>
                  </w:r>
                  <w:r>
                    <w:rPr>
                      <w:rFonts w:hint="eastAsia" w:cs="Times New Roman"/>
                      <w:color w:val="auto"/>
                      <w:sz w:val="21"/>
                      <w:szCs w:val="21"/>
                      <w:highlight w:val="none"/>
                      <w:lang w:eastAsia="zh-CN"/>
                    </w:rPr>
                    <w:t>于</w:t>
                  </w:r>
                  <w:r>
                    <w:rPr>
                      <w:rFonts w:hint="default" w:ascii="Times New Roman" w:hAnsi="Times New Roman" w:cs="Times New Roman"/>
                      <w:color w:val="auto"/>
                      <w:sz w:val="21"/>
                      <w:szCs w:val="21"/>
                      <w:highlight w:val="none"/>
                    </w:rPr>
                    <w:t>危废间暂存后委托资质单位安全处置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09" w:type="pct"/>
                  <w:vMerge w:val="continue"/>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p>
              </w:tc>
              <w:tc>
                <w:tcPr>
                  <w:tcW w:w="718" w:type="pct"/>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auto"/>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噪声处理</w:t>
                  </w:r>
                </w:p>
              </w:tc>
              <w:tc>
                <w:tcPr>
                  <w:tcW w:w="3872" w:type="pct"/>
                  <w:gridSpan w:val="2"/>
                  <w:noWrap w:val="0"/>
                  <w:vAlign w:val="center"/>
                </w:tcPr>
                <w:p>
                  <w:pPr>
                    <w:pStyle w:val="52"/>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both"/>
                    <w:textAlignment w:val="auto"/>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生产设备置于封闭车间内，选用低噪声设备，合理布局，对高噪声设备采用隔声和减振措施</w:t>
                  </w:r>
                </w:p>
              </w:tc>
            </w:tr>
          </w:tbl>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3、产品方案</w:t>
            </w:r>
          </w:p>
          <w:p>
            <w:pPr>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生产产品方案见下表。</w:t>
            </w:r>
          </w:p>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default" w:ascii="Times New Roman" w:hAnsi="Times New Roman" w:eastAsia="宋体" w:cs="Times New Roman"/>
                <w:bCs/>
                <w:sz w:val="21"/>
                <w:szCs w:val="21"/>
                <w:highlight w:val="none"/>
                <w:lang w:val="en-US" w:eastAsia="zh-CN" w:bidi="ar"/>
              </w:rPr>
              <w:t>3</w:t>
            </w:r>
            <w:r>
              <w:rPr>
                <w:rStyle w:val="57"/>
                <w:rFonts w:hint="default" w:ascii="Times New Roman" w:hAnsi="Times New Roman" w:eastAsia="宋体" w:cs="Times New Roman"/>
                <w:bCs/>
                <w:sz w:val="21"/>
                <w:szCs w:val="21"/>
                <w:highlight w:val="none"/>
                <w:lang w:bidi="ar"/>
              </w:rPr>
              <w:t xml:space="preserve">  产品方案一览表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851"/>
              <w:gridCol w:w="154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noWrap w:val="0"/>
                  <w:vAlign w:val="center"/>
                </w:tcPr>
                <w:p>
                  <w:pPr>
                    <w:snapToGrid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序号</w:t>
                  </w:r>
                </w:p>
              </w:tc>
              <w:tc>
                <w:tcPr>
                  <w:tcW w:w="1120" w:type="pct"/>
                  <w:noWrap w:val="0"/>
                  <w:vAlign w:val="center"/>
                </w:tcPr>
                <w:p>
                  <w:pPr>
                    <w:snapToGrid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名称</w:t>
                  </w:r>
                </w:p>
              </w:tc>
              <w:tc>
                <w:tcPr>
                  <w:tcW w:w="936" w:type="pct"/>
                  <w:noWrap w:val="0"/>
                  <w:vAlign w:val="center"/>
                </w:tcPr>
                <w:p>
                  <w:pPr>
                    <w:snapToGrid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单位</w:t>
                  </w:r>
                </w:p>
              </w:tc>
              <w:tc>
                <w:tcPr>
                  <w:tcW w:w="1264" w:type="pct"/>
                  <w:noWrap w:val="0"/>
                  <w:vAlign w:val="center"/>
                </w:tcPr>
                <w:p>
                  <w:pPr>
                    <w:snapToGrid w:val="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rPr>
                    <w:t>产量</w:t>
                  </w:r>
                </w:p>
              </w:tc>
              <w:tc>
                <w:tcPr>
                  <w:tcW w:w="1264" w:type="pct"/>
                  <w:noWrap w:val="0"/>
                  <w:vAlign w:val="center"/>
                </w:tcPr>
                <w:p>
                  <w:pPr>
                    <w:snapToGrid w:val="0"/>
                    <w:jc w:val="center"/>
                    <w:rPr>
                      <w:rFonts w:hint="default" w:ascii="Times New Roman" w:hAnsi="Times New Roman" w:eastAsia="宋体" w:cs="Times New Roman"/>
                      <w:b/>
                      <w:bCs/>
                      <w:sz w:val="21"/>
                      <w:szCs w:val="21"/>
                      <w:highlight w:val="none"/>
                      <w:lang w:val="en-US" w:eastAsia="zh-CN"/>
                    </w:rPr>
                  </w:pPr>
                  <w:r>
                    <w:rPr>
                      <w:rFonts w:hint="eastAsia" w:cs="Times New Roman"/>
                      <w:b/>
                      <w:bCs/>
                      <w:sz w:val="21"/>
                      <w:szCs w:val="21"/>
                      <w:highlight w:val="none"/>
                      <w:lang w:eastAsia="zh-CN"/>
                    </w:rPr>
                    <w:t>厚度</w:t>
                  </w:r>
                  <w:r>
                    <w:rPr>
                      <w:rFonts w:hint="eastAsia" w:cs="Times New Roman"/>
                      <w:b/>
                      <w:bCs/>
                      <w:sz w:val="21"/>
                      <w:szCs w:val="21"/>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1120" w:type="pct"/>
                  <w:noWrap w:val="0"/>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工业薄膜</w:t>
                  </w:r>
                </w:p>
              </w:tc>
              <w:tc>
                <w:tcPr>
                  <w:tcW w:w="936"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t/a</w:t>
                  </w:r>
                </w:p>
              </w:tc>
              <w:tc>
                <w:tcPr>
                  <w:tcW w:w="1264" w:type="pct"/>
                  <w:noWrap w:val="0"/>
                  <w:vAlign w:val="center"/>
                </w:tcPr>
                <w:p>
                  <w:pPr>
                    <w:pStyle w:val="6"/>
                    <w:ind w:left="0" w:lef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en-US" w:eastAsia="zh-CN"/>
                    </w:rPr>
                    <w:t>000</w:t>
                  </w:r>
                </w:p>
              </w:tc>
              <w:tc>
                <w:tcPr>
                  <w:tcW w:w="1264" w:type="pct"/>
                  <w:noWrap w:val="0"/>
                  <w:vAlign w:val="center"/>
                </w:tcPr>
                <w:p>
                  <w:pPr>
                    <w:pStyle w:val="6"/>
                    <w:ind w:left="0" w:leftChars="0" w:firstLine="0" w:firstLineChars="0"/>
                    <w:jc w:val="center"/>
                    <w:rPr>
                      <w:rFonts w:hint="default" w:eastAsia="宋体"/>
                      <w:lang w:val="en-US" w:eastAsia="zh-CN"/>
                    </w:rPr>
                  </w:pPr>
                  <w:r>
                    <w:rPr>
                      <w:rFonts w:hint="eastAsia"/>
                      <w:lang w:val="en-US" w:eastAsia="zh-CN"/>
                    </w:rPr>
                    <w:t>0.025-0.05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5"/>
                  <w:noWrap w:val="0"/>
                  <w:vAlign w:val="center"/>
                </w:tcPr>
                <w:p>
                  <w:pPr>
                    <w:pStyle w:val="6"/>
                    <w:ind w:left="0" w:leftChars="0" w:firstLine="0" w:firstLineChars="0"/>
                    <w:jc w:val="center"/>
                    <w:rPr>
                      <w:rFonts w:hint="default"/>
                      <w:lang w:val="en-US" w:eastAsia="zh-CN"/>
                    </w:rPr>
                  </w:pPr>
                  <w:r>
                    <w:rPr>
                      <w:rFonts w:hint="eastAsia"/>
                      <w:lang w:val="en-US" w:eastAsia="zh-CN"/>
                    </w:rPr>
                    <w:t>执行标准参照《包装用聚乙烯吹塑薄膜》GB/T 4456-2008</w:t>
                  </w:r>
                </w:p>
              </w:tc>
            </w:tr>
          </w:tbl>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主要原辅材料及能源消耗详见表2-</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，主要原辅材料理化性质见表2-</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w:t>
            </w:r>
          </w:p>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default" w:ascii="Times New Roman" w:hAnsi="Times New Roman" w:eastAsia="宋体" w:cs="Times New Roman"/>
                <w:bCs/>
                <w:sz w:val="21"/>
                <w:szCs w:val="21"/>
                <w:highlight w:val="none"/>
                <w:lang w:val="en-US" w:eastAsia="zh-CN" w:bidi="ar"/>
              </w:rPr>
              <w:t>4</w:t>
            </w:r>
            <w:r>
              <w:rPr>
                <w:rStyle w:val="57"/>
                <w:rFonts w:hint="default" w:ascii="Times New Roman" w:hAnsi="Times New Roman" w:eastAsia="宋体" w:cs="Times New Roman"/>
                <w:bCs/>
                <w:sz w:val="21"/>
                <w:szCs w:val="21"/>
                <w:highlight w:val="none"/>
                <w:lang w:bidi="ar"/>
              </w:rPr>
              <w:t xml:space="preserve">  主要原辅材料及能源消耗一览表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469"/>
              <w:gridCol w:w="1761"/>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3" w:type="pct"/>
                  <w:noWrap w:val="0"/>
                  <w:vAlign w:val="center"/>
                </w:tcPr>
                <w:p>
                  <w:pPr>
                    <w:widowControl/>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序号</w:t>
                  </w:r>
                </w:p>
              </w:tc>
              <w:tc>
                <w:tcPr>
                  <w:tcW w:w="1494" w:type="pct"/>
                  <w:noWrap w:val="0"/>
                  <w:vAlign w:val="center"/>
                </w:tcPr>
                <w:p>
                  <w:pPr>
                    <w:widowControl/>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名称</w:t>
                  </w:r>
                </w:p>
              </w:tc>
              <w:tc>
                <w:tcPr>
                  <w:tcW w:w="1065" w:type="pct"/>
                  <w:noWrap w:val="0"/>
                  <w:vAlign w:val="center"/>
                </w:tcPr>
                <w:p>
                  <w:pPr>
                    <w:widowControl/>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用量</w:t>
                  </w:r>
                </w:p>
              </w:tc>
              <w:tc>
                <w:tcPr>
                  <w:tcW w:w="1987" w:type="pct"/>
                  <w:noWrap w:val="0"/>
                  <w:vAlign w:val="center"/>
                </w:tcPr>
                <w:p>
                  <w:pPr>
                    <w:widowControl/>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noWrap w:val="0"/>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1494" w:type="pct"/>
                  <w:noWrap w:val="0"/>
                  <w:vAlign w:val="center"/>
                </w:tcPr>
                <w:p>
                  <w:pPr>
                    <w:tabs>
                      <w:tab w:val="left" w:pos="1680"/>
                    </w:tabs>
                    <w:ind w:right="-108"/>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聚乙烯</w:t>
                  </w:r>
                </w:p>
              </w:tc>
              <w:tc>
                <w:tcPr>
                  <w:tcW w:w="1065" w:type="pct"/>
                  <w:noWrap w:val="0"/>
                  <w:vAlign w:val="center"/>
                </w:tcPr>
                <w:p>
                  <w:pPr>
                    <w:tabs>
                      <w:tab w:val="left" w:pos="1680"/>
                    </w:tabs>
                    <w:ind w:right="-108"/>
                    <w:jc w:val="center"/>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2500</w:t>
                  </w:r>
                  <w:r>
                    <w:rPr>
                      <w:rFonts w:hint="default" w:ascii="Times New Roman" w:hAnsi="Times New Roman" w:eastAsia="宋体" w:cs="Times New Roman"/>
                      <w:sz w:val="21"/>
                      <w:szCs w:val="21"/>
                      <w:highlight w:val="none"/>
                    </w:rPr>
                    <w:t>t/a</w:t>
                  </w:r>
                </w:p>
              </w:tc>
              <w:tc>
                <w:tcPr>
                  <w:tcW w:w="1987" w:type="pct"/>
                  <w:noWrap w:val="0"/>
                  <w:vAlign w:val="center"/>
                </w:tcPr>
                <w:p>
                  <w:pPr>
                    <w:tabs>
                      <w:tab w:val="left" w:pos="1680"/>
                    </w:tabs>
                    <w:ind w:right="-108"/>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外购</w:t>
                  </w:r>
                  <w:r>
                    <w:rPr>
                      <w:rFonts w:hint="eastAsia"/>
                      <w:highlight w:val="none"/>
                      <w:lang w:eastAsia="zh-CN"/>
                    </w:rPr>
                    <w:t>，袋装，颗粒状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3" w:type="pct"/>
                  <w:noWrap w:val="0"/>
                  <w:vAlign w:val="center"/>
                </w:tcPr>
                <w:p>
                  <w:pPr>
                    <w:widowControl/>
                    <w:jc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2</w:t>
                  </w:r>
                </w:p>
              </w:tc>
              <w:tc>
                <w:tcPr>
                  <w:tcW w:w="1494" w:type="pct"/>
                  <w:noWrap w:val="0"/>
                  <w:vAlign w:val="center"/>
                </w:tcPr>
                <w:p>
                  <w:pPr>
                    <w:tabs>
                      <w:tab w:val="left" w:pos="1680"/>
                    </w:tabs>
                    <w:ind w:right="-108" w:rightChars="0"/>
                    <w:jc w:val="center"/>
                    <w:rPr>
                      <w:rFonts w:hint="default" w:ascii="Times New Roman" w:hAnsi="Times New Roman" w:eastAsia="宋体" w:cs="Times New Roman"/>
                      <w:kern w:val="0"/>
                      <w:sz w:val="21"/>
                      <w:szCs w:val="21"/>
                      <w:highlight w:val="none"/>
                      <w:lang w:val="en-US" w:eastAsia="zh-CN" w:bidi="ar-SA"/>
                    </w:rPr>
                  </w:pPr>
                  <w:r>
                    <w:rPr>
                      <w:rFonts w:hint="eastAsia" w:cs="Times New Roman"/>
                      <w:sz w:val="21"/>
                      <w:szCs w:val="21"/>
                      <w:highlight w:val="none"/>
                      <w:lang w:val="en-US" w:eastAsia="zh-CN"/>
                    </w:rPr>
                    <w:t>聚丙烯</w:t>
                  </w:r>
                </w:p>
              </w:tc>
              <w:tc>
                <w:tcPr>
                  <w:tcW w:w="1065" w:type="pct"/>
                  <w:noWrap w:val="0"/>
                  <w:vAlign w:val="center"/>
                </w:tcPr>
                <w:p>
                  <w:pPr>
                    <w:tabs>
                      <w:tab w:val="left" w:pos="1680"/>
                    </w:tabs>
                    <w:ind w:right="-108" w:rightChars="0"/>
                    <w:jc w:val="center"/>
                    <w:rPr>
                      <w:rFonts w:hint="default" w:ascii="Times New Roman" w:hAnsi="Times New Roman" w:eastAsia="宋体" w:cs="Times New Roman"/>
                      <w:kern w:val="0"/>
                      <w:sz w:val="21"/>
                      <w:szCs w:val="21"/>
                      <w:highlight w:val="none"/>
                      <w:lang w:val="en-US" w:eastAsia="zh-CN" w:bidi="ar-SA"/>
                    </w:rPr>
                  </w:pPr>
                  <w:r>
                    <w:rPr>
                      <w:rFonts w:hint="eastAsia" w:cs="Times New Roman"/>
                      <w:sz w:val="21"/>
                      <w:szCs w:val="21"/>
                      <w:highlight w:val="none"/>
                      <w:lang w:val="en-US" w:eastAsia="zh-CN"/>
                    </w:rPr>
                    <w:t>500</w:t>
                  </w:r>
                  <w:r>
                    <w:rPr>
                      <w:rFonts w:hint="default" w:ascii="Times New Roman" w:hAnsi="Times New Roman" w:cs="Times New Roman"/>
                      <w:sz w:val="21"/>
                      <w:szCs w:val="21"/>
                      <w:highlight w:val="none"/>
                    </w:rPr>
                    <w:t>t/a</w:t>
                  </w:r>
                </w:p>
              </w:tc>
              <w:tc>
                <w:tcPr>
                  <w:tcW w:w="1987" w:type="pct"/>
                  <w:noWrap w:val="0"/>
                  <w:vAlign w:val="center"/>
                </w:tcPr>
                <w:p>
                  <w:pPr>
                    <w:ind w:right="-108" w:rightChars="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rPr>
                    <w:t>外购</w:t>
                  </w:r>
                  <w:r>
                    <w:rPr>
                      <w:rFonts w:hint="eastAsia"/>
                      <w:highlight w:val="none"/>
                      <w:lang w:eastAsia="zh-CN"/>
                    </w:rPr>
                    <w:t>，袋装，颗粒状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pPr>
                    <w:ind w:right="-108"/>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noWrap w:val="0"/>
                  <w:vAlign w:val="center"/>
                </w:tcPr>
                <w:p>
                  <w:pPr>
                    <w:widowControl/>
                    <w:jc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1</w:t>
                  </w:r>
                </w:p>
              </w:tc>
              <w:tc>
                <w:tcPr>
                  <w:tcW w:w="1494" w:type="pct"/>
                  <w:noWrap w:val="0"/>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电</w:t>
                  </w:r>
                </w:p>
              </w:tc>
              <w:tc>
                <w:tcPr>
                  <w:tcW w:w="1065" w:type="pct"/>
                  <w:noWrap w:val="0"/>
                  <w:vAlign w:val="center"/>
                </w:tcPr>
                <w:p>
                  <w:pPr>
                    <w:widowControl/>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30.82</w:t>
                  </w:r>
                  <w:r>
                    <w:rPr>
                      <w:rFonts w:hint="default" w:ascii="Times New Roman" w:hAnsi="Times New Roman" w:cs="Times New Roman"/>
                      <w:kern w:val="0"/>
                      <w:sz w:val="21"/>
                      <w:szCs w:val="21"/>
                      <w:highlight w:val="none"/>
                    </w:rPr>
                    <w:t>万kW·h/a</w:t>
                  </w:r>
                </w:p>
              </w:tc>
              <w:tc>
                <w:tcPr>
                  <w:tcW w:w="1987" w:type="pct"/>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1"/>
                      <w:szCs w:val="21"/>
                      <w:highlight w:val="none"/>
                    </w:rPr>
                  </w:pPr>
                  <w:r>
                    <w:rPr>
                      <w:rFonts w:hint="eastAsia" w:ascii="Times New Roman" w:hAnsi="Times New Roman" w:cs="Times New Roman"/>
                      <w:bCs/>
                      <w:sz w:val="21"/>
                      <w:szCs w:val="21"/>
                      <w:highlight w:val="none"/>
                      <w:lang w:val="en-US" w:eastAsia="zh-CN"/>
                    </w:rPr>
                    <w:t>桓台县</w:t>
                  </w:r>
                  <w:r>
                    <w:rPr>
                      <w:rFonts w:hint="default" w:ascii="Times New Roman" w:hAnsi="Times New Roman" w:cs="Times New Roman"/>
                      <w:bCs/>
                      <w:sz w:val="21"/>
                      <w:szCs w:val="21"/>
                      <w:highlight w:val="none"/>
                    </w:rPr>
                    <w:t>供电系统提供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noWrap w:val="0"/>
                  <w:vAlign w:val="center"/>
                </w:tcPr>
                <w:p>
                  <w:pPr>
                    <w:widowControl/>
                    <w:jc w:val="center"/>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2</w:t>
                  </w:r>
                </w:p>
              </w:tc>
              <w:tc>
                <w:tcPr>
                  <w:tcW w:w="1494" w:type="pct"/>
                  <w:noWrap w:val="0"/>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新鲜水</w:t>
                  </w:r>
                </w:p>
              </w:tc>
              <w:tc>
                <w:tcPr>
                  <w:tcW w:w="1065" w:type="pct"/>
                  <w:noWrap w:val="0"/>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val="en-US" w:eastAsia="zh-CN"/>
                    </w:rPr>
                    <w:t>90</w:t>
                  </w:r>
                  <w:r>
                    <w:rPr>
                      <w:rFonts w:hint="default" w:ascii="Times New Roman" w:hAnsi="Times New Roman" w:cs="Times New Roman"/>
                      <w:kern w:val="0"/>
                      <w:sz w:val="21"/>
                      <w:szCs w:val="21"/>
                      <w:highlight w:val="none"/>
                    </w:rPr>
                    <w:t>m</w:t>
                  </w:r>
                  <w:r>
                    <w:rPr>
                      <w:rFonts w:hint="default" w:ascii="Times New Roman" w:hAnsi="Times New Roman" w:cs="Times New Roman"/>
                      <w:kern w:val="0"/>
                      <w:sz w:val="21"/>
                      <w:szCs w:val="21"/>
                      <w:highlight w:val="none"/>
                      <w:vertAlign w:val="superscript"/>
                    </w:rPr>
                    <w:t>3</w:t>
                  </w:r>
                  <w:r>
                    <w:rPr>
                      <w:rFonts w:hint="default" w:ascii="Times New Roman" w:hAnsi="Times New Roman" w:cs="Times New Roman"/>
                      <w:kern w:val="0"/>
                      <w:sz w:val="21"/>
                      <w:szCs w:val="21"/>
                      <w:highlight w:val="none"/>
                    </w:rPr>
                    <w:t>/a</w:t>
                  </w:r>
                </w:p>
              </w:tc>
              <w:tc>
                <w:tcPr>
                  <w:tcW w:w="1987" w:type="pct"/>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1"/>
                      <w:szCs w:val="21"/>
                      <w:highlight w:val="none"/>
                    </w:rPr>
                  </w:pPr>
                  <w:r>
                    <w:rPr>
                      <w:rFonts w:hint="eastAsia" w:ascii="Times New Roman" w:hAnsi="Times New Roman" w:cs="Times New Roman"/>
                      <w:bCs/>
                      <w:sz w:val="21"/>
                      <w:szCs w:val="21"/>
                      <w:highlight w:val="none"/>
                      <w:lang w:val="en-US" w:eastAsia="zh-CN"/>
                    </w:rPr>
                    <w:t>桓台县</w:t>
                  </w:r>
                  <w:r>
                    <w:rPr>
                      <w:rFonts w:hint="default" w:ascii="Times New Roman" w:hAnsi="Times New Roman" w:cs="Times New Roman"/>
                      <w:bCs/>
                      <w:sz w:val="21"/>
                      <w:szCs w:val="21"/>
                      <w:highlight w:val="none"/>
                      <w:lang w:eastAsia="zh-CN"/>
                    </w:rPr>
                    <w:t>供水系统</w:t>
                  </w:r>
                  <w:r>
                    <w:rPr>
                      <w:rFonts w:hint="default" w:ascii="Times New Roman" w:hAnsi="Times New Roman" w:cs="Times New Roman"/>
                      <w:bCs/>
                      <w:sz w:val="21"/>
                      <w:szCs w:val="21"/>
                      <w:highlight w:val="none"/>
                    </w:rPr>
                    <w:t>提供</w:t>
                  </w:r>
                </w:p>
              </w:tc>
            </w:tr>
          </w:tbl>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default" w:ascii="Times New Roman" w:hAnsi="Times New Roman" w:eastAsia="宋体" w:cs="Times New Roman"/>
                <w:bCs/>
                <w:sz w:val="21"/>
                <w:szCs w:val="21"/>
                <w:highlight w:val="none"/>
                <w:lang w:val="en-US" w:eastAsia="zh-CN" w:bidi="ar"/>
              </w:rPr>
              <w:t>5</w:t>
            </w:r>
            <w:r>
              <w:rPr>
                <w:rStyle w:val="57"/>
                <w:rFonts w:hint="default" w:ascii="Times New Roman" w:hAnsi="Times New Roman" w:eastAsia="宋体" w:cs="Times New Roman"/>
                <w:bCs/>
                <w:sz w:val="21"/>
                <w:szCs w:val="21"/>
                <w:highlight w:val="none"/>
                <w:lang w:bidi="ar"/>
              </w:rPr>
              <w:t xml:space="preserve">  主要原辅材料主要成分理化性质一览表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7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85"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序号</w:t>
                  </w:r>
                </w:p>
              </w:tc>
              <w:tc>
                <w:tcPr>
                  <w:tcW w:w="588"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名称</w:t>
                  </w:r>
                </w:p>
              </w:tc>
              <w:tc>
                <w:tcPr>
                  <w:tcW w:w="3925"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588"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聚乙烯</w:t>
                  </w:r>
                </w:p>
              </w:tc>
              <w:tc>
                <w:tcPr>
                  <w:tcW w:w="3925" w:type="pct"/>
                  <w:noWrap w:val="0"/>
                  <w:vAlign w:val="center"/>
                </w:tcPr>
                <w:p>
                  <w:pPr>
                    <w:pStyle w:val="74"/>
                    <w:spacing w:line="240" w:lineRule="auto"/>
                    <w:ind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聚乙烯无臭，无毒，手感似蜡，具有优良的耐</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"http://www.so.com/s?q=%E4%BD%8E%E6%B8%A9%E6%80%A7%E8%83%BD&amp;ie=utf-8&amp;src=internal_wenda_recommend_textn"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低温性能</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(最低使用温度可达-70～-100℃)，</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"http://www.so.com/s?q=%E5%8C%96%E5%AD%A6%E7%A8%B3%E5%AE%9A%E6%80%A7&amp;ie=utf-8&amp;src=internal_wenda_recommend_textn"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化学稳定性</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好，能耐大多数</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"http://www.so.com/s?q=%E9%85%B8%E7%A2%B1&amp;ie=utf-8&amp;src=internal_wenda_recommend_textn"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酸碱</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的侵蚀(不耐具有氧化</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"http://www.so.com/s?q=%E6%80%A7%E8%B4%A8&amp;ie=utf-8&amp;src=internal_wenda_recommend_textn"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性质</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的酸)，</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"http://www.so.com/s?q=%E5%B8%B8%E6%B8%A9&amp;ie=utf-8&amp;src=internal_wenda_recommend_textn"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常温</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下不溶于一般</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"http://www.so.com/s?q=%E6%BA%B6%E5%89%82&amp;ie=utf-8&amp;src=internal_wenda_recommend_textn"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溶剂</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"http://www.so.com/s?q=%E5%90%B8%E6%B0%B4%E6%80%A7&amp;ie=utf-8&amp;src=internal_wenda_recommend_textn"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吸水性</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小，电绝缘性能优良；但聚乙烯对于</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"http://www.so.com/s?q=%E7%8E%AF%E5%A2%83%E5%BA%94%E5%8A%9B&amp;ie=utf-8&amp;src=internal_wenda_recommend_textn"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环境应力</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(化学与</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begin"/>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instrText xml:space="preserve"> HYPERLINK "http://www.so.com/s?q=%E6%9C%BA%E6%A2%B0&amp;ie=utf-8&amp;src=internal_wenda_recommend_textn" \t "https://wenda.so.com/q/_blank" </w:instrTex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separate"/>
                  </w:r>
                  <w:r>
                    <w:rPr>
                      <w:rStyle w:val="29"/>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t>机械</w:t>
                  </w:r>
                  <w:r>
                    <w:rPr>
                      <w:rFonts w:hint="default" w:ascii="Times New Roman" w:hAnsi="Times New Roman" w:cs="Times New Roman" w:eastAsiaTheme="minorEastAsia"/>
                      <w:i w:val="0"/>
                      <w:iCs w:val="0"/>
                      <w:caps w:val="0"/>
                      <w:color w:val="0D0D0D" w:themeColor="text1" w:themeTint="F2"/>
                      <w:spacing w:val="0"/>
                      <w:sz w:val="21"/>
                      <w:szCs w:val="21"/>
                      <w:highlight w:val="none"/>
                      <w:u w:val="none"/>
                      <w:shd w:val="clear" w:fill="FFFFFF"/>
                      <w14:textFill>
                        <w14:solidFill>
                          <w14:schemeClr w14:val="tx1">
                            <w14:lumMod w14:val="95000"/>
                            <w14:lumOff w14:val="5000"/>
                          </w14:schemeClr>
                        </w14:solidFill>
                      </w14:textFill>
                    </w:rPr>
                    <w:fldChar w:fldCharType="end"/>
                  </w:r>
                  <w:r>
                    <w:rPr>
                      <w:rFonts w:hint="default" w:ascii="Times New Roman" w:hAnsi="Times New Roman" w:cs="Times New Roman" w:eastAsiaTheme="minorEastAsia"/>
                      <w:i w:val="0"/>
                      <w:iCs w:val="0"/>
                      <w:caps w:val="0"/>
                      <w:color w:val="0D0D0D" w:themeColor="text1" w:themeTint="F2"/>
                      <w:spacing w:val="0"/>
                      <w:sz w:val="21"/>
                      <w:szCs w:val="21"/>
                      <w:highlight w:val="none"/>
                      <w:shd w:val="clear" w:fill="FFFFFF"/>
                      <w14:textFill>
                        <w14:solidFill>
                          <w14:schemeClr w14:val="tx1">
                            <w14:lumMod w14:val="95000"/>
                            <w14:lumOff w14:val="5000"/>
                          </w14:schemeClr>
                        </w14:solidFill>
                      </w14:textFill>
                    </w:rPr>
                    <w:t>作用)是很敏感的，耐热老化性差。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85"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588" w:type="pct"/>
                  <w:noWrap w:val="0"/>
                  <w:vAlign w:val="center"/>
                </w:tcPr>
                <w:p>
                  <w:pPr>
                    <w:pStyle w:val="74"/>
                    <w:spacing w:line="240" w:lineRule="auto"/>
                    <w:ind w:firstLine="0" w:firstLineChars="0"/>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聚丙烯</w:t>
                  </w:r>
                </w:p>
              </w:tc>
              <w:tc>
                <w:tcPr>
                  <w:tcW w:w="3925" w:type="pct"/>
                  <w:noWrap w:val="0"/>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聚丙烯简称PP，是丙烯通过加聚反应而成的聚合物。系白色蜡状材料，外观透明而轻。化学式为(C</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H</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)n，密度为0.89～0.91g/cm</w:t>
                  </w:r>
                  <w:r>
                    <w:rPr>
                      <w:rFonts w:hint="default" w:ascii="Times New Roman" w:hAnsi="Times New Roman" w:cs="Times New Roman" w:eastAsiaTheme="minorEastAsia"/>
                      <w:sz w:val="21"/>
                      <w:szCs w:val="21"/>
                      <w:highlight w:val="none"/>
                      <w:vertAlign w:val="superscript"/>
                    </w:rPr>
                    <w:t>3</w:t>
                  </w:r>
                  <w:r>
                    <w:rPr>
                      <w:rFonts w:hint="default" w:ascii="Times New Roman" w:hAnsi="Times New Roman" w:cs="Times New Roman" w:eastAsiaTheme="minorEastAsia"/>
                      <w:sz w:val="21"/>
                      <w:szCs w:val="21"/>
                      <w:highlight w:val="none"/>
                    </w:rPr>
                    <w:t>，易燃，熔点189℃，在155℃左右软化，使用温度范围为-30～140℃。在80℃以下能耐酸、碱、盐液及多种有机溶剂的腐蚀，能在高温和氧化作用下分解。</w:t>
                  </w:r>
                </w:p>
              </w:tc>
            </w:tr>
          </w:tbl>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5、主要生产设备</w:t>
            </w:r>
          </w:p>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default" w:ascii="Times New Roman" w:hAnsi="Times New Roman" w:eastAsia="宋体" w:cs="Times New Roman"/>
                <w:bCs/>
                <w:sz w:val="21"/>
                <w:szCs w:val="21"/>
                <w:highlight w:val="none"/>
                <w:lang w:val="en-US" w:eastAsia="zh-CN" w:bidi="ar"/>
              </w:rPr>
              <w:t>6</w:t>
            </w:r>
            <w:r>
              <w:rPr>
                <w:rStyle w:val="57"/>
                <w:rFonts w:hint="default" w:ascii="Times New Roman" w:hAnsi="Times New Roman" w:eastAsia="宋体" w:cs="Times New Roman"/>
                <w:bCs/>
                <w:sz w:val="21"/>
                <w:szCs w:val="21"/>
                <w:highlight w:val="none"/>
                <w:lang w:bidi="ar"/>
              </w:rPr>
              <w:t xml:space="preserve">  主要生产设备一览表</w:t>
            </w:r>
          </w:p>
          <w:tbl>
            <w:tblPr>
              <w:tblStyle w:val="23"/>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106"/>
              <w:gridCol w:w="1536"/>
              <w:gridCol w:w="182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5" w:type="pct"/>
                  <w:noWrap w:val="0"/>
                  <w:vAlign w:val="center"/>
                </w:tcPr>
                <w:p>
                  <w:pPr>
                    <w:pStyle w:val="74"/>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序号</w:t>
                  </w:r>
                </w:p>
              </w:tc>
              <w:tc>
                <w:tcPr>
                  <w:tcW w:w="1278" w:type="pct"/>
                  <w:noWrap w:val="0"/>
                  <w:vAlign w:val="center"/>
                </w:tcPr>
                <w:p>
                  <w:pPr>
                    <w:pStyle w:val="74"/>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设备名称</w:t>
                  </w:r>
                </w:p>
              </w:tc>
              <w:tc>
                <w:tcPr>
                  <w:tcW w:w="932" w:type="pct"/>
                  <w:noWrap w:val="0"/>
                  <w:vAlign w:val="center"/>
                </w:tcPr>
                <w:p>
                  <w:pPr>
                    <w:pStyle w:val="74"/>
                    <w:spacing w:line="240" w:lineRule="auto"/>
                    <w:ind w:firstLine="0" w:firstLineChars="0"/>
                    <w:jc w:val="center"/>
                    <w:rPr>
                      <w:rFonts w:hint="eastAsia" w:ascii="Times New Roman" w:hAnsi="Times New Roman" w:eastAsia="宋体" w:cs="Times New Roman"/>
                      <w:b/>
                      <w:bCs/>
                      <w:sz w:val="21"/>
                      <w:szCs w:val="21"/>
                      <w:highlight w:val="none"/>
                      <w:lang w:eastAsia="zh-CN"/>
                    </w:rPr>
                  </w:pPr>
                  <w:r>
                    <w:rPr>
                      <w:rFonts w:hint="eastAsia" w:cs="Times New Roman"/>
                      <w:b/>
                      <w:bCs/>
                      <w:sz w:val="21"/>
                      <w:szCs w:val="21"/>
                      <w:highlight w:val="none"/>
                      <w:lang w:eastAsia="zh-CN"/>
                    </w:rPr>
                    <w:t>型号</w:t>
                  </w:r>
                </w:p>
              </w:tc>
              <w:tc>
                <w:tcPr>
                  <w:tcW w:w="1106" w:type="pct"/>
                  <w:noWrap w:val="0"/>
                  <w:vAlign w:val="center"/>
                </w:tcPr>
                <w:p>
                  <w:pPr>
                    <w:pStyle w:val="74"/>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数量（台/套）</w:t>
                  </w:r>
                </w:p>
              </w:tc>
              <w:tc>
                <w:tcPr>
                  <w:tcW w:w="1106" w:type="pct"/>
                  <w:noWrap w:val="0"/>
                  <w:vAlign w:val="center"/>
                </w:tcPr>
                <w:p>
                  <w:pPr>
                    <w:pStyle w:val="74"/>
                    <w:spacing w:line="240" w:lineRule="auto"/>
                    <w:ind w:firstLine="0" w:firstLineChars="0"/>
                    <w:jc w:val="center"/>
                    <w:rPr>
                      <w:rFonts w:hint="eastAsia" w:ascii="Times New Roman" w:hAnsi="Times New Roman" w:eastAsia="宋体" w:cs="Times New Roman"/>
                      <w:b/>
                      <w:bCs/>
                      <w:sz w:val="21"/>
                      <w:szCs w:val="21"/>
                      <w:highlight w:val="none"/>
                      <w:lang w:eastAsia="zh-CN"/>
                    </w:rPr>
                  </w:pPr>
                  <w:r>
                    <w:rPr>
                      <w:rFonts w:hint="eastAsia" w:cs="Times New Roman"/>
                      <w:b/>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5"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1278" w:type="pct"/>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吹膜机</w:t>
                  </w:r>
                </w:p>
              </w:tc>
              <w:tc>
                <w:tcPr>
                  <w:tcW w:w="932"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SJM-1600</w:t>
                  </w:r>
                </w:p>
              </w:tc>
              <w:tc>
                <w:tcPr>
                  <w:tcW w:w="1106"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1106" w:type="pct"/>
                  <w:noWrap w:val="0"/>
                  <w:vAlign w:val="center"/>
                </w:tcPr>
                <w:p>
                  <w:pPr>
                    <w:pStyle w:val="74"/>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575" w:type="pct"/>
                  <w:noWrap w:val="0"/>
                  <w:vAlign w:val="center"/>
                </w:tcPr>
                <w:p>
                  <w:pPr>
                    <w:pStyle w:val="74"/>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278" w:type="pct"/>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吹膜机</w:t>
                  </w:r>
                </w:p>
              </w:tc>
              <w:tc>
                <w:tcPr>
                  <w:tcW w:w="932"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SJM-1400</w:t>
                  </w:r>
                </w:p>
              </w:tc>
              <w:tc>
                <w:tcPr>
                  <w:tcW w:w="1106" w:type="pct"/>
                  <w:noWrap w:val="0"/>
                  <w:vAlign w:val="center"/>
                </w:tcPr>
                <w:p>
                  <w:pPr>
                    <w:pStyle w:val="74"/>
                    <w:spacing w:line="240" w:lineRule="auto"/>
                    <w:ind w:firstLine="0" w:firstLineChars="0"/>
                    <w:jc w:val="center"/>
                    <w:rPr>
                      <w:rStyle w:val="49"/>
                      <w:rFonts w:hint="default" w:ascii="Times New Roman" w:hAnsi="Times New Roman" w:eastAsia="宋体" w:cs="Times New Roman"/>
                      <w:b w:val="0"/>
                      <w:i w:val="0"/>
                      <w:caps w:val="0"/>
                      <w:color w:val="auto"/>
                      <w:spacing w:val="0"/>
                      <w:w w:val="100"/>
                      <w:kern w:val="2"/>
                      <w:sz w:val="21"/>
                      <w:szCs w:val="21"/>
                      <w:highlight w:val="none"/>
                      <w:lang w:val="en-US" w:eastAsia="zh-CN" w:bidi="ar-SA"/>
                    </w:rPr>
                  </w:pPr>
                  <w:r>
                    <w:rPr>
                      <w:rFonts w:hint="eastAsia" w:cs="Times New Roman"/>
                      <w:color w:val="auto"/>
                      <w:sz w:val="21"/>
                      <w:szCs w:val="21"/>
                      <w:highlight w:val="none"/>
                      <w:lang w:val="en-US" w:eastAsia="zh-CN"/>
                    </w:rPr>
                    <w:t>3</w:t>
                  </w:r>
                </w:p>
              </w:tc>
              <w:tc>
                <w:tcPr>
                  <w:tcW w:w="1106" w:type="pct"/>
                  <w:noWrap w:val="0"/>
                  <w:vAlign w:val="center"/>
                </w:tcPr>
                <w:p>
                  <w:pPr>
                    <w:spacing w:line="240" w:lineRule="auto"/>
                    <w:ind w:firstLine="0" w:firstLineChars="0"/>
                    <w:jc w:val="center"/>
                    <w:rPr>
                      <w:rStyle w:val="49"/>
                      <w:rFonts w:hint="default" w:ascii="Times New Roman" w:hAnsi="Times New Roman" w:eastAsia="宋体" w:cs="Times New Roman"/>
                      <w:b w:val="0"/>
                      <w:i w:val="0"/>
                      <w:caps w:val="0"/>
                      <w:color w:val="auto"/>
                      <w:spacing w:val="0"/>
                      <w:w w:val="100"/>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5" w:type="pct"/>
                  <w:noWrap w:val="0"/>
                  <w:vAlign w:val="center"/>
                </w:tcPr>
                <w:p>
                  <w:pPr>
                    <w:pStyle w:val="74"/>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w:t>
                  </w:r>
                </w:p>
              </w:tc>
              <w:tc>
                <w:tcPr>
                  <w:tcW w:w="1278" w:type="pct"/>
                  <w:noWrap w:val="0"/>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1"/>
                      <w:szCs w:val="21"/>
                      <w:highlight w:val="none"/>
                      <w:lang w:val="en-US" w:eastAsia="zh-CN" w:bidi="ar-SA"/>
                    </w:rPr>
                  </w:pPr>
                  <w:r>
                    <w:rPr>
                      <w:rFonts w:hint="default" w:ascii="Times New Roman" w:hAnsi="Times New Roman" w:cs="Times New Roman"/>
                      <w:color w:val="auto"/>
                      <w:sz w:val="21"/>
                      <w:szCs w:val="21"/>
                      <w:highlight w:val="none"/>
                      <w:lang w:eastAsia="zh-CN"/>
                    </w:rPr>
                    <w:t>吹膜机</w:t>
                  </w:r>
                </w:p>
              </w:tc>
              <w:tc>
                <w:tcPr>
                  <w:tcW w:w="932"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SJM-1100</w:t>
                  </w:r>
                </w:p>
              </w:tc>
              <w:tc>
                <w:tcPr>
                  <w:tcW w:w="110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w:t>
                  </w:r>
                </w:p>
              </w:tc>
              <w:tc>
                <w:tcPr>
                  <w:tcW w:w="1106"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5"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278" w:type="pct"/>
                  <w:noWrap w:val="0"/>
                  <w:vAlign w:val="center"/>
                </w:tcPr>
                <w:p>
                  <w:pPr>
                    <w:widowControl/>
                    <w:snapToGrid/>
                    <w:spacing w:before="0" w:beforeAutospacing="0" w:after="0" w:afterAutospacing="0" w:line="240" w:lineRule="auto"/>
                    <w:jc w:val="center"/>
                    <w:textAlignment w:val="baseline"/>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风冷造粒机</w:t>
                  </w:r>
                </w:p>
              </w:tc>
              <w:tc>
                <w:tcPr>
                  <w:tcW w:w="93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106"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106"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5"/>
                  <w:noWrap w:val="0"/>
                  <w:vAlign w:val="center"/>
                </w:tcPr>
                <w:p>
                  <w:pPr>
                    <w:spacing w:line="240" w:lineRule="auto"/>
                    <w:ind w:firstLine="0" w:firstLineChars="0"/>
                    <w:jc w:val="center"/>
                    <w:rPr>
                      <w:rFonts w:hint="eastAsia"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5" w:type="pct"/>
                  <w:noWrap w:val="0"/>
                  <w:vAlign w:val="center"/>
                </w:tcPr>
                <w:p>
                  <w:pPr>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278" w:type="pct"/>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二级活性炭吸附装置</w:t>
                  </w:r>
                </w:p>
              </w:tc>
              <w:tc>
                <w:tcPr>
                  <w:tcW w:w="932" w:type="pct"/>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106"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106"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6、公用工程</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（1）给排水</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1）给水</w:t>
            </w:r>
          </w:p>
          <w:p>
            <w:pPr>
              <w:spacing w:line="360" w:lineRule="auto"/>
              <w:ind w:firstLine="480" w:firstLineChars="200"/>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本项目生产过程不用水，用水主要为生活用水。本项目劳动定员10人，生活用水量按30L/人</w:t>
            </w:r>
            <w:r>
              <w:rPr>
                <w:rFonts w:hint="eastAsia" w:ascii="微软雅黑" w:hAnsi="微软雅黑" w:eastAsia="微软雅黑" w:cs="微软雅黑"/>
                <w:sz w:val="24"/>
                <w:szCs w:val="24"/>
                <w:highlight w:val="none"/>
                <w:lang w:val="en-US" w:eastAsia="zh-CN"/>
              </w:rPr>
              <w:t>·</w:t>
            </w:r>
            <w:r>
              <w:rPr>
                <w:rFonts w:hint="eastAsia" w:cs="Times New Roman"/>
                <w:sz w:val="24"/>
                <w:szCs w:val="24"/>
                <w:highlight w:val="none"/>
                <w:lang w:val="en-US" w:eastAsia="zh-CN"/>
              </w:rPr>
              <w:t>d，年工作日300天计算，用水量为90m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w:t>
            </w:r>
            <w:r>
              <w:rPr>
                <w:rFonts w:hint="default" w:ascii="Times New Roman" w:hAnsi="Times New Roman" w:cs="Times New Roman"/>
                <w:kern w:val="24"/>
                <w:sz w:val="24"/>
                <w:szCs w:val="24"/>
                <w:highlight w:val="none"/>
                <w:lang w:val="en-US" w:eastAsia="zh-CN"/>
              </w:rPr>
              <w:t>由市政自来水管网供给</w:t>
            </w:r>
            <w:r>
              <w:rPr>
                <w:rFonts w:hint="default" w:ascii="Times New Roman" w:hAnsi="Times New Roman" w:cs="Times New Roman"/>
                <w:kern w:val="24"/>
                <w:sz w:val="24"/>
                <w:szCs w:val="24"/>
                <w:highlight w:val="none"/>
                <w:lang w:eastAsia="zh-CN"/>
              </w:rPr>
              <w:t>。</w:t>
            </w:r>
          </w:p>
          <w:p>
            <w:pPr>
              <w:spacing w:line="360" w:lineRule="auto"/>
              <w:ind w:firstLine="480" w:firstLineChars="200"/>
              <w:rPr>
                <w:rFonts w:hint="default" w:ascii="Times New Roman" w:hAnsi="Times New Roman" w:cs="Times New Roman"/>
                <w:kern w:val="24"/>
                <w:sz w:val="24"/>
                <w:szCs w:val="24"/>
                <w:highlight w:val="none"/>
              </w:rPr>
            </w:pPr>
            <w:r>
              <w:rPr>
                <w:rFonts w:hint="default" w:ascii="Times New Roman" w:hAnsi="Times New Roman" w:cs="Times New Roman"/>
                <w:kern w:val="24"/>
                <w:sz w:val="24"/>
                <w:szCs w:val="24"/>
                <w:highlight w:val="none"/>
              </w:rPr>
              <w:t>2）排水</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本项目废水主要为</w:t>
            </w:r>
            <w:r>
              <w:rPr>
                <w:rFonts w:hint="default" w:ascii="Times New Roman" w:hAnsi="Times New Roman" w:cs="Times New Roman"/>
                <w:sz w:val="24"/>
                <w:szCs w:val="24"/>
                <w:highlight w:val="none"/>
                <w:lang w:eastAsia="zh-CN"/>
              </w:rPr>
              <w:t>生活污水</w:t>
            </w:r>
            <w:r>
              <w:rPr>
                <w:rFonts w:hint="default" w:ascii="Times New Roman" w:hAnsi="Times New Roman" w:cs="Times New Roman"/>
                <w:sz w:val="24"/>
                <w:szCs w:val="24"/>
                <w:highlight w:val="none"/>
              </w:rPr>
              <w:t>，</w:t>
            </w:r>
            <w:r>
              <w:rPr>
                <w:rFonts w:hint="default" w:ascii="Times New Roman" w:hAnsi="Times New Roman" w:cs="Times New Roman"/>
                <w:kern w:val="24"/>
                <w:sz w:val="24"/>
                <w:szCs w:val="24"/>
                <w:highlight w:val="none"/>
              </w:rPr>
              <w:t>生活污水产生量按给水量的80%计，约为</w:t>
            </w:r>
            <w:r>
              <w:rPr>
                <w:rFonts w:hint="eastAsia" w:cs="Times New Roman"/>
                <w:kern w:val="24"/>
                <w:sz w:val="24"/>
                <w:szCs w:val="24"/>
                <w:highlight w:val="none"/>
                <w:lang w:val="en-US" w:eastAsia="zh-CN"/>
              </w:rPr>
              <w:t>72</w:t>
            </w:r>
            <w:r>
              <w:rPr>
                <w:rFonts w:hint="default" w:ascii="Times New Roman" w:hAnsi="Times New Roman" w:cs="Times New Roman"/>
                <w:kern w:val="24"/>
                <w:sz w:val="24"/>
                <w:szCs w:val="24"/>
                <w:highlight w:val="none"/>
              </w:rPr>
              <w:t>m</w:t>
            </w:r>
            <w:r>
              <w:rPr>
                <w:rFonts w:hint="default" w:ascii="Times New Roman" w:hAnsi="Times New Roman" w:cs="Times New Roman"/>
                <w:kern w:val="24"/>
                <w:sz w:val="24"/>
                <w:szCs w:val="24"/>
                <w:highlight w:val="none"/>
                <w:vertAlign w:val="superscript"/>
              </w:rPr>
              <w:t>3</w:t>
            </w:r>
            <w:r>
              <w:rPr>
                <w:rFonts w:hint="default" w:ascii="Times New Roman" w:hAnsi="Times New Roman" w:cs="Times New Roman"/>
                <w:kern w:val="24"/>
                <w:sz w:val="24"/>
                <w:szCs w:val="24"/>
                <w:highlight w:val="none"/>
              </w:rPr>
              <w:t>/a</w:t>
            </w:r>
            <w:r>
              <w:rPr>
                <w:rFonts w:hint="default" w:ascii="Times New Roman" w:hAnsi="Times New Roman" w:cs="Times New Roman"/>
                <w:kern w:val="24"/>
                <w:sz w:val="24"/>
                <w:szCs w:val="24"/>
                <w:highlight w:val="none"/>
                <w:lang w:eastAsia="zh-CN"/>
              </w:rPr>
              <w:t>，</w:t>
            </w:r>
            <w:r>
              <w:rPr>
                <w:rFonts w:hint="default" w:ascii="Times New Roman" w:hAnsi="Times New Roman" w:cs="Times New Roman"/>
                <w:sz w:val="24"/>
                <w:szCs w:val="24"/>
                <w:highlight w:val="none"/>
                <w:lang w:eastAsia="zh-CN"/>
              </w:rPr>
              <w:t>经化粪池暂存由环卫部门定期清运。</w:t>
            </w:r>
          </w:p>
          <w:p>
            <w:pPr>
              <w:numPr>
                <w:ilvl w:val="0"/>
                <w:numId w:val="3"/>
              </w:num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本项目水平衡图</w:t>
            </w:r>
          </w:p>
          <w:p>
            <w:pPr>
              <w:spacing w:line="360" w:lineRule="auto"/>
              <w:jc w:val="center"/>
              <w:rPr>
                <w:rFonts w:hint="default"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drawing>
                <wp:inline distT="0" distB="0" distL="114300" distR="114300">
                  <wp:extent cx="5243195" cy="93853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8"/>
                          <a:srcRect t="22661" b="10218"/>
                          <a:stretch>
                            <a:fillRect/>
                          </a:stretch>
                        </pic:blipFill>
                        <pic:spPr>
                          <a:xfrm>
                            <a:off x="0" y="0"/>
                            <a:ext cx="5243195" cy="938530"/>
                          </a:xfrm>
                          <a:prstGeom prst="rect">
                            <a:avLst/>
                          </a:prstGeom>
                        </pic:spPr>
                      </pic:pic>
                    </a:graphicData>
                  </a:graphic>
                </wp:inline>
              </w:drawing>
            </w:r>
          </w:p>
          <w:p>
            <w:pPr>
              <w:spacing w:line="360" w:lineRule="auto"/>
              <w:jc w:val="center"/>
              <w:rPr>
                <w:rStyle w:val="57"/>
                <w:rFonts w:hint="default" w:ascii="Times New Roman" w:hAnsi="Times New Roman" w:eastAsia="宋体" w:cs="Times New Roman"/>
                <w:sz w:val="24"/>
                <w:szCs w:val="24"/>
                <w:highlight w:val="none"/>
                <w:lang w:bidi="ar"/>
              </w:rPr>
            </w:pPr>
            <w:r>
              <w:rPr>
                <w:rStyle w:val="57"/>
                <w:rFonts w:hint="default" w:ascii="Times New Roman" w:hAnsi="Times New Roman" w:eastAsia="宋体" w:cs="Times New Roman"/>
                <w:sz w:val="24"/>
                <w:szCs w:val="24"/>
                <w:highlight w:val="none"/>
                <w:lang w:bidi="ar"/>
              </w:rPr>
              <w:t>图2-1  水平衡图（单位：m</w:t>
            </w:r>
            <w:r>
              <w:rPr>
                <w:rStyle w:val="57"/>
                <w:rFonts w:hint="default" w:ascii="Times New Roman" w:hAnsi="Times New Roman" w:eastAsia="宋体" w:cs="Times New Roman"/>
                <w:sz w:val="24"/>
                <w:szCs w:val="24"/>
                <w:highlight w:val="none"/>
                <w:vertAlign w:val="superscript"/>
                <w:lang w:bidi="ar"/>
              </w:rPr>
              <w:t>3</w:t>
            </w:r>
            <w:r>
              <w:rPr>
                <w:rStyle w:val="57"/>
                <w:rFonts w:hint="default" w:ascii="Times New Roman" w:hAnsi="Times New Roman" w:eastAsia="宋体" w:cs="Times New Roman"/>
                <w:sz w:val="24"/>
                <w:szCs w:val="24"/>
                <w:highlight w:val="none"/>
                <w:lang w:bidi="ar"/>
              </w:rPr>
              <w:t>/a）</w:t>
            </w:r>
          </w:p>
          <w:p>
            <w:pPr>
              <w:snapToGrid w:val="0"/>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（2）供电系统</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w:t>
            </w:r>
            <w:r>
              <w:rPr>
                <w:rFonts w:hint="default" w:ascii="Times New Roman" w:hAnsi="Times New Roman" w:cs="Times New Roman"/>
                <w:sz w:val="24"/>
                <w:szCs w:val="24"/>
                <w:highlight w:val="none"/>
                <w:lang w:val="en-US" w:eastAsia="zh-CN"/>
              </w:rPr>
              <w:t>年</w:t>
            </w:r>
            <w:r>
              <w:rPr>
                <w:rFonts w:hint="default" w:ascii="Times New Roman" w:hAnsi="Times New Roman" w:cs="Times New Roman"/>
                <w:sz w:val="24"/>
                <w:szCs w:val="24"/>
                <w:highlight w:val="none"/>
              </w:rPr>
              <w:t>用电量约</w:t>
            </w:r>
            <w:r>
              <w:rPr>
                <w:rFonts w:hint="eastAsia" w:cs="Times New Roman"/>
                <w:sz w:val="24"/>
                <w:szCs w:val="24"/>
                <w:highlight w:val="none"/>
                <w:lang w:val="en-US" w:eastAsia="zh-CN"/>
              </w:rPr>
              <w:t>30.82</w:t>
            </w:r>
            <w:r>
              <w:rPr>
                <w:rFonts w:hint="default" w:ascii="Times New Roman" w:hAnsi="Times New Roman" w:cs="Times New Roman"/>
                <w:sz w:val="24"/>
                <w:szCs w:val="24"/>
                <w:highlight w:val="none"/>
              </w:rPr>
              <w:t>万</w:t>
            </w:r>
            <w:r>
              <w:rPr>
                <w:rFonts w:hint="default" w:ascii="Times New Roman" w:hAnsi="Times New Roman" w:cs="Times New Roman"/>
                <w:kern w:val="0"/>
                <w:sz w:val="24"/>
                <w:szCs w:val="24"/>
                <w:highlight w:val="none"/>
              </w:rPr>
              <w:t>kW·h</w:t>
            </w:r>
            <w:r>
              <w:rPr>
                <w:rFonts w:hint="default" w:ascii="Times New Roman" w:hAnsi="Times New Roman" w:cs="Times New Roman"/>
                <w:sz w:val="24"/>
                <w:szCs w:val="24"/>
                <w:highlight w:val="none"/>
              </w:rPr>
              <w:t>，由当地供电公司提供。</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（3）供暖、制冷</w:t>
            </w:r>
          </w:p>
          <w:p>
            <w:pPr>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sz w:val="24"/>
                <w:szCs w:val="24"/>
                <w:highlight w:val="none"/>
              </w:rPr>
              <w:t>建筑内部采暖、制冷由空调解决</w:t>
            </w:r>
            <w:r>
              <w:rPr>
                <w:rFonts w:hint="default" w:ascii="Times New Roman" w:hAnsi="Times New Roman" w:cs="Times New Roman"/>
                <w:sz w:val="24"/>
                <w:szCs w:val="24"/>
                <w:highlight w:val="none"/>
                <w:lang w:eastAsia="zh-CN"/>
              </w:rPr>
              <w:t>，生产过程中用热为电加热</w:t>
            </w:r>
            <w:r>
              <w:rPr>
                <w:rFonts w:hint="default" w:ascii="Times New Roman" w:hAnsi="Times New Roman" w:cs="Times New Roman"/>
                <w:sz w:val="24"/>
                <w:szCs w:val="24"/>
                <w:highlight w:val="none"/>
              </w:rPr>
              <w:t>。</w:t>
            </w:r>
          </w:p>
          <w:p>
            <w:pPr>
              <w:snapToGrid w:val="0"/>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7、劳动定员及工作制度</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本项目职工定员</w:t>
            </w:r>
            <w:r>
              <w:rPr>
                <w:rFonts w:hint="eastAsia" w:cs="Times New Roman"/>
                <w:sz w:val="24"/>
                <w:szCs w:val="24"/>
                <w:highlight w:val="none"/>
                <w:lang w:val="en-US" w:eastAsia="zh-CN"/>
              </w:rPr>
              <w:t>1</w:t>
            </w:r>
            <w:r>
              <w:rPr>
                <w:rFonts w:hint="default" w:ascii="Times New Roman" w:hAnsi="Times New Roman" w:cs="Times New Roman"/>
                <w:sz w:val="24"/>
                <w:szCs w:val="24"/>
                <w:highlight w:val="none"/>
                <w:lang w:val="en-US" w:eastAsia="zh-CN"/>
              </w:rPr>
              <w:t>0人</w:t>
            </w:r>
            <w:r>
              <w:rPr>
                <w:rFonts w:hint="default" w:ascii="Times New Roman" w:hAnsi="Times New Roman" w:cs="Times New Roman"/>
                <w:sz w:val="24"/>
                <w:szCs w:val="24"/>
                <w:highlight w:val="none"/>
              </w:rPr>
              <w:t>，年工作时间3</w:t>
            </w:r>
            <w:r>
              <w:rPr>
                <w:rFonts w:hint="default"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rPr>
              <w:t>0天，</w:t>
            </w:r>
            <w:r>
              <w:rPr>
                <w:rFonts w:hint="default" w:ascii="Times New Roman" w:hAnsi="Times New Roman" w:cs="Times New Roman"/>
                <w:sz w:val="24"/>
                <w:szCs w:val="24"/>
                <w:highlight w:val="none"/>
                <w:lang w:eastAsia="zh-CN"/>
              </w:rPr>
              <w:t>三</w:t>
            </w:r>
            <w:r>
              <w:rPr>
                <w:rFonts w:hint="default" w:ascii="Times New Roman" w:hAnsi="Times New Roman" w:cs="Times New Roman"/>
                <w:sz w:val="24"/>
                <w:szCs w:val="24"/>
                <w:highlight w:val="none"/>
              </w:rPr>
              <w:t>班制，每班</w:t>
            </w:r>
            <w:r>
              <w:rPr>
                <w:rFonts w:hint="default"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小时。</w:t>
            </w:r>
          </w:p>
          <w:p>
            <w:pPr>
              <w:snapToGrid w:val="0"/>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8、总平面布置</w:t>
            </w:r>
          </w:p>
          <w:p>
            <w:pPr>
              <w:snapToGrid w:val="0"/>
              <w:spacing w:line="360" w:lineRule="auto"/>
              <w:ind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cs="Times New Roman"/>
                <w:color w:val="auto"/>
                <w:sz w:val="24"/>
                <w:szCs w:val="24"/>
                <w:highlight w:val="none"/>
              </w:rPr>
              <w:t>本项目</w:t>
            </w:r>
            <w:r>
              <w:rPr>
                <w:rFonts w:hint="default" w:ascii="Times New Roman" w:hAnsi="Times New Roman" w:cs="Times New Roman"/>
                <w:bCs/>
                <w:color w:val="auto"/>
                <w:sz w:val="24"/>
                <w:szCs w:val="24"/>
                <w:highlight w:val="none"/>
              </w:rPr>
              <w:t>建设地点位于</w:t>
            </w:r>
            <w:r>
              <w:rPr>
                <w:rFonts w:hint="default" w:ascii="Times New Roman" w:hAnsi="Times New Roman" w:eastAsia="宋体" w:cs="Times New Roman"/>
                <w:sz w:val="24"/>
                <w:szCs w:val="24"/>
                <w:highlight w:val="none"/>
                <w:lang w:val="en-US" w:eastAsia="zh-CN"/>
              </w:rPr>
              <w:t>山东省淄博市桓台县果里镇德阳学校东100米</w:t>
            </w:r>
            <w:r>
              <w:rPr>
                <w:rFonts w:hint="default" w:ascii="Times New Roman" w:hAnsi="Times New Roman" w:cs="Times New Roman"/>
                <w:bCs/>
                <w:color w:val="auto"/>
                <w:sz w:val="24"/>
                <w:szCs w:val="24"/>
                <w:highlight w:val="none"/>
                <w:lang w:eastAsia="zh-CN"/>
              </w:rPr>
              <w:t>，</w:t>
            </w:r>
            <w:r>
              <w:rPr>
                <w:rFonts w:hint="eastAsia" w:cs="Times New Roman"/>
                <w:bCs/>
                <w:color w:val="auto"/>
                <w:sz w:val="24"/>
                <w:szCs w:val="24"/>
                <w:highlight w:val="none"/>
                <w:lang w:eastAsia="zh-CN"/>
              </w:rPr>
              <w:t>租赁</w:t>
            </w:r>
            <w:r>
              <w:rPr>
                <w:rFonts w:hint="eastAsia" w:cs="Times New Roman"/>
                <w:bCs/>
                <w:color w:val="auto"/>
                <w:sz w:val="24"/>
                <w:szCs w:val="24"/>
                <w:highlight w:val="none"/>
                <w:lang w:val="en-US" w:eastAsia="zh-CN"/>
              </w:rPr>
              <w:t>现有一座生产车间和办公室</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其中</w:t>
            </w:r>
            <w:r>
              <w:rPr>
                <w:rFonts w:hint="default" w:ascii="Times New Roman" w:hAnsi="Times New Roman" w:cs="Times New Roman"/>
                <w:color w:val="auto"/>
                <w:sz w:val="24"/>
                <w:szCs w:val="24"/>
                <w:highlight w:val="none"/>
                <w:lang w:val="en-US" w:eastAsia="zh-CN"/>
              </w:rPr>
              <w:t>办公室位于</w:t>
            </w:r>
            <w:r>
              <w:rPr>
                <w:rFonts w:hint="eastAsia" w:cs="Times New Roman"/>
                <w:color w:val="auto"/>
                <w:sz w:val="24"/>
                <w:szCs w:val="24"/>
                <w:highlight w:val="none"/>
                <w:lang w:val="en-US" w:eastAsia="zh-CN"/>
              </w:rPr>
              <w:t>生产车间的北侧</w:t>
            </w:r>
            <w:r>
              <w:rPr>
                <w:rFonts w:hint="default" w:ascii="Times New Roman" w:hAnsi="Times New Roman" w:cs="Times New Roman"/>
                <w:color w:val="auto"/>
                <w:sz w:val="24"/>
                <w:szCs w:val="24"/>
                <w:highlight w:val="none"/>
                <w:lang w:val="en-US" w:eastAsia="zh-CN"/>
              </w:rPr>
              <w:t>。</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厂区平面布置功能分区明确，工艺流程顺畅；做到了人货流动畅通，保证了人身安全和货物的畅通运输；厂房平面布置亦充分考虑到工程行业特点、安全间距、卫生防护、物料运输和防火需要，各装置区之间留有足够的安全间距，便于生产管理。因此项目的平面布置基本合理。项目平面布置见附图4。</w:t>
            </w:r>
          </w:p>
          <w:p>
            <w:pPr>
              <w:snapToGrid w:val="0"/>
              <w:spacing w:line="360" w:lineRule="auto"/>
              <w:ind w:firstLine="482" w:firstLineChars="200"/>
              <w:rPr>
                <w:rFonts w:hint="eastAsia"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9、环保投资及建设内容</w:t>
            </w:r>
          </w:p>
          <w:p>
            <w:pPr>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本项目总投资300万元，其中环保投资20万元，占总投资的6.7%。</w:t>
            </w:r>
          </w:p>
          <w:p>
            <w:pPr>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环保建设内容见下表：</w:t>
            </w:r>
          </w:p>
          <w:p>
            <w:pPr>
              <w:jc w:val="center"/>
              <w:rPr>
                <w:rStyle w:val="57"/>
                <w:rFonts w:hint="default" w:ascii="Times New Roman" w:hAnsi="Times New Roman" w:eastAsia="宋体" w:cs="Times New Roman"/>
                <w:bCs/>
                <w:sz w:val="21"/>
                <w:szCs w:val="21"/>
                <w:highlight w:val="none"/>
                <w:lang w:bidi="ar"/>
              </w:rPr>
            </w:pPr>
            <w:r>
              <w:rPr>
                <w:rStyle w:val="57"/>
                <w:rFonts w:hint="default" w:ascii="Times New Roman" w:hAnsi="Times New Roman" w:eastAsia="宋体" w:cs="Times New Roman"/>
                <w:bCs/>
                <w:sz w:val="21"/>
                <w:szCs w:val="21"/>
                <w:highlight w:val="none"/>
                <w:lang w:bidi="ar"/>
              </w:rPr>
              <w:t>表2-</w:t>
            </w:r>
            <w:r>
              <w:rPr>
                <w:rStyle w:val="57"/>
                <w:rFonts w:hint="eastAsia" w:ascii="Times New Roman" w:hAnsi="Times New Roman" w:eastAsia="宋体" w:cs="Times New Roman"/>
                <w:bCs/>
                <w:sz w:val="21"/>
                <w:szCs w:val="21"/>
                <w:highlight w:val="none"/>
                <w:lang w:val="en-US" w:eastAsia="zh-CN" w:bidi="ar"/>
              </w:rPr>
              <w:t>7</w:t>
            </w:r>
            <w:r>
              <w:rPr>
                <w:rStyle w:val="57"/>
                <w:rFonts w:hint="default" w:ascii="Times New Roman" w:hAnsi="Times New Roman" w:eastAsia="宋体" w:cs="Times New Roman"/>
                <w:bCs/>
                <w:sz w:val="21"/>
                <w:szCs w:val="21"/>
                <w:highlight w:val="none"/>
                <w:lang w:bidi="ar"/>
              </w:rPr>
              <w:t xml:space="preserve">  工程环保设施（措施）及投资估算一览表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38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85" w:type="pct"/>
                  <w:noWrap w:val="0"/>
                  <w:vAlign w:val="center"/>
                </w:tcPr>
                <w:p>
                  <w:pPr>
                    <w:pStyle w:val="74"/>
                    <w:spacing w:line="240" w:lineRule="auto"/>
                    <w:ind w:firstLine="0" w:firstLineChars="0"/>
                    <w:jc w:val="center"/>
                    <w:rPr>
                      <w:rFonts w:hint="eastAsia" w:eastAsia="宋体"/>
                      <w:b/>
                      <w:bCs/>
                      <w:sz w:val="21"/>
                      <w:szCs w:val="21"/>
                      <w:highlight w:val="none"/>
                      <w:lang w:eastAsia="zh-CN"/>
                    </w:rPr>
                  </w:pPr>
                  <w:r>
                    <w:rPr>
                      <w:rFonts w:hint="eastAsia"/>
                      <w:b/>
                      <w:bCs/>
                      <w:sz w:val="21"/>
                      <w:szCs w:val="21"/>
                      <w:highlight w:val="none"/>
                      <w:lang w:eastAsia="zh-CN"/>
                    </w:rPr>
                    <w:t>项目</w:t>
                  </w:r>
                </w:p>
              </w:tc>
              <w:tc>
                <w:tcPr>
                  <w:tcW w:w="3259" w:type="pct"/>
                  <w:noWrap w:val="0"/>
                  <w:vAlign w:val="center"/>
                </w:tcPr>
                <w:p>
                  <w:pPr>
                    <w:pStyle w:val="74"/>
                    <w:spacing w:line="240" w:lineRule="auto"/>
                    <w:ind w:firstLine="0" w:firstLineChars="0"/>
                    <w:jc w:val="center"/>
                    <w:rPr>
                      <w:b/>
                      <w:bCs/>
                      <w:sz w:val="21"/>
                      <w:szCs w:val="21"/>
                      <w:highlight w:val="none"/>
                    </w:rPr>
                  </w:pPr>
                  <w:r>
                    <w:rPr>
                      <w:b/>
                      <w:bCs/>
                      <w:sz w:val="21"/>
                      <w:szCs w:val="21"/>
                      <w:highlight w:val="none"/>
                    </w:rPr>
                    <w:t>环保措施及设施</w:t>
                  </w:r>
                </w:p>
              </w:tc>
              <w:tc>
                <w:tcPr>
                  <w:tcW w:w="1255" w:type="pct"/>
                  <w:noWrap w:val="0"/>
                  <w:vAlign w:val="center"/>
                </w:tcPr>
                <w:p>
                  <w:pPr>
                    <w:pStyle w:val="74"/>
                    <w:spacing w:line="240" w:lineRule="auto"/>
                    <w:ind w:firstLine="0" w:firstLineChars="0"/>
                    <w:jc w:val="center"/>
                    <w:rPr>
                      <w:rFonts w:hint="eastAsia" w:eastAsia="宋体"/>
                      <w:b/>
                      <w:bCs/>
                      <w:sz w:val="21"/>
                      <w:szCs w:val="21"/>
                      <w:highlight w:val="none"/>
                      <w:lang w:eastAsia="zh-CN"/>
                    </w:rPr>
                  </w:pPr>
                  <w:r>
                    <w:rPr>
                      <w:rFonts w:hint="eastAsia"/>
                      <w:b/>
                      <w:bCs/>
                      <w:sz w:val="21"/>
                      <w:szCs w:val="21"/>
                      <w:highlight w:val="no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pct"/>
                  <w:noWrap w:val="0"/>
                  <w:vAlign w:val="center"/>
                </w:tcPr>
                <w:p>
                  <w:pPr>
                    <w:pStyle w:val="74"/>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eastAsia="zh-CN"/>
                    </w:rPr>
                    <w:t>废气</w:t>
                  </w:r>
                </w:p>
              </w:tc>
              <w:tc>
                <w:tcPr>
                  <w:tcW w:w="3259" w:type="pct"/>
                  <w:noWrap w:val="0"/>
                  <w:vAlign w:val="center"/>
                </w:tcPr>
                <w:p>
                  <w:pPr>
                    <w:pStyle w:val="74"/>
                    <w:spacing w:line="240" w:lineRule="auto"/>
                    <w:ind w:firstLine="0" w:firstLineChars="0"/>
                    <w:jc w:val="center"/>
                    <w:rPr>
                      <w:rFonts w:hint="eastAsia"/>
                      <w:sz w:val="21"/>
                      <w:szCs w:val="21"/>
                      <w:highlight w:val="none"/>
                    </w:rPr>
                  </w:pPr>
                  <w:r>
                    <w:rPr>
                      <w:rFonts w:hint="eastAsia"/>
                      <w:sz w:val="21"/>
                      <w:szCs w:val="21"/>
                      <w:highlight w:val="none"/>
                    </w:rPr>
                    <w:t>集气罩</w:t>
                  </w:r>
                  <w:r>
                    <w:rPr>
                      <w:rFonts w:hint="eastAsia"/>
                      <w:sz w:val="21"/>
                      <w:szCs w:val="21"/>
                      <w:highlight w:val="none"/>
                      <w:lang w:eastAsia="zh-CN"/>
                    </w:rPr>
                    <w:t>、</w:t>
                  </w:r>
                  <w:r>
                    <w:rPr>
                      <w:rFonts w:hint="eastAsia"/>
                      <w:sz w:val="21"/>
                      <w:szCs w:val="21"/>
                      <w:highlight w:val="none"/>
                      <w:lang w:val="en-US" w:eastAsia="zh-CN"/>
                    </w:rPr>
                    <w:t>废气收集管道、二级</w:t>
                  </w:r>
                  <w:r>
                    <w:rPr>
                      <w:rFonts w:hint="eastAsia"/>
                      <w:sz w:val="21"/>
                      <w:szCs w:val="21"/>
                      <w:highlight w:val="none"/>
                    </w:rPr>
                    <w:t>活性炭吸附装置、排气筒</w:t>
                  </w:r>
                </w:p>
              </w:tc>
              <w:tc>
                <w:tcPr>
                  <w:tcW w:w="1255" w:type="pct"/>
                  <w:noWrap w:val="0"/>
                  <w:vAlign w:val="center"/>
                </w:tcPr>
                <w:p>
                  <w:pPr>
                    <w:pStyle w:val="74"/>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85" w:type="pct"/>
                  <w:noWrap w:val="0"/>
                  <w:vAlign w:val="center"/>
                </w:tcPr>
                <w:p>
                  <w:pPr>
                    <w:pStyle w:val="74"/>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eastAsia="zh-CN"/>
                    </w:rPr>
                    <w:t>废水</w:t>
                  </w:r>
                </w:p>
              </w:tc>
              <w:tc>
                <w:tcPr>
                  <w:tcW w:w="3259" w:type="pct"/>
                  <w:noWrap w:val="0"/>
                  <w:vAlign w:val="center"/>
                </w:tcPr>
                <w:p>
                  <w:pPr>
                    <w:pStyle w:val="74"/>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val="en-US" w:eastAsia="zh-CN"/>
                    </w:rPr>
                    <w:t>化粪池</w:t>
                  </w:r>
                </w:p>
              </w:tc>
              <w:tc>
                <w:tcPr>
                  <w:tcW w:w="1255" w:type="pct"/>
                  <w:noWrap w:val="0"/>
                  <w:vAlign w:val="center"/>
                </w:tcPr>
                <w:p>
                  <w:pPr>
                    <w:pStyle w:val="74"/>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0（依托现有）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85" w:type="pct"/>
                  <w:noWrap w:val="0"/>
                  <w:vAlign w:val="center"/>
                </w:tcPr>
                <w:p>
                  <w:pPr>
                    <w:pStyle w:val="74"/>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eastAsia="zh-CN"/>
                    </w:rPr>
                    <w:t>固废</w:t>
                  </w:r>
                </w:p>
              </w:tc>
              <w:tc>
                <w:tcPr>
                  <w:tcW w:w="3259" w:type="pct"/>
                  <w:noWrap w:val="0"/>
                  <w:vAlign w:val="center"/>
                </w:tcPr>
                <w:p>
                  <w:pPr>
                    <w:pStyle w:val="74"/>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eastAsia="zh-CN"/>
                    </w:rPr>
                    <w:t>危废暂存间</w:t>
                  </w:r>
                </w:p>
              </w:tc>
              <w:tc>
                <w:tcPr>
                  <w:tcW w:w="1255" w:type="pct"/>
                  <w:noWrap w:val="0"/>
                  <w:vAlign w:val="center"/>
                </w:tcPr>
                <w:p>
                  <w:pPr>
                    <w:pStyle w:val="74"/>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pct"/>
                  <w:noWrap w:val="0"/>
                  <w:vAlign w:val="center"/>
                </w:tcPr>
                <w:p>
                  <w:pPr>
                    <w:pStyle w:val="74"/>
                    <w:spacing w:line="240" w:lineRule="auto"/>
                    <w:ind w:firstLine="0" w:firstLineChars="0"/>
                    <w:jc w:val="center"/>
                    <w:rPr>
                      <w:rFonts w:hint="eastAsia"/>
                      <w:sz w:val="21"/>
                      <w:szCs w:val="21"/>
                      <w:highlight w:val="none"/>
                      <w:lang w:eastAsia="zh-CN"/>
                    </w:rPr>
                  </w:pPr>
                  <w:r>
                    <w:rPr>
                      <w:rFonts w:hint="eastAsia"/>
                      <w:sz w:val="21"/>
                      <w:szCs w:val="21"/>
                      <w:highlight w:val="none"/>
                      <w:lang w:eastAsia="zh-CN"/>
                    </w:rPr>
                    <w:t>噪声</w:t>
                  </w:r>
                </w:p>
              </w:tc>
              <w:tc>
                <w:tcPr>
                  <w:tcW w:w="3259" w:type="pct"/>
                  <w:noWrap w:val="0"/>
                  <w:vAlign w:val="center"/>
                </w:tcPr>
                <w:p>
                  <w:pPr>
                    <w:pStyle w:val="74"/>
                    <w:spacing w:line="240" w:lineRule="auto"/>
                    <w:ind w:firstLine="0" w:firstLineChars="0"/>
                    <w:jc w:val="center"/>
                    <w:rPr>
                      <w:rFonts w:hint="eastAsia"/>
                      <w:sz w:val="21"/>
                      <w:szCs w:val="21"/>
                      <w:highlight w:val="none"/>
                      <w:lang w:eastAsia="zh-CN"/>
                    </w:rPr>
                  </w:pPr>
                  <w:r>
                    <w:rPr>
                      <w:rFonts w:hint="eastAsia"/>
                      <w:sz w:val="21"/>
                      <w:szCs w:val="21"/>
                      <w:highlight w:val="none"/>
                      <w:lang w:eastAsia="zh-CN"/>
                    </w:rPr>
                    <w:t>隔声、减振、</w:t>
                  </w:r>
                  <w:r>
                    <w:rPr>
                      <w:rFonts w:hint="eastAsia"/>
                      <w:sz w:val="21"/>
                      <w:szCs w:val="21"/>
                      <w:highlight w:val="none"/>
                      <w:lang w:val="en-US" w:eastAsia="zh-CN"/>
                    </w:rPr>
                    <w:t>消声</w:t>
                  </w:r>
                  <w:r>
                    <w:rPr>
                      <w:rFonts w:hint="eastAsia"/>
                      <w:sz w:val="21"/>
                      <w:szCs w:val="21"/>
                      <w:highlight w:val="none"/>
                      <w:lang w:eastAsia="zh-CN"/>
                    </w:rPr>
                    <w:t>等</w:t>
                  </w:r>
                </w:p>
              </w:tc>
              <w:tc>
                <w:tcPr>
                  <w:tcW w:w="1255" w:type="pct"/>
                  <w:noWrap w:val="0"/>
                  <w:vAlign w:val="center"/>
                </w:tcPr>
                <w:p>
                  <w:pPr>
                    <w:pStyle w:val="74"/>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744" w:type="pct"/>
                  <w:gridSpan w:val="2"/>
                  <w:noWrap w:val="0"/>
                  <w:vAlign w:val="center"/>
                </w:tcPr>
                <w:p>
                  <w:pPr>
                    <w:pStyle w:val="74"/>
                    <w:spacing w:line="240" w:lineRule="auto"/>
                    <w:ind w:firstLine="0" w:firstLineChars="0"/>
                    <w:jc w:val="center"/>
                    <w:rPr>
                      <w:rFonts w:hint="eastAsia"/>
                      <w:sz w:val="21"/>
                      <w:szCs w:val="21"/>
                      <w:highlight w:val="none"/>
                      <w:lang w:eastAsia="zh-CN"/>
                    </w:rPr>
                  </w:pPr>
                  <w:r>
                    <w:rPr>
                      <w:rFonts w:hint="eastAsia"/>
                      <w:sz w:val="21"/>
                      <w:szCs w:val="21"/>
                      <w:highlight w:val="none"/>
                      <w:lang w:eastAsia="zh-CN"/>
                    </w:rPr>
                    <w:t>合计</w:t>
                  </w:r>
                </w:p>
              </w:tc>
              <w:tc>
                <w:tcPr>
                  <w:tcW w:w="1255" w:type="pct"/>
                  <w:noWrap w:val="0"/>
                  <w:vAlign w:val="center"/>
                </w:tcPr>
                <w:p>
                  <w:pPr>
                    <w:pStyle w:val="74"/>
                    <w:spacing w:line="240" w:lineRule="auto"/>
                    <w:ind w:firstLine="0" w:firstLineChars="0"/>
                    <w:jc w:val="center"/>
                    <w:rPr>
                      <w:rFonts w:hint="default"/>
                      <w:sz w:val="21"/>
                      <w:szCs w:val="21"/>
                      <w:highlight w:val="none"/>
                      <w:lang w:val="en-US" w:eastAsia="zh-CN"/>
                    </w:rPr>
                  </w:pPr>
                  <w:r>
                    <w:rPr>
                      <w:rFonts w:hint="eastAsia"/>
                      <w:sz w:val="21"/>
                      <w:szCs w:val="21"/>
                      <w:highlight w:val="none"/>
                      <w:lang w:val="en-US" w:eastAsia="zh-CN"/>
                    </w:rPr>
                    <w:t>20</w:t>
                  </w:r>
                </w:p>
              </w:tc>
            </w:tr>
          </w:tbl>
          <w:p>
            <w:pPr>
              <w:snapToGrid w:val="0"/>
              <w:spacing w:line="360" w:lineRule="auto"/>
              <w:rPr>
                <w:rFonts w:hint="default" w:ascii="Times New Roman" w:hAnsi="Times New Roman" w:cs="Times New Roman"/>
                <w:sz w:val="24"/>
                <w:szCs w:val="24"/>
                <w:highlight w:val="none"/>
              </w:rPr>
            </w:pPr>
          </w:p>
          <w:p>
            <w:pPr>
              <w:snapToGrid w:val="0"/>
              <w:spacing w:line="360" w:lineRule="auto"/>
              <w:rPr>
                <w:rFonts w:hint="default" w:ascii="Times New Roman" w:hAnsi="Times New Roman"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96" w:type="dxa"/>
            <w:tcBorders>
              <w:top w:val="single" w:color="auto" w:sz="4" w:space="0"/>
              <w:bottom w:val="single" w:color="auto" w:sz="4" w:space="0"/>
            </w:tcBorders>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工艺流程和产排污环节</w:t>
            </w:r>
          </w:p>
        </w:tc>
        <w:tc>
          <w:tcPr>
            <w:tcW w:w="8488" w:type="dxa"/>
            <w:tcBorders>
              <w:top w:val="single" w:color="auto" w:sz="4" w:space="0"/>
              <w:bottom w:val="single" w:color="auto" w:sz="4" w:space="0"/>
            </w:tcBorders>
            <w:noWrap w:val="0"/>
            <w:vAlign w:val="top"/>
          </w:tcPr>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工艺流程图如下</w:t>
            </w:r>
            <w:r>
              <w:rPr>
                <w:rFonts w:hint="eastAsia" w:cs="Times New Roman"/>
                <w:color w:val="000000"/>
                <w:sz w:val="24"/>
                <w:szCs w:val="24"/>
                <w:highlight w:val="none"/>
                <w:lang w:val="en-US" w:eastAsia="zh-CN"/>
              </w:rPr>
              <w:t>：</w:t>
            </w:r>
          </w:p>
          <w:p>
            <w:pPr>
              <w:adjustRightInd w:val="0"/>
              <w:snapToGrid w:val="0"/>
              <w:spacing w:line="360" w:lineRule="auto"/>
              <w:jc w:val="center"/>
              <w:rPr>
                <w:rFonts w:hint="default" w:ascii="Times New Roman" w:hAnsi="Times New Roman" w:cs="Times New Roman"/>
                <w:b/>
                <w:bCs/>
                <w:color w:val="000000"/>
                <w:sz w:val="24"/>
                <w:szCs w:val="24"/>
                <w:highlight w:val="none"/>
              </w:rPr>
            </w:pPr>
            <w:r>
              <w:rPr>
                <w:rFonts w:hint="default" w:eastAsia="宋体"/>
                <w:lang w:val="en-US" w:eastAsia="zh-CN"/>
              </w:rPr>
              <w:drawing>
                <wp:inline distT="0" distB="0" distL="114300" distR="114300">
                  <wp:extent cx="5153025" cy="2012950"/>
                  <wp:effectExtent l="0" t="0" r="13335" b="13970"/>
                  <wp:docPr id="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wps"/>
                          <pic:cNvPicPr>
                            <a:picLocks noChangeAspect="1"/>
                          </pic:cNvPicPr>
                        </pic:nvPicPr>
                        <pic:blipFill>
                          <a:blip r:embed="rId9"/>
                          <a:srcRect l="6716" t="12231" r="2985" b="7475"/>
                          <a:stretch>
                            <a:fillRect/>
                          </a:stretch>
                        </pic:blipFill>
                        <pic:spPr>
                          <a:xfrm>
                            <a:off x="0" y="0"/>
                            <a:ext cx="5153025" cy="2012950"/>
                          </a:xfrm>
                          <a:prstGeom prst="rect">
                            <a:avLst/>
                          </a:prstGeom>
                        </pic:spPr>
                      </pic:pic>
                    </a:graphicData>
                  </a:graphic>
                </wp:inline>
              </w:drawing>
            </w:r>
          </w:p>
          <w:p>
            <w:pPr>
              <w:adjustRightInd w:val="0"/>
              <w:snapToGrid w:val="0"/>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b/>
                <w:bCs/>
                <w:color w:val="000000"/>
                <w:sz w:val="24"/>
                <w:szCs w:val="24"/>
                <w:highlight w:val="none"/>
              </w:rPr>
              <w:t xml:space="preserve">图2-2  </w:t>
            </w:r>
            <w:r>
              <w:rPr>
                <w:rFonts w:hint="eastAsia" w:cs="Times New Roman"/>
                <w:b/>
                <w:bCs/>
                <w:color w:val="000000"/>
                <w:sz w:val="24"/>
                <w:szCs w:val="24"/>
                <w:highlight w:val="none"/>
                <w:lang w:eastAsia="zh-CN"/>
              </w:rPr>
              <w:t>工业薄膜</w:t>
            </w:r>
            <w:r>
              <w:rPr>
                <w:rFonts w:hint="default" w:ascii="Times New Roman" w:hAnsi="Times New Roman" w:cs="Times New Roman"/>
                <w:b/>
                <w:bCs/>
                <w:color w:val="000000"/>
                <w:sz w:val="24"/>
                <w:szCs w:val="24"/>
                <w:highlight w:val="none"/>
              </w:rPr>
              <w:t>生产工艺流程及产污环节图</w:t>
            </w:r>
          </w:p>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rPr>
              <w:t>工艺流程简述：</w:t>
            </w:r>
          </w:p>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default" w:cs="Times New Roman"/>
                <w:color w:val="000000"/>
                <w:sz w:val="24"/>
                <w:szCs w:val="24"/>
                <w:highlight w:val="none"/>
                <w:lang w:val="en-US" w:eastAsia="zh-CN"/>
              </w:rPr>
            </w:pPr>
            <w:r>
              <w:rPr>
                <w:rFonts w:hint="eastAsia" w:cs="Times New Roman"/>
                <w:color w:val="000000"/>
                <w:sz w:val="24"/>
                <w:szCs w:val="24"/>
                <w:highlight w:val="none"/>
                <w:lang w:val="en-US" w:eastAsia="zh-CN"/>
              </w:rPr>
              <w:t>（1）投料、搅拌：</w:t>
            </w:r>
            <w:r>
              <w:rPr>
                <w:rFonts w:hint="eastAsia" w:cs="Times New Roman"/>
                <w:color w:val="000000"/>
                <w:sz w:val="24"/>
                <w:szCs w:val="24"/>
                <w:highlight w:val="none"/>
                <w:lang w:eastAsia="zh-CN"/>
              </w:rPr>
              <w:t>将</w:t>
            </w:r>
            <w:r>
              <w:rPr>
                <w:rFonts w:hint="default" w:ascii="Times New Roman" w:hAnsi="Times New Roman" w:cs="Times New Roman"/>
                <w:color w:val="000000"/>
                <w:sz w:val="24"/>
                <w:szCs w:val="24"/>
                <w:highlight w:val="none"/>
                <w:lang w:eastAsia="zh-CN"/>
              </w:rPr>
              <w:t>外购的</w:t>
            </w:r>
            <w:r>
              <w:rPr>
                <w:rFonts w:hint="eastAsia" w:cs="Times New Roman"/>
                <w:color w:val="000000"/>
                <w:sz w:val="24"/>
                <w:szCs w:val="24"/>
                <w:highlight w:val="none"/>
                <w:lang w:eastAsia="zh-CN"/>
              </w:rPr>
              <w:t>颗粒状</w:t>
            </w:r>
            <w:r>
              <w:rPr>
                <w:rFonts w:hint="default" w:ascii="Times New Roman" w:hAnsi="Times New Roman" w:cs="Times New Roman"/>
                <w:color w:val="000000"/>
                <w:sz w:val="24"/>
                <w:szCs w:val="24"/>
                <w:highlight w:val="none"/>
                <w:lang w:eastAsia="zh-CN"/>
              </w:rPr>
              <w:t>聚乙烯、</w:t>
            </w:r>
            <w:r>
              <w:rPr>
                <w:rFonts w:hint="eastAsia" w:cs="Times New Roman"/>
                <w:color w:val="000000"/>
                <w:sz w:val="24"/>
                <w:szCs w:val="24"/>
                <w:highlight w:val="none"/>
                <w:lang w:eastAsia="zh-CN"/>
              </w:rPr>
              <w:t>聚丙烯等原料手动投入吹膜机中，并进行搅拌</w:t>
            </w:r>
            <w:r>
              <w:rPr>
                <w:rFonts w:hint="eastAsia" w:cs="Times New Roman"/>
                <w:color w:val="000000"/>
                <w:sz w:val="24"/>
                <w:szCs w:val="24"/>
                <w:highlight w:val="none"/>
                <w:lang w:val="en-US" w:eastAsia="zh-CN"/>
              </w:rPr>
              <w:t>。该环节产生噪声。</w:t>
            </w:r>
          </w:p>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default" w:cs="Times New Roman"/>
                <w:color w:val="000000"/>
                <w:sz w:val="24"/>
                <w:szCs w:val="24"/>
                <w:highlight w:val="none"/>
                <w:lang w:val="en-US" w:eastAsia="zh-CN"/>
              </w:rPr>
            </w:pPr>
            <w:r>
              <w:rPr>
                <w:rFonts w:hint="eastAsia" w:cs="Times New Roman"/>
                <w:color w:val="000000"/>
                <w:sz w:val="24"/>
                <w:szCs w:val="24"/>
                <w:highlight w:val="none"/>
                <w:lang w:val="en-US" w:eastAsia="zh-CN"/>
              </w:rPr>
              <w:t>（2）加热、吹膜：</w:t>
            </w:r>
            <w:r>
              <w:rPr>
                <w:rFonts w:hint="eastAsia" w:cs="Times New Roman"/>
                <w:color w:val="000000"/>
                <w:sz w:val="24"/>
                <w:szCs w:val="24"/>
                <w:highlight w:val="none"/>
                <w:lang w:eastAsia="zh-CN"/>
              </w:rPr>
              <w:t>经过搅拌工序的</w:t>
            </w:r>
            <w:r>
              <w:rPr>
                <w:rFonts w:hint="eastAsia" w:cs="Times New Roman"/>
                <w:color w:val="000000"/>
                <w:sz w:val="24"/>
                <w:szCs w:val="24"/>
                <w:highlight w:val="none"/>
                <w:lang w:val="en-US" w:eastAsia="zh-CN"/>
              </w:rPr>
              <w:t>原料</w:t>
            </w:r>
            <w:r>
              <w:rPr>
                <w:rFonts w:hint="eastAsia" w:cs="Times New Roman"/>
                <w:color w:val="000000"/>
                <w:sz w:val="24"/>
                <w:szCs w:val="24"/>
                <w:highlight w:val="none"/>
                <w:lang w:eastAsia="zh-CN"/>
              </w:rPr>
              <w:t>进入螺筒中，</w:t>
            </w:r>
            <w:r>
              <w:rPr>
                <w:rFonts w:hint="default" w:ascii="Times New Roman" w:hAnsi="Times New Roman" w:cs="Times New Roman"/>
                <w:color w:val="000000"/>
                <w:sz w:val="24"/>
                <w:szCs w:val="24"/>
                <w:highlight w:val="none"/>
                <w:lang w:eastAsia="zh-CN"/>
              </w:rPr>
              <w:t>由螺杆进行电加热</w:t>
            </w:r>
            <w:r>
              <w:rPr>
                <w:rFonts w:hint="eastAsia" w:cs="Times New Roman"/>
                <w:color w:val="000000"/>
                <w:sz w:val="24"/>
                <w:szCs w:val="24"/>
                <w:highlight w:val="none"/>
                <w:lang w:val="en-US" w:eastAsia="zh-CN"/>
              </w:rPr>
              <w:t>熔融进行</w:t>
            </w:r>
            <w:r>
              <w:rPr>
                <w:rFonts w:hint="eastAsia" w:cs="Times New Roman"/>
                <w:color w:val="000000"/>
                <w:sz w:val="24"/>
                <w:szCs w:val="24"/>
                <w:highlight w:val="none"/>
                <w:lang w:eastAsia="zh-CN"/>
              </w:rPr>
              <w:t>吹膜</w:t>
            </w:r>
            <w:r>
              <w:rPr>
                <w:rFonts w:hint="default" w:ascii="Times New Roman" w:hAnsi="Times New Roman" w:cs="Times New Roman"/>
                <w:color w:val="000000"/>
                <w:sz w:val="24"/>
                <w:szCs w:val="24"/>
                <w:highlight w:val="none"/>
                <w:lang w:eastAsia="zh-CN"/>
              </w:rPr>
              <w:t>，</w:t>
            </w:r>
            <w:r>
              <w:rPr>
                <w:rFonts w:hint="eastAsia" w:cs="Times New Roman"/>
                <w:color w:val="000000"/>
                <w:sz w:val="24"/>
                <w:szCs w:val="24"/>
                <w:highlight w:val="none"/>
                <w:lang w:val="en-US" w:eastAsia="zh-CN"/>
              </w:rPr>
              <w:t>加热</w:t>
            </w:r>
            <w:r>
              <w:rPr>
                <w:rFonts w:hint="default" w:ascii="Times New Roman" w:hAnsi="Times New Roman" w:cs="Times New Roman"/>
                <w:color w:val="000000"/>
                <w:sz w:val="24"/>
                <w:szCs w:val="24"/>
                <w:highlight w:val="none"/>
                <w:lang w:eastAsia="zh-CN"/>
              </w:rPr>
              <w:t>温度在1</w:t>
            </w:r>
            <w:r>
              <w:rPr>
                <w:rFonts w:hint="eastAsia"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eastAsia="zh-CN"/>
              </w:rPr>
              <w:t>0℃-</w:t>
            </w:r>
            <w:r>
              <w:rPr>
                <w:rFonts w:hint="eastAsia" w:cs="Times New Roman"/>
                <w:color w:val="000000"/>
                <w:sz w:val="24"/>
                <w:szCs w:val="24"/>
                <w:highlight w:val="none"/>
                <w:lang w:val="en-US" w:eastAsia="zh-CN"/>
              </w:rPr>
              <w:t>20</w:t>
            </w:r>
            <w:r>
              <w:rPr>
                <w:rFonts w:hint="default" w:ascii="Times New Roman" w:hAnsi="Times New Roman" w:cs="Times New Roman"/>
                <w:color w:val="000000"/>
                <w:sz w:val="24"/>
                <w:szCs w:val="24"/>
                <w:highlight w:val="none"/>
                <w:lang w:eastAsia="zh-CN"/>
              </w:rPr>
              <w:t>0℃</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该环节产生噪声、VOCs</w:t>
            </w:r>
            <w:r>
              <w:rPr>
                <w:rFonts w:hint="eastAsia" w:cs="Times New Roman"/>
                <w:color w:val="000000"/>
                <w:sz w:val="24"/>
                <w:szCs w:val="24"/>
                <w:highlight w:val="none"/>
                <w:lang w:eastAsia="zh-CN"/>
              </w:rPr>
              <w:t>，吹膜过程中产生不合格品</w:t>
            </w:r>
            <w:r>
              <w:rPr>
                <w:rFonts w:hint="eastAsia" w:cs="Times New Roman"/>
                <w:color w:val="000000"/>
                <w:sz w:val="24"/>
                <w:szCs w:val="24"/>
                <w:highlight w:val="none"/>
                <w:lang w:val="en-US" w:eastAsia="zh-CN"/>
              </w:rPr>
              <w:t>。</w:t>
            </w:r>
          </w:p>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default" w:cs="Times New Roman"/>
                <w:color w:val="000000"/>
                <w:sz w:val="24"/>
                <w:szCs w:val="24"/>
                <w:highlight w:val="none"/>
                <w:lang w:val="en-US" w:eastAsia="zh-CN"/>
              </w:rPr>
            </w:pPr>
            <w:r>
              <w:rPr>
                <w:rFonts w:hint="eastAsia" w:cs="Times New Roman"/>
                <w:color w:val="000000"/>
                <w:sz w:val="24"/>
                <w:szCs w:val="24"/>
                <w:highlight w:val="none"/>
                <w:lang w:val="en-US" w:eastAsia="zh-CN"/>
              </w:rPr>
              <w:t>（3）冷却、切割成型：通过</w:t>
            </w:r>
            <w:r>
              <w:rPr>
                <w:rFonts w:hint="eastAsia" w:cs="Times New Roman"/>
                <w:color w:val="000000"/>
                <w:sz w:val="24"/>
                <w:szCs w:val="24"/>
                <w:highlight w:val="none"/>
                <w:lang w:eastAsia="zh-CN"/>
              </w:rPr>
              <w:t>吹膜</w:t>
            </w:r>
            <w:r>
              <w:rPr>
                <w:rFonts w:hint="eastAsia" w:cs="Times New Roman"/>
                <w:color w:val="000000"/>
                <w:sz w:val="24"/>
                <w:szCs w:val="24"/>
                <w:highlight w:val="none"/>
                <w:lang w:val="en-US" w:eastAsia="zh-CN"/>
              </w:rPr>
              <w:t>产生的半成品薄膜利用鼓风机提供的空气进行冷却，冷却后</w:t>
            </w:r>
            <w:r>
              <w:rPr>
                <w:rFonts w:hint="eastAsia" w:cs="Times New Roman"/>
                <w:color w:val="000000"/>
                <w:sz w:val="24"/>
                <w:szCs w:val="24"/>
                <w:highlight w:val="none"/>
                <w:lang w:eastAsia="zh-CN"/>
              </w:rPr>
              <w:t>进行</w:t>
            </w:r>
            <w:r>
              <w:rPr>
                <w:rFonts w:hint="eastAsia" w:cs="Times New Roman"/>
                <w:color w:val="000000"/>
                <w:sz w:val="24"/>
                <w:szCs w:val="24"/>
                <w:highlight w:val="none"/>
                <w:lang w:val="en-US" w:eastAsia="zh-CN"/>
              </w:rPr>
              <w:t>打圈</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达到一定的规格后用设备自带的刀片进行裁断</w:t>
            </w:r>
            <w:r>
              <w:rPr>
                <w:rFonts w:hint="default" w:ascii="Times New Roman" w:hAnsi="Times New Roman" w:cs="Times New Roman"/>
                <w:color w:val="000000"/>
                <w:sz w:val="24"/>
                <w:szCs w:val="24"/>
                <w:highlight w:val="none"/>
                <w:lang w:eastAsia="zh-CN"/>
              </w:rPr>
              <w:t>，</w:t>
            </w:r>
            <w:r>
              <w:rPr>
                <w:rFonts w:hint="eastAsia" w:cs="Times New Roman"/>
                <w:color w:val="000000"/>
                <w:sz w:val="24"/>
                <w:szCs w:val="24"/>
                <w:highlight w:val="none"/>
                <w:lang w:val="en-US" w:eastAsia="zh-CN"/>
              </w:rPr>
              <w:t>最后</w:t>
            </w:r>
            <w:r>
              <w:rPr>
                <w:rFonts w:hint="default" w:ascii="Times New Roman" w:hAnsi="Times New Roman" w:cs="Times New Roman"/>
                <w:color w:val="000000"/>
                <w:sz w:val="24"/>
                <w:szCs w:val="24"/>
                <w:highlight w:val="none"/>
                <w:lang w:eastAsia="zh-CN"/>
              </w:rPr>
              <w:t>打包入库</w:t>
            </w:r>
            <w:r>
              <w:rPr>
                <w:rFonts w:hint="eastAsia" w:cs="Times New Roman"/>
                <w:color w:val="000000"/>
                <w:sz w:val="24"/>
                <w:szCs w:val="24"/>
                <w:highlight w:val="none"/>
                <w:lang w:eastAsia="zh-CN"/>
              </w:rPr>
              <w:t>。该环节产生噪声、废边角料及不合格品。</w:t>
            </w:r>
          </w:p>
          <w:p>
            <w:pPr>
              <w:keepNext w:val="0"/>
              <w:keepLines w:val="0"/>
              <w:pageBreakBefore w:val="0"/>
              <w:tabs>
                <w:tab w:val="left" w:pos="5292"/>
              </w:tabs>
              <w:kinsoku/>
              <w:wordWrap/>
              <w:overflowPunct/>
              <w:topLinePunct w:val="0"/>
              <w:autoSpaceDE/>
              <w:autoSpaceDN/>
              <w:bidi w:val="0"/>
              <w:adjustRightInd w:val="0"/>
              <w:snapToGrid w:val="0"/>
              <w:spacing w:line="360" w:lineRule="auto"/>
              <w:ind w:leftChars="0" w:right="0" w:firstLine="480" w:firstLineChars="200"/>
              <w:textAlignment w:val="auto"/>
              <w:rPr>
                <w:rFonts w:hint="default" w:cs="Times New Roman"/>
                <w:color w:val="000000"/>
                <w:sz w:val="24"/>
                <w:szCs w:val="24"/>
                <w:highlight w:val="none"/>
                <w:lang w:val="en-US" w:eastAsia="zh-CN"/>
              </w:rPr>
            </w:pPr>
            <w:r>
              <w:rPr>
                <w:rFonts w:hint="eastAsia" w:cs="Times New Roman"/>
                <w:color w:val="000000"/>
                <w:sz w:val="24"/>
                <w:szCs w:val="24"/>
                <w:highlight w:val="none"/>
                <w:lang w:val="en-US" w:eastAsia="zh-CN"/>
              </w:rPr>
              <w:t>（4）回用、造粒：将</w:t>
            </w:r>
            <w:r>
              <w:rPr>
                <w:rFonts w:hint="eastAsia" w:cs="Times New Roman"/>
                <w:color w:val="000000"/>
                <w:sz w:val="24"/>
                <w:szCs w:val="24"/>
                <w:highlight w:val="none"/>
                <w:lang w:eastAsia="zh-CN"/>
              </w:rPr>
              <w:t>成型过程中产生的废边角料及不合格品</w:t>
            </w:r>
            <w:r>
              <w:rPr>
                <w:rFonts w:hint="eastAsia" w:cs="Times New Roman"/>
                <w:color w:val="auto"/>
                <w:sz w:val="24"/>
                <w:szCs w:val="24"/>
                <w:highlight w:val="none"/>
                <w:lang w:eastAsia="zh-CN"/>
              </w:rPr>
              <w:t>投入风冷造粒机进行</w:t>
            </w:r>
            <w:r>
              <w:rPr>
                <w:rFonts w:hint="eastAsia" w:cs="Times New Roman"/>
                <w:color w:val="auto"/>
                <w:sz w:val="24"/>
                <w:szCs w:val="24"/>
                <w:highlight w:val="none"/>
                <w:lang w:val="en-US" w:eastAsia="zh-CN"/>
              </w:rPr>
              <w:t>熔融</w:t>
            </w:r>
            <w:r>
              <w:rPr>
                <w:rFonts w:hint="eastAsia" w:cs="Times New Roman"/>
                <w:color w:val="auto"/>
                <w:sz w:val="24"/>
                <w:szCs w:val="24"/>
                <w:highlight w:val="none"/>
                <w:lang w:eastAsia="zh-CN"/>
              </w:rPr>
              <w:t>，</w:t>
            </w:r>
            <w:r>
              <w:rPr>
                <w:rFonts w:hint="eastAsia" w:cs="Times New Roman"/>
                <w:color w:val="000000"/>
                <w:sz w:val="24"/>
                <w:szCs w:val="24"/>
                <w:highlight w:val="none"/>
                <w:lang w:val="en-US" w:eastAsia="zh-CN"/>
              </w:rPr>
              <w:t>加热</w:t>
            </w:r>
            <w:r>
              <w:rPr>
                <w:rFonts w:hint="default" w:ascii="Times New Roman" w:hAnsi="Times New Roman" w:cs="Times New Roman"/>
                <w:color w:val="000000"/>
                <w:sz w:val="24"/>
                <w:szCs w:val="24"/>
                <w:highlight w:val="none"/>
                <w:lang w:eastAsia="zh-CN"/>
              </w:rPr>
              <w:t>温度在1</w:t>
            </w:r>
            <w:r>
              <w:rPr>
                <w:rFonts w:hint="eastAsia"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eastAsia="zh-CN"/>
              </w:rPr>
              <w:t>0℃-</w:t>
            </w:r>
            <w:r>
              <w:rPr>
                <w:rFonts w:hint="eastAsia" w:cs="Times New Roman"/>
                <w:color w:val="000000"/>
                <w:sz w:val="24"/>
                <w:szCs w:val="24"/>
                <w:highlight w:val="none"/>
                <w:lang w:val="en-US" w:eastAsia="zh-CN"/>
              </w:rPr>
              <w:t>20</w:t>
            </w:r>
            <w:r>
              <w:rPr>
                <w:rFonts w:hint="default" w:ascii="Times New Roman" w:hAnsi="Times New Roman" w:cs="Times New Roman"/>
                <w:color w:val="000000"/>
                <w:sz w:val="24"/>
                <w:szCs w:val="24"/>
                <w:highlight w:val="none"/>
                <w:lang w:eastAsia="zh-CN"/>
              </w:rPr>
              <w:t>0℃</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熔融后的物料经挤压为</w:t>
            </w:r>
            <w:r>
              <w:rPr>
                <w:rFonts w:hint="eastAsia" w:cs="Times New Roman"/>
                <w:color w:val="auto"/>
                <w:sz w:val="24"/>
                <w:szCs w:val="24"/>
                <w:highlight w:val="none"/>
                <w:lang w:val="en-US" w:eastAsia="zh-CN"/>
              </w:rPr>
              <w:t>条状半成品，后经设备自带的旋转式刀片切割为颗粒状，回用于投料、搅拌工序</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所有的工序均在造粒机内完成，</w:t>
            </w:r>
            <w:r>
              <w:rPr>
                <w:rFonts w:hint="eastAsia" w:cs="Times New Roman"/>
                <w:color w:val="auto"/>
                <w:sz w:val="24"/>
                <w:szCs w:val="24"/>
                <w:highlight w:val="none"/>
                <w:lang w:eastAsia="zh-CN"/>
              </w:rPr>
              <w:t>在造粒过程中产生</w:t>
            </w:r>
            <w:r>
              <w:rPr>
                <w:rFonts w:hint="eastAsia" w:cs="Times New Roman"/>
                <w:color w:val="000000"/>
                <w:sz w:val="24"/>
                <w:szCs w:val="24"/>
                <w:highlight w:val="none"/>
                <w:lang w:val="en-US" w:eastAsia="zh-CN"/>
              </w:rPr>
              <w:t>噪声、VOCs。</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rPr>
              <w:t>产污环节见下表。</w:t>
            </w:r>
          </w:p>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表2-</w:t>
            </w:r>
            <w:r>
              <w:rPr>
                <w:rFonts w:hint="eastAsia" w:cs="Times New Roman"/>
                <w:b/>
                <w:bCs/>
                <w:sz w:val="21"/>
                <w:szCs w:val="21"/>
                <w:highlight w:val="none"/>
                <w:lang w:val="en-US" w:eastAsia="zh-CN"/>
              </w:rPr>
              <w:t>8</w:t>
            </w:r>
            <w:r>
              <w:rPr>
                <w:rFonts w:hint="default" w:ascii="Times New Roman" w:hAnsi="Times New Roman" w:cs="Times New Roman"/>
                <w:b/>
                <w:bCs/>
                <w:sz w:val="21"/>
                <w:szCs w:val="21"/>
                <w:highlight w:val="none"/>
              </w:rPr>
              <w:t xml:space="preserve">  产污环节一览表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10"/>
              <w:gridCol w:w="1134"/>
              <w:gridCol w:w="1680"/>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9" w:type="pct"/>
                  <w:noWrap w:val="0"/>
                  <w:vAlign w:val="center"/>
                </w:tcPr>
                <w:p>
                  <w:pPr>
                    <w:pStyle w:val="74"/>
                    <w:spacing w:line="240" w:lineRule="auto"/>
                    <w:ind w:firstLine="0" w:firstLineChars="0"/>
                    <w:jc w:val="center"/>
                    <w:rPr>
                      <w:rFonts w:hint="eastAsia" w:ascii="Times New Roman" w:hAnsi="Times New Roman" w:eastAsia="宋体" w:cs="Times New Roman"/>
                      <w:b/>
                      <w:bCs/>
                      <w:sz w:val="21"/>
                      <w:szCs w:val="21"/>
                      <w:highlight w:val="none"/>
                      <w:lang w:eastAsia="zh-CN"/>
                    </w:rPr>
                  </w:pPr>
                  <w:r>
                    <w:rPr>
                      <w:rFonts w:hint="eastAsia" w:cs="Times New Roman"/>
                      <w:b/>
                      <w:bCs/>
                      <w:sz w:val="21"/>
                      <w:szCs w:val="21"/>
                      <w:highlight w:val="none"/>
                      <w:lang w:eastAsia="zh-CN"/>
                    </w:rPr>
                    <w:t>类型</w:t>
                  </w:r>
                </w:p>
              </w:tc>
              <w:tc>
                <w:tcPr>
                  <w:tcW w:w="1176" w:type="pct"/>
                  <w:gridSpan w:val="2"/>
                  <w:noWrap w:val="0"/>
                  <w:vAlign w:val="center"/>
                </w:tcPr>
                <w:p>
                  <w:pPr>
                    <w:pStyle w:val="74"/>
                    <w:spacing w:line="240" w:lineRule="auto"/>
                    <w:ind w:firstLine="0" w:firstLineChars="0"/>
                    <w:jc w:val="center"/>
                    <w:rPr>
                      <w:rFonts w:hint="default" w:ascii="Times New Roman" w:hAnsi="Times New Roman" w:eastAsia="宋体" w:cs="Times New Roman"/>
                      <w:b/>
                      <w:bCs/>
                      <w:sz w:val="21"/>
                      <w:szCs w:val="21"/>
                      <w:highlight w:val="none"/>
                      <w:lang w:val="en-US" w:eastAsia="zh-CN"/>
                    </w:rPr>
                  </w:pPr>
                  <w:r>
                    <w:rPr>
                      <w:rFonts w:hint="eastAsia" w:cs="Times New Roman"/>
                      <w:b/>
                      <w:bCs/>
                      <w:sz w:val="21"/>
                      <w:szCs w:val="21"/>
                      <w:highlight w:val="none"/>
                      <w:lang w:val="en-US" w:eastAsia="zh-CN"/>
                    </w:rPr>
                    <w:t>排放源</w:t>
                  </w:r>
                </w:p>
              </w:tc>
              <w:tc>
                <w:tcPr>
                  <w:tcW w:w="1016" w:type="pct"/>
                  <w:noWrap w:val="0"/>
                  <w:vAlign w:val="center"/>
                </w:tcPr>
                <w:p>
                  <w:pPr>
                    <w:pStyle w:val="74"/>
                    <w:spacing w:line="240" w:lineRule="auto"/>
                    <w:ind w:firstLine="0" w:firstLineChars="0"/>
                    <w:jc w:val="center"/>
                    <w:rPr>
                      <w:rFonts w:hint="eastAsia" w:ascii="Times New Roman" w:hAnsi="Times New Roman" w:eastAsia="宋体" w:cs="Times New Roman"/>
                      <w:b/>
                      <w:bCs/>
                      <w:sz w:val="21"/>
                      <w:szCs w:val="21"/>
                      <w:highlight w:val="none"/>
                      <w:lang w:eastAsia="zh-CN"/>
                    </w:rPr>
                  </w:pPr>
                  <w:r>
                    <w:rPr>
                      <w:rFonts w:hint="eastAsia" w:cs="Times New Roman"/>
                      <w:b/>
                      <w:bCs/>
                      <w:sz w:val="21"/>
                      <w:szCs w:val="21"/>
                      <w:highlight w:val="none"/>
                      <w:lang w:eastAsia="zh-CN"/>
                    </w:rPr>
                    <w:t>污染物名称</w:t>
                  </w:r>
                </w:p>
              </w:tc>
              <w:tc>
                <w:tcPr>
                  <w:tcW w:w="2036" w:type="pct"/>
                  <w:noWrap w:val="0"/>
                  <w:vAlign w:val="center"/>
                </w:tcPr>
                <w:p>
                  <w:pPr>
                    <w:pStyle w:val="74"/>
                    <w:spacing w:line="240" w:lineRule="auto"/>
                    <w:ind w:firstLine="0" w:firstLineChars="0"/>
                    <w:jc w:val="center"/>
                    <w:rPr>
                      <w:rFonts w:hint="default" w:ascii="Times New Roman" w:hAnsi="Times New Roman" w:cs="Times New Roman"/>
                      <w:b/>
                      <w:bCs/>
                      <w:sz w:val="21"/>
                      <w:szCs w:val="21"/>
                      <w:highlight w:val="none"/>
                    </w:rPr>
                  </w:pPr>
                  <w:r>
                    <w:rPr>
                      <w:rFonts w:hint="eastAsia" w:cs="Times New Roman"/>
                      <w:b/>
                      <w:bCs/>
                      <w:sz w:val="21"/>
                      <w:szCs w:val="21"/>
                      <w:highlight w:val="none"/>
                      <w:lang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vMerge w:val="restar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大气污染物</w:t>
                  </w:r>
                </w:p>
              </w:tc>
              <w:tc>
                <w:tcPr>
                  <w:tcW w:w="490"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加热吹膜</w:t>
                  </w:r>
                </w:p>
              </w:tc>
              <w:tc>
                <w:tcPr>
                  <w:tcW w:w="686"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有组织</w:t>
                  </w:r>
                </w:p>
              </w:tc>
              <w:tc>
                <w:tcPr>
                  <w:tcW w:w="1016" w:type="pct"/>
                  <w:noWrap w:val="0"/>
                  <w:vAlign w:val="center"/>
                </w:tcPr>
                <w:p>
                  <w:pPr>
                    <w:pStyle w:val="74"/>
                    <w:spacing w:line="240" w:lineRule="auto"/>
                    <w:ind w:firstLine="0" w:firstLineChars="0"/>
                    <w:jc w:val="center"/>
                    <w:rPr>
                      <w:rFonts w:hint="default" w:cs="Times New Roman"/>
                      <w:sz w:val="21"/>
                      <w:szCs w:val="21"/>
                      <w:highlight w:val="none"/>
                      <w:lang w:val="en-US" w:eastAsia="zh-CN"/>
                    </w:rPr>
                  </w:pPr>
                  <w:r>
                    <w:rPr>
                      <w:rFonts w:hint="eastAsia" w:cs="Times New Roman"/>
                      <w:sz w:val="21"/>
                      <w:szCs w:val="21"/>
                      <w:highlight w:val="none"/>
                      <w:lang w:val="en-US" w:eastAsia="zh-CN"/>
                    </w:rPr>
                    <w:t>VOCs</w:t>
                  </w:r>
                </w:p>
              </w:tc>
              <w:tc>
                <w:tcPr>
                  <w:tcW w:w="2036" w:type="pct"/>
                  <w:noWrap w:val="0"/>
                  <w:vAlign w:val="center"/>
                </w:tcPr>
                <w:p>
                  <w:pPr>
                    <w:pStyle w:val="74"/>
                    <w:spacing w:line="240" w:lineRule="auto"/>
                    <w:ind w:firstLine="0" w:firstLineChars="0"/>
                    <w:jc w:val="center"/>
                    <w:rPr>
                      <w:rFonts w:hint="default" w:cs="Times New Roman"/>
                      <w:sz w:val="21"/>
                      <w:szCs w:val="21"/>
                      <w:highlight w:val="none"/>
                      <w:lang w:val="en-US" w:eastAsia="zh-CN"/>
                    </w:rPr>
                  </w:pPr>
                  <w:r>
                    <w:rPr>
                      <w:rFonts w:hint="eastAsia"/>
                      <w:sz w:val="21"/>
                      <w:szCs w:val="21"/>
                      <w:lang w:eastAsia="zh-CN"/>
                    </w:rPr>
                    <w:t>经集气罩收集后，</w:t>
                  </w:r>
                  <w:r>
                    <w:rPr>
                      <w:rFonts w:hint="eastAsia" w:cs="Times New Roman"/>
                      <w:sz w:val="21"/>
                      <w:szCs w:val="21"/>
                      <w:highlight w:val="none"/>
                      <w:lang w:eastAsia="zh-CN"/>
                    </w:rPr>
                    <w:t>通过二级活性炭吸附后由一根排气筒</w:t>
                  </w:r>
                  <w:r>
                    <w:rPr>
                      <w:rFonts w:hint="eastAsia" w:cs="Times New Roman"/>
                      <w:sz w:val="21"/>
                      <w:szCs w:val="21"/>
                      <w:highlight w:val="none"/>
                      <w:lang w:val="en-US" w:eastAsia="zh-CN"/>
                    </w:rPr>
                    <w:t>DA001排放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9" w:type="pct"/>
                  <w:vMerge w:val="continue"/>
                  <w:noWrap w:val="0"/>
                  <w:vAlign w:val="center"/>
                </w:tcPr>
                <w:p>
                  <w:pPr>
                    <w:pStyle w:val="74"/>
                    <w:spacing w:line="240" w:lineRule="auto"/>
                    <w:ind w:firstLine="0" w:firstLineChars="0"/>
                    <w:jc w:val="center"/>
                    <w:rPr>
                      <w:rFonts w:hint="eastAsia" w:cs="Times New Roman"/>
                      <w:sz w:val="21"/>
                      <w:szCs w:val="21"/>
                      <w:highlight w:val="none"/>
                      <w:lang w:eastAsia="zh-CN"/>
                    </w:rPr>
                  </w:pPr>
                </w:p>
              </w:tc>
              <w:tc>
                <w:tcPr>
                  <w:tcW w:w="490"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回用造粒</w:t>
                  </w:r>
                </w:p>
              </w:tc>
              <w:tc>
                <w:tcPr>
                  <w:tcW w:w="686"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有组织</w:t>
                  </w:r>
                </w:p>
              </w:tc>
              <w:tc>
                <w:tcPr>
                  <w:tcW w:w="1016"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VOCs</w:t>
                  </w:r>
                </w:p>
              </w:tc>
              <w:tc>
                <w:tcPr>
                  <w:tcW w:w="2036" w:type="pc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sz w:val="21"/>
                      <w:szCs w:val="21"/>
                      <w:lang w:eastAsia="zh-CN"/>
                    </w:rPr>
                    <w:t>经集气罩收集后，</w:t>
                  </w:r>
                  <w:r>
                    <w:rPr>
                      <w:rFonts w:hint="eastAsia" w:cs="Times New Roman"/>
                      <w:sz w:val="21"/>
                      <w:szCs w:val="21"/>
                      <w:highlight w:val="none"/>
                      <w:lang w:eastAsia="zh-CN"/>
                    </w:rPr>
                    <w:t>通过二级活性炭吸附后由一根排气筒</w:t>
                  </w:r>
                  <w:r>
                    <w:rPr>
                      <w:rFonts w:hint="eastAsia" w:cs="Times New Roman"/>
                      <w:sz w:val="21"/>
                      <w:szCs w:val="21"/>
                      <w:highlight w:val="none"/>
                      <w:lang w:val="en-US" w:eastAsia="zh-CN"/>
                    </w:rPr>
                    <w:t>DA001排放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vMerge w:val="continue"/>
                  <w:noWrap w:val="0"/>
                  <w:vAlign w:val="center"/>
                </w:tcPr>
                <w:p>
                  <w:pPr>
                    <w:pStyle w:val="74"/>
                    <w:spacing w:line="240" w:lineRule="auto"/>
                    <w:ind w:firstLine="0" w:firstLineChars="0"/>
                    <w:jc w:val="center"/>
                    <w:rPr>
                      <w:rFonts w:hint="eastAsia" w:cs="Times New Roman"/>
                      <w:sz w:val="21"/>
                      <w:szCs w:val="21"/>
                      <w:highlight w:val="none"/>
                      <w:lang w:eastAsia="zh-CN"/>
                    </w:rPr>
                  </w:pPr>
                </w:p>
              </w:tc>
              <w:tc>
                <w:tcPr>
                  <w:tcW w:w="1176" w:type="pct"/>
                  <w:gridSpan w:val="2"/>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无组织</w:t>
                  </w:r>
                </w:p>
              </w:tc>
              <w:tc>
                <w:tcPr>
                  <w:tcW w:w="1016"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VOCs</w:t>
                  </w:r>
                </w:p>
              </w:tc>
              <w:tc>
                <w:tcPr>
                  <w:tcW w:w="2036" w:type="pc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水污染物</w:t>
                  </w:r>
                </w:p>
              </w:tc>
              <w:tc>
                <w:tcPr>
                  <w:tcW w:w="1176" w:type="pct"/>
                  <w:gridSpan w:val="2"/>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生活污水</w:t>
                  </w:r>
                </w:p>
              </w:tc>
              <w:tc>
                <w:tcPr>
                  <w:tcW w:w="1016" w:type="pct"/>
                  <w:noWrap w:val="0"/>
                  <w:vAlign w:val="center"/>
                </w:tcPr>
                <w:p>
                  <w:pPr>
                    <w:pStyle w:val="74"/>
                    <w:spacing w:line="240" w:lineRule="auto"/>
                    <w:ind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CODcr、氨氮、SS、BOD</w:t>
                  </w:r>
                  <w:r>
                    <w:rPr>
                      <w:rFonts w:hint="eastAsia" w:cs="Times New Roman"/>
                      <w:sz w:val="21"/>
                      <w:szCs w:val="21"/>
                      <w:highlight w:val="none"/>
                      <w:vertAlign w:val="subscript"/>
                      <w:lang w:val="en-US" w:eastAsia="zh-CN"/>
                    </w:rPr>
                    <w:t>5</w:t>
                  </w:r>
                </w:p>
              </w:tc>
              <w:tc>
                <w:tcPr>
                  <w:tcW w:w="2036" w:type="pc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经化粪池暂存由环卫部门定期清运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vMerge w:val="restart"/>
                  <w:noWrap w:val="0"/>
                  <w:vAlign w:val="center"/>
                </w:tcPr>
                <w:p>
                  <w:pPr>
                    <w:pStyle w:val="74"/>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固体废物</w:t>
                  </w:r>
                </w:p>
              </w:tc>
              <w:tc>
                <w:tcPr>
                  <w:tcW w:w="1176" w:type="pct"/>
                  <w:gridSpan w:val="2"/>
                  <w:noWrap w:val="0"/>
                  <w:vAlign w:val="center"/>
                </w:tcPr>
                <w:p>
                  <w:pPr>
                    <w:topLinePunct/>
                    <w:adjustRightInd w:val="0"/>
                    <w:snapToGrid w:val="0"/>
                    <w:jc w:val="center"/>
                    <w:rPr>
                      <w:rFonts w:hint="eastAsia" w:cs="Times New Roman"/>
                      <w:sz w:val="21"/>
                      <w:szCs w:val="21"/>
                      <w:highlight w:val="none"/>
                      <w:lang w:val="en-US" w:eastAsia="zh-CN"/>
                    </w:rPr>
                  </w:pPr>
                  <w:r>
                    <w:rPr>
                      <w:rFonts w:hint="default" w:ascii="Times New Roman" w:hAnsi="Times New Roman" w:cs="Times New Roman"/>
                      <w:color w:val="auto"/>
                      <w:sz w:val="21"/>
                      <w:szCs w:val="21"/>
                      <w:highlight w:val="none"/>
                      <w:lang w:val="en-US" w:eastAsia="zh-CN"/>
                    </w:rPr>
                    <w:t>员工生活</w:t>
                  </w:r>
                </w:p>
              </w:tc>
              <w:tc>
                <w:tcPr>
                  <w:tcW w:w="1016" w:type="pct"/>
                  <w:noWrap w:val="0"/>
                  <w:vAlign w:val="center"/>
                </w:tcPr>
                <w:p>
                  <w:pPr>
                    <w:topLinePunct/>
                    <w:adjustRightInd w:val="0"/>
                    <w:snapToGrid w:val="0"/>
                    <w:jc w:val="center"/>
                    <w:rPr>
                      <w:rFonts w:hint="eastAsia" w:cs="Times New Roman"/>
                      <w:sz w:val="21"/>
                      <w:szCs w:val="21"/>
                      <w:highlight w:val="none"/>
                      <w:lang w:val="en-US" w:eastAsia="zh-CN"/>
                    </w:rPr>
                  </w:pPr>
                  <w:r>
                    <w:rPr>
                      <w:rFonts w:hint="default" w:ascii="Times New Roman" w:hAnsi="Times New Roman" w:cs="Times New Roman"/>
                      <w:color w:val="auto"/>
                      <w:sz w:val="21"/>
                      <w:szCs w:val="21"/>
                      <w:highlight w:val="none"/>
                      <w:lang w:val="en-US" w:eastAsia="zh-CN"/>
                    </w:rPr>
                    <w:t>生活垃圾</w:t>
                  </w:r>
                </w:p>
              </w:tc>
              <w:tc>
                <w:tcPr>
                  <w:tcW w:w="2036" w:type="pct"/>
                  <w:noWrap w:val="0"/>
                  <w:vAlign w:val="center"/>
                </w:tcPr>
                <w:p>
                  <w:pPr>
                    <w:pStyle w:val="76"/>
                    <w:jc w:val="center"/>
                    <w:rPr>
                      <w:rFonts w:hint="eastAsia" w:cs="Times New Roman"/>
                      <w:sz w:val="21"/>
                      <w:szCs w:val="21"/>
                      <w:highlight w:val="none"/>
                      <w:lang w:eastAsia="zh-CN"/>
                    </w:rPr>
                  </w:pPr>
                  <w:r>
                    <w:rPr>
                      <w:rFonts w:hint="default" w:ascii="Times New Roman" w:hAnsi="Times New Roman" w:cs="Times New Roman"/>
                      <w:color w:val="auto"/>
                      <w:sz w:val="21"/>
                      <w:szCs w:val="21"/>
                      <w:highlight w:val="none"/>
                      <w:lang w:val="en-US" w:eastAsia="zh-CN"/>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9" w:type="pct"/>
                  <w:vMerge w:val="continue"/>
                  <w:noWrap w:val="0"/>
                  <w:vAlign w:val="center"/>
                </w:tcPr>
                <w:p>
                  <w:pPr>
                    <w:pStyle w:val="74"/>
                    <w:spacing w:line="240" w:lineRule="auto"/>
                    <w:ind w:firstLine="0" w:firstLineChars="0"/>
                    <w:jc w:val="center"/>
                    <w:rPr>
                      <w:rFonts w:hint="eastAsia" w:cs="Times New Roman"/>
                      <w:sz w:val="21"/>
                      <w:szCs w:val="21"/>
                      <w:highlight w:val="none"/>
                      <w:lang w:eastAsia="zh-CN"/>
                    </w:rPr>
                  </w:pPr>
                </w:p>
              </w:tc>
              <w:tc>
                <w:tcPr>
                  <w:tcW w:w="1176" w:type="pct"/>
                  <w:gridSpan w:val="2"/>
                  <w:noWrap w:val="0"/>
                  <w:vAlign w:val="center"/>
                </w:tcPr>
                <w:p>
                  <w:pPr>
                    <w:pStyle w:val="76"/>
                    <w:jc w:val="center"/>
                    <w:rPr>
                      <w:rFonts w:hint="eastAsia" w:cs="Times New Roman"/>
                      <w:sz w:val="21"/>
                      <w:szCs w:val="21"/>
                      <w:highlight w:val="none"/>
                      <w:lang w:val="en-US" w:eastAsia="zh-CN"/>
                    </w:rPr>
                  </w:pPr>
                  <w:r>
                    <w:rPr>
                      <w:rFonts w:hint="default" w:ascii="Times New Roman" w:hAnsi="Times New Roman" w:cs="Times New Roman"/>
                      <w:color w:val="auto"/>
                      <w:sz w:val="21"/>
                      <w:szCs w:val="21"/>
                      <w:highlight w:val="none"/>
                    </w:rPr>
                    <w:t>生产过程</w:t>
                  </w:r>
                </w:p>
              </w:tc>
              <w:tc>
                <w:tcPr>
                  <w:tcW w:w="1016" w:type="pct"/>
                  <w:noWrap w:val="0"/>
                  <w:vAlign w:val="center"/>
                </w:tcPr>
                <w:p>
                  <w:pPr>
                    <w:pStyle w:val="76"/>
                    <w:jc w:val="center"/>
                    <w:rPr>
                      <w:rFonts w:hint="eastAsia" w:cs="Times New Roman"/>
                      <w:sz w:val="21"/>
                      <w:szCs w:val="21"/>
                      <w:highlight w:val="none"/>
                      <w:lang w:val="en-US" w:eastAsia="zh-CN"/>
                    </w:rPr>
                  </w:pPr>
                  <w:r>
                    <w:rPr>
                      <w:rFonts w:hint="eastAsia" w:ascii="Times New Roman" w:cs="Times New Roman"/>
                      <w:color w:val="auto"/>
                      <w:sz w:val="21"/>
                      <w:szCs w:val="21"/>
                      <w:highlight w:val="none"/>
                      <w:lang w:val="en-US" w:eastAsia="zh-CN"/>
                    </w:rPr>
                    <w:t>废包装袋</w:t>
                  </w:r>
                </w:p>
              </w:tc>
              <w:tc>
                <w:tcPr>
                  <w:tcW w:w="2036" w:type="pct"/>
                  <w:noWrap w:val="0"/>
                  <w:vAlign w:val="center"/>
                </w:tcPr>
                <w:p>
                  <w:pPr>
                    <w:pStyle w:val="76"/>
                    <w:jc w:val="center"/>
                    <w:rPr>
                      <w:rFonts w:hint="eastAsia" w:cs="Times New Roman"/>
                      <w:sz w:val="21"/>
                      <w:szCs w:val="21"/>
                      <w:highlight w:val="none"/>
                      <w:lang w:eastAsia="zh-CN"/>
                    </w:rPr>
                  </w:pPr>
                  <w:r>
                    <w:rPr>
                      <w:rFonts w:hint="eastAsia" w:ascii="Times New Roman" w:cs="Times New Roman"/>
                      <w:color w:val="auto"/>
                      <w:sz w:val="21"/>
                      <w:szCs w:val="21"/>
                      <w:highlight w:val="none"/>
                      <w:lang w:val="en-US" w:eastAsia="zh-CN" w:bidi="ar-SA"/>
                    </w:rPr>
                    <w:t>集中收集后外售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vMerge w:val="continue"/>
                  <w:noWrap w:val="0"/>
                  <w:vAlign w:val="center"/>
                </w:tcPr>
                <w:p>
                  <w:pPr>
                    <w:pStyle w:val="74"/>
                    <w:spacing w:line="240" w:lineRule="auto"/>
                    <w:ind w:firstLine="0" w:firstLineChars="0"/>
                    <w:jc w:val="center"/>
                    <w:rPr>
                      <w:rFonts w:hint="eastAsia" w:cs="Times New Roman"/>
                      <w:sz w:val="21"/>
                      <w:szCs w:val="21"/>
                      <w:highlight w:val="none"/>
                      <w:lang w:eastAsia="zh-CN"/>
                    </w:rPr>
                  </w:pPr>
                </w:p>
              </w:tc>
              <w:tc>
                <w:tcPr>
                  <w:tcW w:w="1176" w:type="pct"/>
                  <w:gridSpan w:val="2"/>
                  <w:noWrap w:val="0"/>
                  <w:vAlign w:val="center"/>
                </w:tcPr>
                <w:p>
                  <w:pPr>
                    <w:pStyle w:val="76"/>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生产过程</w:t>
                  </w:r>
                </w:p>
              </w:tc>
              <w:tc>
                <w:tcPr>
                  <w:tcW w:w="1016" w:type="pct"/>
                  <w:noWrap w:val="0"/>
                  <w:vAlign w:val="center"/>
                </w:tcPr>
                <w:p>
                  <w:pPr>
                    <w:pStyle w:val="76"/>
                    <w:jc w:val="center"/>
                    <w:rPr>
                      <w:rFonts w:hint="eastAsia" w:asci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废边角料</w:t>
                  </w:r>
                  <w:r>
                    <w:rPr>
                      <w:rFonts w:hint="eastAsia"/>
                      <w:sz w:val="21"/>
                      <w:szCs w:val="21"/>
                      <w:highlight w:val="none"/>
                      <w:lang w:eastAsia="zh-CN"/>
                    </w:rPr>
                    <w:t>及不合格品</w:t>
                  </w:r>
                </w:p>
              </w:tc>
              <w:tc>
                <w:tcPr>
                  <w:tcW w:w="2036" w:type="pct"/>
                  <w:noWrap w:val="0"/>
                  <w:vAlign w:val="center"/>
                </w:tcPr>
                <w:p>
                  <w:pPr>
                    <w:pStyle w:val="76"/>
                    <w:jc w:val="center"/>
                    <w:rPr>
                      <w:rFonts w:hint="eastAsia" w:ascii="Times New Roman" w:cs="Times New Roman"/>
                      <w:color w:val="auto"/>
                      <w:sz w:val="21"/>
                      <w:szCs w:val="21"/>
                      <w:highlight w:val="none"/>
                      <w:lang w:val="en-US" w:eastAsia="zh-CN" w:bidi="ar-SA"/>
                    </w:rPr>
                  </w:pPr>
                  <w:r>
                    <w:rPr>
                      <w:rFonts w:hint="eastAsia" w:ascii="Times New Roman" w:cs="Times New Roman"/>
                      <w:color w:val="auto"/>
                      <w:sz w:val="21"/>
                      <w:szCs w:val="21"/>
                      <w:highlight w:val="none"/>
                      <w:lang w:val="en-US" w:eastAsia="zh-CN" w:bidi="ar-SA"/>
                    </w:rPr>
                    <w:t>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pct"/>
                  <w:vMerge w:val="continue"/>
                  <w:noWrap w:val="0"/>
                  <w:vAlign w:val="center"/>
                </w:tcPr>
                <w:p>
                  <w:pPr>
                    <w:pStyle w:val="74"/>
                    <w:spacing w:line="240" w:lineRule="auto"/>
                    <w:ind w:firstLine="0" w:firstLineChars="0"/>
                    <w:jc w:val="center"/>
                    <w:rPr>
                      <w:rFonts w:hint="eastAsia" w:cs="Times New Roman"/>
                      <w:sz w:val="21"/>
                      <w:szCs w:val="21"/>
                      <w:highlight w:val="none"/>
                      <w:lang w:eastAsia="zh-CN"/>
                    </w:rPr>
                  </w:pPr>
                </w:p>
              </w:tc>
              <w:tc>
                <w:tcPr>
                  <w:tcW w:w="1176" w:type="pct"/>
                  <w:gridSpan w:val="2"/>
                  <w:noWrap w:val="0"/>
                  <w:vAlign w:val="center"/>
                </w:tcPr>
                <w:p>
                  <w:pPr>
                    <w:pStyle w:val="76"/>
                    <w:jc w:val="center"/>
                    <w:rPr>
                      <w:rFonts w:hint="eastAsia" w:cs="Times New Roman"/>
                      <w:sz w:val="21"/>
                      <w:szCs w:val="21"/>
                      <w:highlight w:val="none"/>
                      <w:lang w:val="en-US" w:eastAsia="zh-CN"/>
                    </w:rPr>
                  </w:pPr>
                  <w:r>
                    <w:rPr>
                      <w:rFonts w:hint="default" w:ascii="Times New Roman" w:hAnsi="Times New Roman" w:cs="Times New Roman"/>
                      <w:color w:val="auto"/>
                      <w:sz w:val="21"/>
                      <w:szCs w:val="21"/>
                      <w:highlight w:val="none"/>
                      <w:lang w:val="en-US" w:eastAsia="zh-CN"/>
                    </w:rPr>
                    <w:t>废气处理</w:t>
                  </w:r>
                </w:p>
              </w:tc>
              <w:tc>
                <w:tcPr>
                  <w:tcW w:w="1016" w:type="pct"/>
                  <w:noWrap w:val="0"/>
                  <w:vAlign w:val="center"/>
                </w:tcPr>
                <w:p>
                  <w:pPr>
                    <w:jc w:val="center"/>
                    <w:rPr>
                      <w:rFonts w:hint="eastAsia" w:cs="Times New Roman"/>
                      <w:sz w:val="21"/>
                      <w:szCs w:val="21"/>
                      <w:highlight w:val="none"/>
                      <w:lang w:val="en-US" w:eastAsia="zh-CN"/>
                    </w:rPr>
                  </w:pPr>
                  <w:r>
                    <w:rPr>
                      <w:rFonts w:hint="default" w:ascii="Times New Roman" w:hAnsi="Times New Roman" w:cs="Times New Roman"/>
                      <w:color w:val="auto"/>
                      <w:sz w:val="21"/>
                      <w:szCs w:val="21"/>
                      <w:highlight w:val="none"/>
                      <w:lang w:val="en-US" w:eastAsia="zh-CN"/>
                    </w:rPr>
                    <w:t>废活性炭</w:t>
                  </w:r>
                </w:p>
              </w:tc>
              <w:tc>
                <w:tcPr>
                  <w:tcW w:w="2036" w:type="pct"/>
                  <w:noWrap w:val="0"/>
                  <w:vAlign w:val="center"/>
                </w:tcPr>
                <w:p>
                  <w:pPr>
                    <w:pStyle w:val="76"/>
                    <w:jc w:val="center"/>
                    <w:rPr>
                      <w:rFonts w:hint="eastAsia" w:cs="Times New Roman"/>
                      <w:sz w:val="21"/>
                      <w:szCs w:val="21"/>
                      <w:highlight w:val="none"/>
                      <w:lang w:eastAsia="zh-CN"/>
                    </w:rPr>
                  </w:pPr>
                  <w:r>
                    <w:rPr>
                      <w:rFonts w:hint="default" w:ascii="Times New Roman" w:hAnsi="Times New Roman" w:cs="Times New Roman"/>
                      <w:color w:val="auto"/>
                      <w:sz w:val="21"/>
                      <w:szCs w:val="21"/>
                      <w:highlight w:val="none"/>
                      <w:lang w:eastAsia="zh-CN"/>
                    </w:rPr>
                    <w:t>委托资质单位定期处置</w:t>
                  </w:r>
                </w:p>
              </w:tc>
            </w:tr>
          </w:tbl>
          <w:p>
            <w:pPr>
              <w:pStyle w:val="2"/>
              <w:rPr>
                <w:rFonts w:hint="default" w:ascii="Times New Roman" w:hAnsi="Times New Roman" w:cs="Times New Roman"/>
                <w:b/>
                <w:bCs/>
                <w:sz w:val="24"/>
                <w:szCs w:val="24"/>
                <w:highlight w:val="none"/>
              </w:rPr>
            </w:pPr>
          </w:p>
          <w:p>
            <w:pPr>
              <w:jc w:val="both"/>
              <w:rPr>
                <w:rFonts w:hint="default" w:ascii="Times New Roman" w:hAnsi="Times New Roman" w:cs="Times New Roman"/>
                <w:bCs/>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19" w:hRule="atLeast"/>
          <w:jc w:val="center"/>
        </w:trPr>
        <w:tc>
          <w:tcPr>
            <w:tcW w:w="496" w:type="dxa"/>
            <w:tcBorders>
              <w:top w:val="single" w:color="auto" w:sz="4" w:space="0"/>
              <w:bottom w:val="single" w:color="auto" w:sz="8" w:space="0"/>
            </w:tcBorders>
            <w:noWrap w:val="0"/>
            <w:vAlign w:val="center"/>
          </w:tcPr>
          <w:p>
            <w:pPr>
              <w:pStyle w:val="19"/>
              <w:adjustRightInd w:val="0"/>
              <w:snapToGrid w:val="0"/>
              <w:spacing w:before="0" w:beforeAutospacing="0" w:after="0" w:afterAutospacing="0"/>
              <w:jc w:val="center"/>
              <w:rPr>
                <w:rFonts w:hint="default" w:ascii="Times New Roman" w:hAnsi="Times New Roman" w:cs="Times New Roman"/>
                <w:sz w:val="24"/>
                <w:szCs w:val="24"/>
                <w:highlight w:val="none"/>
              </w:rPr>
            </w:pPr>
            <w:r>
              <w:rPr>
                <w:rFonts w:hint="default" w:ascii="Times New Roman" w:hAnsi="Times New Roman" w:cs="Times New Roman"/>
                <w:bCs/>
                <w:kern w:val="2"/>
                <w:sz w:val="24"/>
                <w:szCs w:val="24"/>
                <w:highlight w:val="none"/>
              </w:rPr>
              <w:t>与项目有关的原有环境污染问题</w:t>
            </w:r>
          </w:p>
        </w:tc>
        <w:tc>
          <w:tcPr>
            <w:tcW w:w="8488" w:type="dxa"/>
            <w:tcBorders>
              <w:top w:val="single" w:color="auto" w:sz="4" w:space="0"/>
              <w:bottom w:val="single" w:color="auto" w:sz="8" w:space="0"/>
            </w:tcBorders>
            <w:noWrap w:val="0"/>
            <w:vAlign w:val="top"/>
          </w:tcPr>
          <w:p>
            <w:pPr>
              <w:spacing w:line="360" w:lineRule="auto"/>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本项目为新建项目</w:t>
            </w:r>
            <w:r>
              <w:rPr>
                <w:rFonts w:hint="default" w:ascii="Times New Roman" w:hAnsi="Times New Roman" w:cs="Times New Roman"/>
                <w:sz w:val="24"/>
                <w:szCs w:val="24"/>
                <w:highlight w:val="none"/>
              </w:rPr>
              <w:t>，租赁</w:t>
            </w:r>
            <w:r>
              <w:rPr>
                <w:rFonts w:hint="eastAsia" w:cs="Times New Roman"/>
                <w:sz w:val="24"/>
                <w:szCs w:val="24"/>
                <w:highlight w:val="none"/>
                <w:lang w:val="en-US" w:eastAsia="zh-CN"/>
              </w:rPr>
              <w:t>现有闲置厂房进行生产</w:t>
            </w:r>
            <w:r>
              <w:rPr>
                <w:rFonts w:hint="default" w:ascii="Times New Roman" w:hAnsi="Times New Roman" w:cs="Times New Roman"/>
                <w:sz w:val="24"/>
                <w:szCs w:val="24"/>
                <w:highlight w:val="none"/>
              </w:rPr>
              <w:t>，无与项目有关的原有环境污染问题。</w:t>
            </w:r>
          </w:p>
          <w:p>
            <w:pPr>
              <w:spacing w:line="360" w:lineRule="auto"/>
              <w:ind w:firstLine="480" w:firstLineChars="200"/>
              <w:rPr>
                <w:rFonts w:hint="default" w:ascii="Times New Roman" w:hAnsi="Times New Roman" w:cs="Times New Roman"/>
                <w:sz w:val="24"/>
                <w:szCs w:val="24"/>
                <w:highlight w:val="none"/>
              </w:rPr>
            </w:pPr>
          </w:p>
          <w:p>
            <w:pPr>
              <w:spacing w:line="360" w:lineRule="auto"/>
              <w:ind w:firstLine="480" w:firstLineChars="200"/>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spacing w:line="360" w:lineRule="auto"/>
              <w:ind w:firstLine="480" w:firstLineChars="200"/>
              <w:rPr>
                <w:rFonts w:hint="default" w:ascii="Times New Roman" w:hAnsi="Times New Roman" w:cs="Times New Roman"/>
                <w:sz w:val="24"/>
                <w:szCs w:val="24"/>
                <w:highlight w:val="none"/>
              </w:rPr>
            </w:pPr>
          </w:p>
          <w:p>
            <w:pPr>
              <w:pStyle w:val="2"/>
              <w:rPr>
                <w:rFonts w:hint="default" w:ascii="Times New Roman" w:hAnsi="Times New Roman" w:eastAsia="宋体" w:cs="Times New Roman"/>
                <w:bCs/>
                <w:sz w:val="24"/>
                <w:szCs w:val="24"/>
                <w:highlight w:val="none"/>
                <w:lang w:eastAsia="zh-CN"/>
              </w:rPr>
            </w:pPr>
          </w:p>
        </w:tc>
      </w:tr>
    </w:tbl>
    <w:p>
      <w:pPr>
        <w:pStyle w:val="19"/>
        <w:jc w:val="center"/>
        <w:rPr>
          <w:rFonts w:hint="default" w:ascii="Times New Roman" w:hAnsi="Times New Roman" w:eastAsia="黑体" w:cs="Times New Roman"/>
          <w:snapToGrid w:val="0"/>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hint="default" w:ascii="Times New Roman" w:hAnsi="Times New Roman" w:eastAsia="黑体" w:cs="Times New Roman"/>
          <w:snapToGrid w:val="0"/>
          <w:sz w:val="30"/>
          <w:szCs w:val="30"/>
          <w:highlight w:val="none"/>
        </w:rPr>
      </w:pPr>
      <w:r>
        <w:rPr>
          <w:rFonts w:hint="default" w:ascii="Times New Roman" w:hAnsi="Times New Roman" w:eastAsia="黑体" w:cs="Times New Roman"/>
          <w:snapToGrid w:val="0"/>
          <w:sz w:val="30"/>
          <w:szCs w:val="30"/>
          <w:highlight w:val="none"/>
        </w:rP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8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 w:type="dxa"/>
            <w:noWrap w:val="0"/>
            <w:vAlign w:val="center"/>
          </w:tcPr>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区域</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环境</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质量</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现状</w:t>
            </w:r>
          </w:p>
        </w:tc>
        <w:tc>
          <w:tcPr>
            <w:tcW w:w="8382" w:type="dxa"/>
            <w:noWrap w:val="0"/>
            <w:vAlign w:val="center"/>
          </w:tcPr>
          <w:p>
            <w:pPr>
              <w:pStyle w:val="2"/>
              <w:spacing w:line="360" w:lineRule="auto"/>
              <w:ind w:firstLine="480" w:firstLineChars="200"/>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当地环境规划，该区域属于《环境空气质量标准》（GB3095-2012）二级标准适用区；区域地表水域为涝淄河，水质执行《地表水环境质量标准》（GB3838-2002）中Ⅴ类标准要求；地下水环境执行《地下水质量标准》（GB/T14848-2017）Ⅲ类标准；区域噪声执行《声环境质量标准》（GB3096-2008）2类标准要求</w:t>
            </w:r>
            <w:r>
              <w:rPr>
                <w:rFonts w:ascii="Times New Roman" w:hAnsi="Times New Roman"/>
                <w:bCs/>
                <w:color w:val="000000" w:themeColor="text1"/>
                <w:sz w:val="24"/>
                <w:highlight w:val="none"/>
                <w14:textFill>
                  <w14:solidFill>
                    <w14:schemeClr w14:val="tx1"/>
                  </w14:solidFill>
                </w14:textFill>
              </w:rPr>
              <w:t>。</w:t>
            </w:r>
          </w:p>
          <w:p>
            <w:pPr>
              <w:snapToGrid w:val="0"/>
              <w:spacing w:line="360" w:lineRule="auto"/>
              <w:ind w:firstLine="482" w:firstLineChars="200"/>
              <w:rPr>
                <w:rFonts w:hint="default" w:ascii="Times New Roman" w:hAnsi="Times New Roman" w:cs="Times New Roman"/>
                <w:b/>
                <w:bCs/>
                <w:sz w:val="24"/>
                <w:szCs w:val="24"/>
                <w:highlight w:val="none"/>
                <w:lang w:val="zh-CN"/>
              </w:rPr>
            </w:pPr>
            <w:r>
              <w:rPr>
                <w:rFonts w:hint="default" w:ascii="Times New Roman" w:hAnsi="Times New Roman" w:cs="Times New Roman"/>
                <w:b/>
                <w:bCs/>
                <w:sz w:val="24"/>
                <w:szCs w:val="24"/>
                <w:highlight w:val="none"/>
                <w:lang w:val="zh-CN"/>
              </w:rPr>
              <w:t>1、环境空气质量现状</w:t>
            </w:r>
          </w:p>
          <w:p>
            <w:pPr>
              <w:snapToGrid w:val="0"/>
              <w:spacing w:line="360" w:lineRule="auto"/>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（1）常规污染物</w:t>
            </w:r>
          </w:p>
          <w:p>
            <w:pPr>
              <w:adjustRightInd w:val="0"/>
              <w:snapToGrid w:val="0"/>
              <w:spacing w:line="360" w:lineRule="auto"/>
              <w:ind w:firstLine="49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根据淄博市生态环境局202</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年1月</w:t>
            </w:r>
            <w:r>
              <w:rPr>
                <w:rFonts w:hint="eastAsia"/>
                <w:color w:val="000000" w:themeColor="text1"/>
                <w:sz w:val="24"/>
                <w:highlight w:val="none"/>
                <w14:textFill>
                  <w14:solidFill>
                    <w14:schemeClr w14:val="tx1"/>
                  </w14:solidFill>
                </w14:textFill>
              </w:rPr>
              <w:t>17</w:t>
            </w:r>
            <w:r>
              <w:rPr>
                <w:color w:val="000000" w:themeColor="text1"/>
                <w:sz w:val="24"/>
                <w:highlight w:val="none"/>
                <w14:textFill>
                  <w14:solidFill>
                    <w14:schemeClr w14:val="tx1"/>
                  </w14:solidFill>
                </w14:textFill>
              </w:rPr>
              <w:t>日公布的《生态淄博建设工作简报》（202</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年第1期），202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年度，全市良好天数236天（国控），同比增加14天。重污染天数6天，同比减少2天。其中，二氧化硫（SO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）14微克/立方米，同比持平；二氧化氮（NO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）33微克/立方米，同比改善5.7%；可吸入颗粒物（PM</w:t>
            </w:r>
            <w:r>
              <w:rPr>
                <w:color w:val="000000" w:themeColor="text1"/>
                <w:sz w:val="24"/>
                <w:highlight w:val="none"/>
                <w:vertAlign w:val="subscript"/>
                <w14:textFill>
                  <w14:solidFill>
                    <w14:schemeClr w14:val="tx1"/>
                  </w14:solidFill>
                </w14:textFill>
              </w:rPr>
              <w:t>10</w:t>
            </w:r>
            <w:r>
              <w:rPr>
                <w:color w:val="000000" w:themeColor="text1"/>
                <w:sz w:val="24"/>
                <w:highlight w:val="none"/>
                <w14:textFill>
                  <w14:solidFill>
                    <w14:schemeClr w14:val="tx1"/>
                  </w14:solidFill>
                </w14:textFill>
              </w:rPr>
              <w:t>）75微克/立方米，同比改善2.6%；细颗粒物（PM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）43微克/立方米，同比改善8.5%；一氧化碳（CO）1.3毫克/立方米，同比改善18.8%；臭氧（O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）192微克/立方米，同比恶化4.9%。全市综合指数为4.87，同比改善4.3%。</w:t>
            </w:r>
          </w:p>
          <w:p>
            <w:pPr>
              <w:adjustRightInd w:val="0"/>
              <w:snapToGrid w:val="0"/>
              <w:spacing w:line="360" w:lineRule="auto"/>
              <w:ind w:firstLine="49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桓台县202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年基本污染物数据统计及评价情况见下表。</w:t>
            </w:r>
          </w:p>
          <w:p>
            <w:pPr>
              <w:pStyle w:val="83"/>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 xml:space="preserve">表3-1  </w:t>
            </w:r>
            <w:r>
              <w:rPr>
                <w:rFonts w:hint="eastAsia" w:ascii="Times New Roman" w:hAnsi="Times New Roman" w:eastAsia="宋体" w:cs="Times New Roman"/>
                <w:b/>
                <w:bCs/>
                <w:color w:val="auto"/>
                <w:kern w:val="2"/>
                <w:sz w:val="21"/>
                <w:szCs w:val="21"/>
                <w:highlight w:val="none"/>
                <w:lang w:val="en-US" w:eastAsia="zh-CN" w:bidi="ar-SA"/>
              </w:rPr>
              <w:t>桓台县</w:t>
            </w:r>
            <w:r>
              <w:rPr>
                <w:rFonts w:hint="default" w:ascii="Times New Roman" w:hAnsi="Times New Roman" w:eastAsia="宋体" w:cs="Times New Roman"/>
                <w:b/>
                <w:bCs/>
                <w:color w:val="auto"/>
                <w:kern w:val="2"/>
                <w:sz w:val="21"/>
                <w:szCs w:val="21"/>
                <w:highlight w:val="none"/>
                <w:lang w:val="en-US" w:eastAsia="zh-CN" w:bidi="ar-SA"/>
              </w:rPr>
              <w:t>基本污染物监测数据统计及评价结果一览表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755"/>
              <w:gridCol w:w="2904"/>
              <w:gridCol w:w="1018"/>
              <w:gridCol w:w="1016"/>
              <w:gridCol w:w="94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w:t>
                  </w:r>
                </w:p>
              </w:tc>
              <w:tc>
                <w:tcPr>
                  <w:tcW w:w="463"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w:t>
                  </w:r>
                </w:p>
              </w:tc>
              <w:tc>
                <w:tcPr>
                  <w:tcW w:w="1780"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年评价指标</w:t>
                  </w:r>
                </w:p>
              </w:tc>
              <w:tc>
                <w:tcPr>
                  <w:tcW w:w="624"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现状浓度</w:t>
                  </w:r>
                </w:p>
              </w:tc>
              <w:tc>
                <w:tcPr>
                  <w:tcW w:w="623"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评价标准</w:t>
                  </w:r>
                </w:p>
              </w:tc>
              <w:tc>
                <w:tcPr>
                  <w:tcW w:w="576" w:type="pct"/>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占标率（%）</w:t>
                  </w:r>
                </w:p>
              </w:tc>
              <w:tc>
                <w:tcPr>
                  <w:tcW w:w="456"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达标</w:t>
                  </w:r>
                </w:p>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7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SO</w:t>
                  </w:r>
                  <w:r>
                    <w:rPr>
                      <w:color w:val="000000" w:themeColor="text1"/>
                      <w:szCs w:val="21"/>
                      <w:highlight w:val="none"/>
                      <w:vertAlign w:val="subscript"/>
                      <w14:textFill>
                        <w14:solidFill>
                          <w14:schemeClr w14:val="tx1"/>
                        </w14:solidFill>
                      </w14:textFill>
                    </w:rPr>
                    <w:t>2</w:t>
                  </w:r>
                </w:p>
              </w:tc>
              <w:tc>
                <w:tcPr>
                  <w:tcW w:w="463"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μg/m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年平均质量浓度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60</w:t>
                  </w:r>
                </w:p>
              </w:tc>
              <w:tc>
                <w:tcPr>
                  <w:tcW w:w="576"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w:t>
                  </w:r>
                </w:p>
              </w:tc>
              <w:tc>
                <w:tcPr>
                  <w:tcW w:w="456"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NO</w:t>
                  </w:r>
                  <w:r>
                    <w:rPr>
                      <w:color w:val="000000" w:themeColor="text1"/>
                      <w:szCs w:val="21"/>
                      <w:highlight w:val="none"/>
                      <w:vertAlign w:val="subscript"/>
                      <w14:textFill>
                        <w14:solidFill>
                          <w14:schemeClr w14:val="tx1"/>
                        </w14:solidFill>
                      </w14:textFill>
                    </w:rPr>
                    <w:t>2</w:t>
                  </w:r>
                </w:p>
              </w:tc>
              <w:tc>
                <w:tcPr>
                  <w:tcW w:w="463"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μg/m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年平均质量浓度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40</w:t>
                  </w:r>
                </w:p>
              </w:tc>
              <w:tc>
                <w:tcPr>
                  <w:tcW w:w="576"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82.5%</w:t>
                  </w:r>
                </w:p>
              </w:tc>
              <w:tc>
                <w:tcPr>
                  <w:tcW w:w="456"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PM</w:t>
                  </w:r>
                  <w:r>
                    <w:rPr>
                      <w:color w:val="000000" w:themeColor="text1"/>
                      <w:szCs w:val="21"/>
                      <w:highlight w:val="none"/>
                      <w:vertAlign w:val="subscript"/>
                      <w14:textFill>
                        <w14:solidFill>
                          <w14:schemeClr w14:val="tx1"/>
                        </w14:solidFill>
                      </w14:textFill>
                    </w:rPr>
                    <w:t>10</w:t>
                  </w:r>
                </w:p>
              </w:tc>
              <w:tc>
                <w:tcPr>
                  <w:tcW w:w="463"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μg/m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年平均质量浓度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72</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70</w:t>
                  </w:r>
                </w:p>
              </w:tc>
              <w:tc>
                <w:tcPr>
                  <w:tcW w:w="576"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102.</w:t>
                  </w:r>
                  <w:r>
                    <w:rPr>
                      <w:rFonts w:hint="eastAsia"/>
                      <w:b/>
                      <w:bCs/>
                      <w:color w:val="000000" w:themeColor="text1"/>
                      <w:szCs w:val="21"/>
                      <w:highlight w:val="none"/>
                      <w:lang w:val="en-US" w:eastAsia="zh-CN"/>
                      <w14:textFill>
                        <w14:solidFill>
                          <w14:schemeClr w14:val="tx1"/>
                        </w14:solidFill>
                      </w14:textFill>
                    </w:rPr>
                    <w:t>9</w:t>
                  </w:r>
                  <w:r>
                    <w:rPr>
                      <w:b/>
                      <w:bCs/>
                      <w:color w:val="000000" w:themeColor="text1"/>
                      <w:szCs w:val="21"/>
                      <w:highlight w:val="none"/>
                      <w14:textFill>
                        <w14:solidFill>
                          <w14:schemeClr w14:val="tx1"/>
                        </w14:solidFill>
                      </w14:textFill>
                    </w:rPr>
                    <w:t>%</w:t>
                  </w:r>
                </w:p>
              </w:tc>
              <w:tc>
                <w:tcPr>
                  <w:tcW w:w="456" w:type="pct"/>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PM</w:t>
                  </w:r>
                  <w:r>
                    <w:rPr>
                      <w:color w:val="000000" w:themeColor="text1"/>
                      <w:szCs w:val="21"/>
                      <w:highlight w:val="none"/>
                      <w:vertAlign w:val="subscript"/>
                      <w14:textFill>
                        <w14:solidFill>
                          <w14:schemeClr w14:val="tx1"/>
                        </w14:solidFill>
                      </w14:textFill>
                    </w:rPr>
                    <w:t>2.5</w:t>
                  </w:r>
                </w:p>
              </w:tc>
              <w:tc>
                <w:tcPr>
                  <w:tcW w:w="463"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μg/m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年平均质量浓度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43</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35</w:t>
                  </w:r>
                </w:p>
              </w:tc>
              <w:tc>
                <w:tcPr>
                  <w:tcW w:w="576" w:type="pct"/>
                  <w:vAlign w:val="center"/>
                </w:tcPr>
                <w:p>
                  <w:pPr>
                    <w:widowControl/>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122.9%</w:t>
                  </w:r>
                </w:p>
              </w:tc>
              <w:tc>
                <w:tcPr>
                  <w:tcW w:w="456" w:type="pct"/>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CO</w:t>
                  </w:r>
                </w:p>
              </w:tc>
              <w:tc>
                <w:tcPr>
                  <w:tcW w:w="46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95%保证率日平均浓度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576"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40%</w:t>
                  </w:r>
                </w:p>
              </w:tc>
              <w:tc>
                <w:tcPr>
                  <w:tcW w:w="456"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8"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O</w:t>
                  </w:r>
                  <w:r>
                    <w:rPr>
                      <w:color w:val="000000" w:themeColor="text1"/>
                      <w:szCs w:val="21"/>
                      <w:highlight w:val="none"/>
                      <w:vertAlign w:val="subscript"/>
                      <w14:textFill>
                        <w14:solidFill>
                          <w14:schemeClr w14:val="tx1"/>
                        </w14:solidFill>
                      </w14:textFill>
                    </w:rPr>
                    <w:t>3</w:t>
                  </w:r>
                </w:p>
              </w:tc>
              <w:tc>
                <w:tcPr>
                  <w:tcW w:w="46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μg/m</w:t>
                  </w:r>
                  <w:r>
                    <w:rPr>
                      <w:color w:val="000000" w:themeColor="text1"/>
                      <w:szCs w:val="21"/>
                      <w:highlight w:val="none"/>
                      <w:vertAlign w:val="superscript"/>
                      <w14:textFill>
                        <w14:solidFill>
                          <w14:schemeClr w14:val="tx1"/>
                        </w14:solidFill>
                      </w14:textFill>
                    </w:rPr>
                    <w:t>3</w:t>
                  </w:r>
                </w:p>
              </w:tc>
              <w:tc>
                <w:tcPr>
                  <w:tcW w:w="1780"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90%保证率日最大8h滑动平均浓度</w:t>
                  </w:r>
                </w:p>
              </w:tc>
              <w:tc>
                <w:tcPr>
                  <w:tcW w:w="62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184</w:t>
                  </w:r>
                </w:p>
              </w:tc>
              <w:tc>
                <w:tcPr>
                  <w:tcW w:w="623"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160</w:t>
                  </w:r>
                </w:p>
              </w:tc>
              <w:tc>
                <w:tcPr>
                  <w:tcW w:w="576" w:type="pct"/>
                  <w:vAlign w:val="center"/>
                </w:tcPr>
                <w:p>
                  <w:pPr>
                    <w:widowControl/>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115%</w:t>
                  </w:r>
                </w:p>
              </w:tc>
              <w:tc>
                <w:tcPr>
                  <w:tcW w:w="456" w:type="pct"/>
                  <w:vAlign w:val="center"/>
                </w:tcPr>
                <w:p>
                  <w:pPr>
                    <w:widowControl/>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超标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由上表可知，202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桓台县</w:t>
            </w:r>
            <w:r>
              <w:rPr>
                <w:rFonts w:hint="default" w:ascii="Times New Roman" w:hAnsi="Times New Roman" w:eastAsia="宋体" w:cs="Times New Roman"/>
                <w:color w:val="auto"/>
                <w:sz w:val="24"/>
                <w:szCs w:val="24"/>
                <w:highlight w:val="none"/>
                <w:lang w:val="en-US" w:eastAsia="zh-CN"/>
              </w:rPr>
              <w:t>环境空气中SO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年均浓度</w:t>
            </w:r>
            <w:r>
              <w:rPr>
                <w:rFonts w:hint="eastAsia"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en-US" w:eastAsia="zh-CN"/>
              </w:rPr>
              <w:t>CO</w:t>
            </w:r>
            <w:r>
              <w:rPr>
                <w:rFonts w:hint="eastAsia"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95%保证率日平均浓度能够满足《环境空气质量标准》（GB3094-2012）二级标准；PM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年均浓度</w:t>
            </w:r>
            <w:r>
              <w:rPr>
                <w:rFonts w:hint="eastAsia"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vertAlign w:val="subscript"/>
                <w:lang w:val="en-US" w:eastAsia="zh-CN"/>
              </w:rPr>
              <w:t>3</w:t>
            </w:r>
            <w:r>
              <w:rPr>
                <w:rFonts w:hint="eastAsia" w:cs="Times New Roman"/>
                <w:color w:val="auto"/>
                <w:sz w:val="24"/>
                <w:szCs w:val="24"/>
                <w:highlight w:val="none"/>
                <w:vertAlign w:val="baseline"/>
                <w:lang w:val="en-US" w:eastAsia="zh-CN"/>
              </w:rPr>
              <w:t>的</w:t>
            </w:r>
            <w:r>
              <w:rPr>
                <w:rFonts w:hint="default" w:ascii="Times New Roman" w:hAnsi="Times New Roman" w:eastAsia="宋体" w:cs="Times New Roman"/>
                <w:color w:val="auto"/>
                <w:sz w:val="24"/>
                <w:szCs w:val="24"/>
                <w:highlight w:val="none"/>
                <w:vertAlign w:val="baseline"/>
                <w:lang w:val="en-US" w:eastAsia="zh-CN"/>
              </w:rPr>
              <w:t>90%保证率日最大8h滑动平均浓度</w:t>
            </w:r>
            <w:r>
              <w:rPr>
                <w:rFonts w:hint="eastAsia" w:cs="Times New Roman"/>
                <w:color w:val="auto"/>
                <w:sz w:val="24"/>
                <w:szCs w:val="24"/>
                <w:highlight w:val="none"/>
                <w:vertAlign w:val="baseline"/>
                <w:lang w:val="en-US" w:eastAsia="zh-CN"/>
              </w:rPr>
              <w:t>不能</w:t>
            </w:r>
            <w:r>
              <w:rPr>
                <w:rFonts w:hint="default" w:ascii="Times New Roman" w:hAnsi="Times New Roman" w:eastAsia="宋体" w:cs="Times New Roman"/>
                <w:color w:val="auto"/>
                <w:sz w:val="24"/>
                <w:szCs w:val="24"/>
                <w:highlight w:val="none"/>
                <w:lang w:val="en-US" w:eastAsia="zh-CN"/>
              </w:rPr>
              <w:t>满足《环境空气质量标准》（GB3094-2012）二级标准。超标原因主要是北方冬季少雨多风，导致扬尘增加，并且与区域内企业排放废气有关。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根据《环境影响评价技术导则大气环境》（HJ2.2-2018）：“城市环境空气质量达标情况评价指标为SO</w:t>
            </w:r>
            <w:r>
              <w:rPr>
                <w:rFonts w:hint="default" w:ascii="Times New Roman" w:hAnsi="Times New Roman" w:eastAsia="宋体" w:cs="Times New Roman"/>
                <w:color w:val="000000"/>
                <w:kern w:val="0"/>
                <w:sz w:val="24"/>
                <w:szCs w:val="24"/>
                <w:highlight w:val="none"/>
                <w:vertAlign w:val="subscript"/>
                <w:lang w:val="en-US" w:eastAsia="zh-CN" w:bidi="ar"/>
              </w:rPr>
              <w:t>2</w:t>
            </w:r>
            <w:r>
              <w:rPr>
                <w:rFonts w:hint="default" w:ascii="Times New Roman" w:hAnsi="Times New Roman" w:eastAsia="宋体" w:cs="Times New Roman"/>
                <w:color w:val="000000"/>
                <w:kern w:val="0"/>
                <w:sz w:val="24"/>
                <w:szCs w:val="24"/>
                <w:highlight w:val="none"/>
                <w:lang w:val="en-US" w:eastAsia="zh-CN" w:bidi="ar"/>
              </w:rPr>
              <w:t>、NO</w:t>
            </w:r>
            <w:r>
              <w:rPr>
                <w:rFonts w:hint="default" w:ascii="Times New Roman" w:hAnsi="Times New Roman" w:eastAsia="宋体" w:cs="Times New Roman"/>
                <w:color w:val="000000"/>
                <w:kern w:val="0"/>
                <w:sz w:val="24"/>
                <w:szCs w:val="24"/>
                <w:highlight w:val="none"/>
                <w:vertAlign w:val="subscript"/>
                <w:lang w:val="en-US" w:eastAsia="zh-CN" w:bidi="ar"/>
              </w:rPr>
              <w:t>2</w:t>
            </w:r>
            <w:r>
              <w:rPr>
                <w:rFonts w:hint="default" w:ascii="Times New Roman" w:hAnsi="Times New Roman" w:eastAsia="宋体" w:cs="Times New Roman"/>
                <w:color w:val="000000"/>
                <w:kern w:val="0"/>
                <w:sz w:val="24"/>
                <w:szCs w:val="24"/>
                <w:highlight w:val="none"/>
                <w:lang w:val="en-US" w:eastAsia="zh-CN" w:bidi="ar"/>
              </w:rPr>
              <w:t>、PM</w:t>
            </w:r>
            <w:r>
              <w:rPr>
                <w:rFonts w:hint="default" w:ascii="Times New Roman" w:hAnsi="Times New Roman" w:eastAsia="宋体" w:cs="Times New Roman"/>
                <w:color w:val="000000"/>
                <w:kern w:val="0"/>
                <w:sz w:val="24"/>
                <w:szCs w:val="24"/>
                <w:highlight w:val="none"/>
                <w:vertAlign w:val="subscript"/>
                <w:lang w:val="en-US" w:eastAsia="zh-CN" w:bidi="ar"/>
              </w:rPr>
              <w:t>10</w:t>
            </w:r>
            <w:r>
              <w:rPr>
                <w:rFonts w:hint="default" w:ascii="Times New Roman" w:hAnsi="Times New Roman" w:eastAsia="宋体" w:cs="Times New Roman"/>
                <w:color w:val="000000"/>
                <w:kern w:val="0"/>
                <w:sz w:val="24"/>
                <w:szCs w:val="24"/>
                <w:highlight w:val="none"/>
                <w:lang w:val="en-US" w:eastAsia="zh-CN" w:bidi="ar"/>
              </w:rPr>
              <w:t>、PM</w:t>
            </w:r>
            <w:r>
              <w:rPr>
                <w:rFonts w:hint="default" w:ascii="Times New Roman" w:hAnsi="Times New Roman" w:eastAsia="宋体" w:cs="Times New Roman"/>
                <w:color w:val="000000"/>
                <w:kern w:val="0"/>
                <w:sz w:val="24"/>
                <w:szCs w:val="24"/>
                <w:highlight w:val="none"/>
                <w:vertAlign w:val="subscript"/>
                <w:lang w:val="en-US" w:eastAsia="zh-CN" w:bidi="ar"/>
              </w:rPr>
              <w:t>2.5</w:t>
            </w:r>
            <w:r>
              <w:rPr>
                <w:rFonts w:hint="default" w:ascii="Times New Roman" w:hAnsi="Times New Roman" w:eastAsia="宋体" w:cs="Times New Roman"/>
                <w:color w:val="000000"/>
                <w:kern w:val="0"/>
                <w:sz w:val="24"/>
                <w:szCs w:val="24"/>
                <w:highlight w:val="none"/>
                <w:lang w:val="en-US" w:eastAsia="zh-CN" w:bidi="ar"/>
              </w:rPr>
              <w:t>、CO和O</w:t>
            </w:r>
            <w:r>
              <w:rPr>
                <w:rFonts w:hint="default" w:ascii="Times New Roman" w:hAnsi="Times New Roman" w:eastAsia="宋体" w:cs="Times New Roman"/>
                <w:color w:val="000000"/>
                <w:kern w:val="0"/>
                <w:sz w:val="24"/>
                <w:szCs w:val="24"/>
                <w:highlight w:val="none"/>
                <w:vertAlign w:val="subscript"/>
                <w:lang w:val="en-US" w:eastAsia="zh-CN" w:bidi="ar"/>
              </w:rPr>
              <w:t>3</w:t>
            </w:r>
            <w:r>
              <w:rPr>
                <w:rFonts w:hint="default" w:ascii="Times New Roman" w:hAnsi="Times New Roman" w:eastAsia="宋体" w:cs="Times New Roman"/>
                <w:color w:val="000000"/>
                <w:kern w:val="0"/>
                <w:sz w:val="24"/>
                <w:szCs w:val="24"/>
                <w:highlight w:val="none"/>
                <w:lang w:val="en-US" w:eastAsia="zh-CN" w:bidi="ar"/>
              </w:rPr>
              <w:t>，六项污染物全部达标即为城市环境空气质量达标”。</w:t>
            </w:r>
          </w:p>
          <w:p>
            <w:pPr>
              <w:snapToGrid w:val="0"/>
              <w:spacing w:line="360" w:lineRule="auto"/>
              <w:ind w:firstLine="480" w:firstLineChars="200"/>
              <w:rPr>
                <w:rFonts w:hint="default" w:ascii="Times New Roman" w:hAnsi="Times New Roman"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综上分析，判</w:t>
            </w:r>
            <w:r>
              <w:rPr>
                <w:rFonts w:hint="default" w:ascii="Times New Roman" w:hAnsi="Times New Roman" w:cs="Times New Roman"/>
                <w:color w:val="000000"/>
                <w:sz w:val="24"/>
                <w:szCs w:val="24"/>
                <w:highlight w:val="none"/>
              </w:rPr>
              <w:t>由上表可知，污染物没有全部达标，因此本项目所在区域的环境空气质量属于不达标区。</w:t>
            </w:r>
          </w:p>
          <w:p>
            <w:pPr>
              <w:pStyle w:val="71"/>
              <w:snapToGrid w:val="0"/>
              <w:spacing w:line="360" w:lineRule="auto"/>
              <w:ind w:firstLine="480" w:firstLineChars="200"/>
              <w:textAlignment w:val="baseline"/>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本项目特征污染物为VOCs，《环境空气质量标准》（GB3095-2012）中无VOCs的环境空气质量标准，且目前项目所在省市暂无地方环境空气质量标准。因此，本项目特征污染物不属于“国家、地方环境空气质量标准中有标准限值要求的特征污染物”，无需开展现状监测。</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山东省新一轮“四减四增”三年行动方案(2021—2023年)》：调整产业结构，减少过剩和落后产业，增加新的增长动能；调整能源结构，减少煤炭消费，增加清洁能源使用；调整运输结构，减少公路运输量，增加铁路运输量；调整农业投入结构，减少化肥农药使用量，增加有机肥使用量。采取相应的保障措施以后，</w:t>
            </w:r>
            <w:r>
              <w:rPr>
                <w:rFonts w:hint="eastAsia" w:cs="Times New Roman"/>
                <w:color w:val="000000" w:themeColor="text1"/>
                <w:sz w:val="24"/>
                <w:szCs w:val="24"/>
                <w:highlight w:val="none"/>
                <w:lang w:eastAsia="zh-CN"/>
                <w14:textFill>
                  <w14:solidFill>
                    <w14:schemeClr w14:val="tx1"/>
                  </w14:solidFill>
                </w14:textFill>
              </w:rPr>
              <w:t>桓台县</w:t>
            </w:r>
            <w:r>
              <w:rPr>
                <w:rFonts w:hint="default" w:ascii="Times New Roman" w:hAnsi="Times New Roman" w:cs="Times New Roman"/>
                <w:color w:val="000000" w:themeColor="text1"/>
                <w:sz w:val="24"/>
                <w:szCs w:val="24"/>
                <w:highlight w:val="none"/>
                <w14:textFill>
                  <w14:solidFill>
                    <w14:schemeClr w14:val="tx1"/>
                  </w14:solidFill>
                </w14:textFill>
              </w:rPr>
              <w:t>环境空气质量可得到相应改善。</w:t>
            </w:r>
          </w:p>
          <w:p>
            <w:pPr>
              <w:pStyle w:val="71"/>
              <w:snapToGrid w:val="0"/>
              <w:spacing w:line="360" w:lineRule="auto"/>
              <w:ind w:firstLine="482" w:firstLineChars="200"/>
              <w:textAlignment w:val="baseline"/>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2、地表水环境质量现状</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该区域主要地表水体为涝淄河，</w:t>
            </w:r>
            <w:r>
              <w:rPr>
                <w:rFonts w:hint="default" w:ascii="Times New Roman" w:hAnsi="Times New Roman" w:cs="Times New Roman"/>
                <w:color w:val="000000" w:themeColor="text1"/>
                <w:sz w:val="24"/>
                <w:szCs w:val="24"/>
                <w:highlight w:val="none"/>
                <w14:textFill>
                  <w14:solidFill>
                    <w14:schemeClr w14:val="tx1"/>
                  </w14:solidFill>
                </w14:textFill>
              </w:rPr>
              <w:t>位于项目区西侧1.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14</w:t>
            </w:r>
            <w:r>
              <w:rPr>
                <w:rFonts w:hint="default" w:ascii="Times New Roman" w:hAnsi="Times New Roman" w:cs="Times New Roman"/>
                <w:color w:val="000000" w:themeColor="text1"/>
                <w:sz w:val="24"/>
                <w:szCs w:val="24"/>
                <w:highlight w:val="none"/>
                <w14:textFill>
                  <w14:solidFill>
                    <w14:schemeClr w14:val="tx1"/>
                  </w14:solidFill>
                </w14:textFill>
              </w:rPr>
              <w:t>km，</w:t>
            </w:r>
            <w:r>
              <w:rPr>
                <w:rFonts w:hint="eastAsia" w:ascii="Times New Roman" w:hAnsi="Times New Roman" w:cs="Times New Roman"/>
                <w:color w:val="000000" w:themeColor="text1"/>
                <w:sz w:val="24"/>
                <w:szCs w:val="24"/>
                <w:highlight w:val="none"/>
                <w14:textFill>
                  <w14:solidFill>
                    <w14:schemeClr w14:val="tx1"/>
                  </w14:solidFill>
                </w14:textFill>
              </w:rPr>
              <w:t>属乌河支流，根据淄博市环保局网站发布的《2021年12月份及全年环境质量情况通报》（淄简33号，2022年1月24日），桓台县乌河入预备河处断面主要监测指标COD（28.1mg/L）、氨氮（0.89mg/L），可满足《地表水环境质量标准》（GB3838-2002）Ⅴ类标准的要求。</w:t>
            </w:r>
          </w:p>
          <w:p>
            <w:pPr>
              <w:snapToGrid w:val="0"/>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3、地下水</w:t>
            </w:r>
            <w:r>
              <w:rPr>
                <w:rFonts w:hint="default" w:ascii="Times New Roman" w:hAnsi="Times New Roman" w:cs="Times New Roman"/>
                <w:b/>
                <w:sz w:val="24"/>
                <w:szCs w:val="24"/>
                <w:highlight w:val="none"/>
                <w:lang w:eastAsia="zh-CN"/>
              </w:rPr>
              <w:t>、土壤</w:t>
            </w:r>
            <w:r>
              <w:rPr>
                <w:rFonts w:hint="default" w:ascii="Times New Roman" w:hAnsi="Times New Roman" w:cs="Times New Roman"/>
                <w:b/>
                <w:sz w:val="24"/>
                <w:szCs w:val="24"/>
                <w:highlight w:val="none"/>
              </w:rPr>
              <w:t>环境质量现状</w:t>
            </w:r>
          </w:p>
          <w:p>
            <w:pPr>
              <w:snapToGrid w:val="0"/>
              <w:spacing w:line="360" w:lineRule="auto"/>
              <w:ind w:firstLine="480" w:firstLineChars="200"/>
              <w:rPr>
                <w:rFonts w:hint="default" w:ascii="Times New Roman" w:hAnsi="Times New Roman" w:cs="Times New Roman"/>
                <w:sz w:val="24"/>
                <w:szCs w:val="24"/>
                <w:highlight w:val="none"/>
              </w:rPr>
            </w:pPr>
            <w:r>
              <w:rPr>
                <w:rFonts w:hint="eastAsia" w:cs="Times New Roman"/>
                <w:bCs/>
                <w:sz w:val="24"/>
                <w:szCs w:val="24"/>
                <w:highlight w:val="none"/>
                <w:lang w:eastAsia="zh-CN"/>
              </w:rPr>
              <w:t>本</w:t>
            </w:r>
            <w:r>
              <w:rPr>
                <w:rFonts w:hint="default" w:ascii="Times New Roman" w:hAnsi="Times New Roman" w:cs="Times New Roman"/>
                <w:bCs/>
                <w:sz w:val="24"/>
                <w:szCs w:val="24"/>
                <w:highlight w:val="none"/>
              </w:rPr>
              <w:t>项目</w:t>
            </w:r>
            <w:r>
              <w:rPr>
                <w:rFonts w:hint="eastAsia" w:cs="Times New Roman"/>
                <w:bCs/>
                <w:sz w:val="24"/>
                <w:szCs w:val="24"/>
                <w:highlight w:val="none"/>
                <w:lang w:eastAsia="zh-CN"/>
              </w:rPr>
              <w:t>生产不使用水，</w:t>
            </w:r>
            <w:r>
              <w:rPr>
                <w:rFonts w:hint="default" w:ascii="Times New Roman" w:hAnsi="Times New Roman" w:cs="Times New Roman"/>
                <w:bCs/>
                <w:sz w:val="24"/>
                <w:szCs w:val="24"/>
                <w:highlight w:val="none"/>
              </w:rPr>
              <w:t>生活污水</w:t>
            </w:r>
            <w:r>
              <w:rPr>
                <w:rFonts w:hint="default" w:ascii="Times New Roman" w:hAnsi="Times New Roman" w:cs="Times New Roman"/>
                <w:bCs/>
                <w:sz w:val="24"/>
                <w:szCs w:val="24"/>
                <w:highlight w:val="none"/>
                <w:lang w:val="en-US" w:eastAsia="zh-CN"/>
              </w:rPr>
              <w:t>进入化粪池，由环卫部门定期清运</w:t>
            </w:r>
            <w:r>
              <w:rPr>
                <w:rFonts w:hint="eastAsia" w:cs="Times New Roman"/>
                <w:bCs/>
                <w:sz w:val="24"/>
                <w:szCs w:val="24"/>
                <w:highlight w:val="none"/>
                <w:lang w:val="en-US" w:eastAsia="zh-CN"/>
              </w:rPr>
              <w:t>。</w:t>
            </w:r>
            <w:r>
              <w:rPr>
                <w:rFonts w:hint="default" w:ascii="Times New Roman" w:hAnsi="Times New Roman" w:cs="Times New Roman"/>
                <w:bCs/>
                <w:sz w:val="24"/>
                <w:szCs w:val="24"/>
                <w:highlight w:val="none"/>
                <w:lang w:val="zh-CN"/>
              </w:rPr>
              <w:t>本项目危废暂存间</w:t>
            </w:r>
            <w:r>
              <w:rPr>
                <w:rFonts w:hint="default" w:ascii="Times New Roman" w:hAnsi="Times New Roman" w:cs="Times New Roman"/>
                <w:bCs/>
                <w:sz w:val="24"/>
                <w:szCs w:val="24"/>
                <w:highlight w:val="none"/>
                <w:lang w:val="en-US" w:eastAsia="zh-CN"/>
              </w:rPr>
              <w:t>应进行重点防渗，</w:t>
            </w:r>
            <w:r>
              <w:rPr>
                <w:rFonts w:hint="default" w:ascii="Times New Roman" w:hAnsi="Times New Roman" w:cs="Times New Roman"/>
                <w:sz w:val="24"/>
                <w:szCs w:val="24"/>
                <w:highlight w:val="none"/>
              </w:rPr>
              <w:t>生产车间</w:t>
            </w:r>
            <w:r>
              <w:rPr>
                <w:rFonts w:hint="default" w:ascii="Times New Roman" w:hAnsi="Times New Roman" w:cs="Times New Roman"/>
                <w:sz w:val="24"/>
                <w:szCs w:val="24"/>
                <w:highlight w:val="none"/>
                <w:lang w:eastAsia="zh-CN"/>
              </w:rPr>
              <w:t>、</w:t>
            </w:r>
            <w:r>
              <w:rPr>
                <w:rFonts w:hint="default" w:ascii="Times New Roman" w:hAnsi="Times New Roman" w:cs="Times New Roman"/>
                <w:color w:val="auto"/>
                <w:sz w:val="24"/>
                <w:szCs w:val="24"/>
                <w:highlight w:val="none"/>
                <w:lang w:val="zh-CN"/>
              </w:rPr>
              <w:t>仓库</w:t>
            </w:r>
            <w:r>
              <w:rPr>
                <w:rFonts w:hint="default" w:ascii="Times New Roman" w:hAnsi="Times New Roman" w:cs="Times New Roman"/>
                <w:color w:val="auto"/>
                <w:sz w:val="24"/>
                <w:szCs w:val="24"/>
                <w:highlight w:val="none"/>
                <w:lang w:val="en-US" w:eastAsia="zh-CN"/>
              </w:rPr>
              <w:t>进行一般防渗，办公室进行简单防渗</w:t>
            </w:r>
            <w:r>
              <w:rPr>
                <w:rFonts w:hint="default" w:ascii="Times New Roman" w:hAnsi="Times New Roman" w:cs="Times New Roman"/>
                <w:bCs/>
                <w:sz w:val="24"/>
                <w:szCs w:val="24"/>
                <w:highlight w:val="none"/>
                <w:lang w:val="zh-CN"/>
              </w:rPr>
              <w:t>。</w:t>
            </w:r>
            <w:r>
              <w:rPr>
                <w:rFonts w:hint="default" w:ascii="Times New Roman" w:hAnsi="Times New Roman" w:cs="Times New Roman"/>
                <w:bCs/>
                <w:sz w:val="24"/>
                <w:szCs w:val="24"/>
                <w:highlight w:val="none"/>
              </w:rPr>
              <w:t>项目正常运营情况下，不存在污染土壤及地下水环境的途径，故不开展地下水、土壤环境质量现状调查。</w:t>
            </w:r>
          </w:p>
          <w:p>
            <w:pPr>
              <w:pStyle w:val="2"/>
              <w:snapToGrid w:val="0"/>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4、声环境质量现状</w:t>
            </w:r>
          </w:p>
          <w:p>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本项目厂界外50米范围内无声环境保护目标，本项目不需要对区域声环境质量进行评价。</w:t>
            </w:r>
          </w:p>
          <w:p>
            <w:pPr>
              <w:snapToGrid w:val="0"/>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5、生态环境现状</w:t>
            </w:r>
          </w:p>
          <w:p>
            <w:pPr>
              <w:snapToGrid w:val="0"/>
              <w:spacing w:line="360"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color w:val="000000"/>
                <w:sz w:val="24"/>
                <w:szCs w:val="24"/>
                <w:highlight w:val="none"/>
              </w:rPr>
              <w:t>本项目用地类型为工业用地，</w:t>
            </w:r>
            <w:r>
              <w:rPr>
                <w:rFonts w:hint="eastAsia" w:cs="Times New Roman"/>
                <w:color w:val="000000"/>
                <w:sz w:val="24"/>
                <w:szCs w:val="24"/>
                <w:highlight w:val="none"/>
                <w:lang w:eastAsia="zh-CN"/>
              </w:rPr>
              <w:t>为已建设厂房，</w:t>
            </w:r>
            <w:r>
              <w:rPr>
                <w:rFonts w:hint="default" w:ascii="Times New Roman" w:hAnsi="Times New Roman" w:cs="Times New Roman"/>
                <w:color w:val="000000"/>
                <w:sz w:val="24"/>
                <w:szCs w:val="24"/>
                <w:highlight w:val="none"/>
              </w:rPr>
              <w:t>天然植被已不复存在，局部区域已被人工种植的植被取代，无生态环境保护目标</w:t>
            </w:r>
            <w:r>
              <w:rPr>
                <w:rFonts w:hint="eastAsia" w:cs="Times New Roman"/>
                <w:color w:val="000000"/>
                <w:sz w:val="24"/>
                <w:szCs w:val="24"/>
                <w:highlight w:val="none"/>
                <w:lang w:eastAsia="zh-CN"/>
              </w:rPr>
              <w:t>。</w:t>
            </w:r>
            <w:r>
              <w:rPr>
                <w:rFonts w:hint="default" w:ascii="Times New Roman" w:hAnsi="Times New Roman" w:cs="Times New Roman"/>
                <w:color w:val="000000"/>
                <w:sz w:val="24"/>
                <w:szCs w:val="24"/>
                <w:highlight w:val="none"/>
              </w:rPr>
              <w:t>根据《建设项目环境影响报告表编制技术指南（污染影响类）（试行）》要求，建设项目无需进行生态现状调查。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83" w:type="dxa"/>
            <w:noWrap w:val="0"/>
            <w:vAlign w:val="center"/>
          </w:tcPr>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环境</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保护</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目标</w:t>
            </w:r>
          </w:p>
        </w:tc>
        <w:tc>
          <w:tcPr>
            <w:tcW w:w="8382" w:type="dxa"/>
            <w:noWrap w:val="0"/>
            <w:vAlign w:val="center"/>
          </w:tcPr>
          <w:p>
            <w:pPr>
              <w:snapToGrid w:val="0"/>
              <w:spacing w:line="360" w:lineRule="auto"/>
              <w:ind w:firstLine="482" w:firstLineChars="200"/>
              <w:rPr>
                <w:rFonts w:hint="default" w:ascii="Times New Roman" w:hAnsi="Times New Roman" w:cs="Times New Roman"/>
                <w:b/>
                <w:sz w:val="24"/>
                <w:szCs w:val="24"/>
                <w:highlight w:val="none"/>
                <w:lang w:val="zh-CN"/>
              </w:rPr>
            </w:pPr>
            <w:r>
              <w:rPr>
                <w:rFonts w:hint="default" w:ascii="Times New Roman" w:hAnsi="Times New Roman" w:cs="Times New Roman"/>
                <w:b/>
                <w:sz w:val="24"/>
                <w:szCs w:val="24"/>
                <w:highlight w:val="none"/>
                <w:lang w:val="zh-CN"/>
              </w:rPr>
              <w:t>1、环境空气保护目标</w:t>
            </w:r>
          </w:p>
          <w:p>
            <w:pPr>
              <w:snapToGrid w:val="0"/>
              <w:spacing w:line="360" w:lineRule="auto"/>
              <w:ind w:firstLine="480" w:firstLineChars="200"/>
              <w:rPr>
                <w:rFonts w:hint="default" w:ascii="Times New Roman" w:hAnsi="Times New Roman" w:cs="Times New Roman"/>
                <w:color w:val="0000FF"/>
                <w:sz w:val="24"/>
                <w:szCs w:val="24"/>
                <w:highlight w:val="none"/>
                <w:lang w:val="zh-CN"/>
              </w:rPr>
            </w:pPr>
            <w:r>
              <w:rPr>
                <w:rFonts w:hint="default" w:ascii="Times New Roman" w:hAnsi="Times New Roman" w:cs="Times New Roman"/>
                <w:sz w:val="24"/>
                <w:szCs w:val="24"/>
                <w:highlight w:val="none"/>
                <w:lang w:val="zh-CN"/>
              </w:rPr>
              <w:t>项目</w:t>
            </w:r>
            <w:r>
              <w:rPr>
                <w:rFonts w:hint="default" w:ascii="Times New Roman" w:hAnsi="Times New Roman" w:cs="Times New Roman"/>
                <w:b w:val="0"/>
                <w:bCs w:val="0"/>
                <w:color w:val="auto"/>
                <w:sz w:val="24"/>
                <w:szCs w:val="24"/>
                <w:highlight w:val="none"/>
                <w:lang w:val="zh-CN"/>
              </w:rPr>
              <w:t>厂界外</w:t>
            </w:r>
            <w:r>
              <w:rPr>
                <w:rFonts w:hint="default" w:ascii="Times New Roman" w:hAnsi="Times New Roman" w:cs="Times New Roman"/>
                <w:b w:val="0"/>
                <w:bCs w:val="0"/>
                <w:color w:val="auto"/>
                <w:sz w:val="24"/>
                <w:szCs w:val="24"/>
                <w:highlight w:val="none"/>
                <w:lang w:val="en-US" w:eastAsia="zh-CN"/>
              </w:rPr>
              <w:t>500m范围内无</w:t>
            </w:r>
            <w:r>
              <w:rPr>
                <w:rFonts w:hint="default" w:ascii="Times New Roman" w:hAnsi="Times New Roman" w:cs="Times New Roman"/>
                <w:b w:val="0"/>
                <w:bCs w:val="0"/>
                <w:color w:val="auto"/>
                <w:sz w:val="24"/>
                <w:szCs w:val="24"/>
                <w:highlight w:val="none"/>
                <w:lang w:val="zh-CN"/>
              </w:rPr>
              <w:t>环境空气保护目标</w:t>
            </w:r>
            <w:r>
              <w:rPr>
                <w:rFonts w:hint="default" w:ascii="Times New Roman" w:hAnsi="Times New Roman" w:cs="Times New Roman"/>
                <w:color w:val="0000FF"/>
                <w:sz w:val="24"/>
                <w:szCs w:val="24"/>
                <w:highlight w:val="none"/>
                <w:lang w:val="zh-CN"/>
              </w:rPr>
              <w:t>。</w:t>
            </w:r>
          </w:p>
          <w:p>
            <w:pPr>
              <w:snapToGrid w:val="0"/>
              <w:spacing w:line="360" w:lineRule="auto"/>
              <w:ind w:firstLine="482" w:firstLineChars="200"/>
              <w:rPr>
                <w:rFonts w:hint="default" w:ascii="Times New Roman" w:hAnsi="Times New Roman" w:cs="Times New Roman"/>
                <w:b/>
                <w:sz w:val="24"/>
                <w:szCs w:val="24"/>
                <w:highlight w:val="none"/>
                <w:lang w:val="zh-CN"/>
              </w:rPr>
            </w:pPr>
            <w:r>
              <w:rPr>
                <w:rFonts w:hint="default" w:ascii="Times New Roman" w:hAnsi="Times New Roman" w:cs="Times New Roman"/>
                <w:b/>
                <w:sz w:val="24"/>
                <w:szCs w:val="24"/>
                <w:highlight w:val="none"/>
                <w:lang w:val="zh-CN"/>
              </w:rPr>
              <w:t>2、水环境保护目标</w:t>
            </w:r>
          </w:p>
          <w:p>
            <w:pPr>
              <w:snapToGrid w:val="0"/>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项目厂界外500米范围内无地下水集中式饮用水水源和热水、矿泉水、温泉等特殊地下水资源。</w:t>
            </w:r>
          </w:p>
          <w:p>
            <w:pPr>
              <w:snapToGrid w:val="0"/>
              <w:spacing w:line="360" w:lineRule="auto"/>
              <w:ind w:firstLine="482" w:firstLineChars="200"/>
              <w:rPr>
                <w:rFonts w:hint="default" w:ascii="Times New Roman" w:hAnsi="Times New Roman" w:cs="Times New Roman"/>
                <w:b/>
                <w:sz w:val="24"/>
                <w:szCs w:val="24"/>
                <w:highlight w:val="none"/>
                <w:lang w:val="zh-CN"/>
              </w:rPr>
            </w:pPr>
            <w:r>
              <w:rPr>
                <w:rFonts w:hint="default" w:ascii="Times New Roman" w:hAnsi="Times New Roman" w:cs="Times New Roman"/>
                <w:b/>
                <w:sz w:val="24"/>
                <w:szCs w:val="24"/>
                <w:highlight w:val="none"/>
                <w:lang w:val="zh-CN"/>
              </w:rPr>
              <w:t>3、声环境保护目标</w:t>
            </w:r>
          </w:p>
          <w:p>
            <w:pPr>
              <w:snapToGrid w:val="0"/>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项目厂界外50米范围内无声环境保护目标。</w:t>
            </w:r>
          </w:p>
          <w:p>
            <w:pPr>
              <w:snapToGrid w:val="0"/>
              <w:spacing w:line="360" w:lineRule="auto"/>
              <w:ind w:firstLine="482" w:firstLineChars="200"/>
              <w:rPr>
                <w:rFonts w:hint="default" w:ascii="Times New Roman" w:hAnsi="Times New Roman" w:cs="Times New Roman"/>
                <w:b/>
                <w:sz w:val="24"/>
                <w:szCs w:val="24"/>
                <w:highlight w:val="none"/>
                <w:lang w:val="zh-CN"/>
              </w:rPr>
            </w:pPr>
            <w:r>
              <w:rPr>
                <w:rFonts w:hint="default" w:ascii="Times New Roman" w:hAnsi="Times New Roman" w:cs="Times New Roman"/>
                <w:b/>
                <w:sz w:val="24"/>
                <w:szCs w:val="24"/>
                <w:highlight w:val="none"/>
                <w:lang w:val="zh-CN"/>
              </w:rPr>
              <w:t>4、生态环境保护目标</w:t>
            </w:r>
          </w:p>
          <w:p>
            <w:pPr>
              <w:snapToGrid w:val="0"/>
              <w:spacing w:line="360" w:lineRule="auto"/>
              <w:ind w:firstLine="480" w:firstLineChars="200"/>
              <w:jc w:val="left"/>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本项目周边无生态环境保护目标。</w:t>
            </w:r>
          </w:p>
          <w:p>
            <w:pPr>
              <w:snapToGrid w:val="0"/>
              <w:spacing w:line="360" w:lineRule="auto"/>
              <w:ind w:firstLine="480" w:firstLineChars="200"/>
              <w:jc w:val="left"/>
              <w:rPr>
                <w:rFonts w:hint="default" w:ascii="Times New Roman" w:hAnsi="Times New Roman" w:cs="Times New Roman"/>
                <w:b/>
                <w:color w:val="0000FF"/>
                <w:sz w:val="24"/>
                <w:szCs w:val="24"/>
                <w:highlight w:val="none"/>
              </w:rPr>
            </w:pPr>
            <w:r>
              <w:rPr>
                <w:rFonts w:hint="default" w:ascii="Times New Roman" w:hAnsi="Times New Roman" w:cs="Times New Roman"/>
                <w:kern w:val="0"/>
                <w:sz w:val="24"/>
                <w:szCs w:val="24"/>
                <w:highlight w:val="none"/>
                <w:lang w:val="zh-CN"/>
              </w:rPr>
              <w:t>主要环境保护目标见下表。</w:t>
            </w:r>
          </w:p>
          <w:p>
            <w:pPr>
              <w:snapToGrid w:val="0"/>
              <w:spacing w:line="360" w:lineRule="auto"/>
              <w:ind w:firstLine="422" w:firstLineChars="200"/>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表3-2 主要环境保护目标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65"/>
              <w:gridCol w:w="977"/>
              <w:gridCol w:w="162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464"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保护类别</w:t>
                  </w:r>
                </w:p>
              </w:tc>
              <w:tc>
                <w:tcPr>
                  <w:tcW w:w="1465"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保护目标</w:t>
                  </w:r>
                </w:p>
              </w:tc>
              <w:tc>
                <w:tcPr>
                  <w:tcW w:w="977"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方位</w:t>
                  </w:r>
                </w:p>
              </w:tc>
              <w:tc>
                <w:tcPr>
                  <w:tcW w:w="1625"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距离厂界</w:t>
                  </w:r>
                  <w:r>
                    <w:rPr>
                      <w:rFonts w:hint="default" w:ascii="Times New Roman" w:hAnsi="Times New Roman" w:cs="Times New Roman"/>
                      <w:color w:val="000000"/>
                      <w:sz w:val="21"/>
                      <w:szCs w:val="21"/>
                      <w:highlight w:val="none"/>
                    </w:rPr>
                    <w:t>距离（m）</w:t>
                  </w:r>
                </w:p>
              </w:tc>
              <w:tc>
                <w:tcPr>
                  <w:tcW w:w="2433"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4" w:type="dxa"/>
                  <w:vMerge w:val="restart"/>
                  <w:vAlign w:val="center"/>
                </w:tcPr>
                <w:p>
                  <w:pPr>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大气环境</w:t>
                  </w:r>
                </w:p>
              </w:tc>
              <w:tc>
                <w:tcPr>
                  <w:tcW w:w="1465" w:type="dxa"/>
                  <w:vAlign w:val="center"/>
                </w:tcPr>
                <w:p>
                  <w:pPr>
                    <w:jc w:val="center"/>
                    <w:rPr>
                      <w:rFonts w:hint="default" w:ascii="Times New Roman" w:hAnsi="Times New Roman" w:cs="Times New Roman"/>
                      <w:color w:val="000000"/>
                      <w:sz w:val="21"/>
                      <w:szCs w:val="21"/>
                      <w:highlight w:val="none"/>
                    </w:rPr>
                  </w:pPr>
                  <w:r>
                    <w:rPr>
                      <w:color w:val="000000"/>
                      <w:kern w:val="0"/>
                      <w:szCs w:val="21"/>
                      <w:highlight w:val="none"/>
                    </w:rPr>
                    <w:t>西龙村</w:t>
                  </w:r>
                </w:p>
              </w:tc>
              <w:tc>
                <w:tcPr>
                  <w:tcW w:w="977" w:type="dxa"/>
                  <w:vAlign w:val="center"/>
                </w:tcPr>
                <w:p>
                  <w:pPr>
                    <w:jc w:val="center"/>
                    <w:rPr>
                      <w:rFonts w:hint="default" w:ascii="Times New Roman" w:hAnsi="Times New Roman" w:cs="Times New Roman"/>
                      <w:color w:val="000000"/>
                      <w:sz w:val="21"/>
                      <w:szCs w:val="21"/>
                      <w:highlight w:val="none"/>
                    </w:rPr>
                  </w:pPr>
                  <w:r>
                    <w:rPr>
                      <w:color w:val="000000" w:themeColor="text1"/>
                      <w:szCs w:val="21"/>
                      <w:highlight w:val="none"/>
                      <w14:textFill>
                        <w14:solidFill>
                          <w14:schemeClr w14:val="tx1"/>
                        </w14:solidFill>
                      </w14:textFill>
                    </w:rPr>
                    <w:t>E</w:t>
                  </w:r>
                </w:p>
              </w:tc>
              <w:tc>
                <w:tcPr>
                  <w:tcW w:w="1625" w:type="dxa"/>
                  <w:vAlign w:val="center"/>
                </w:tcPr>
                <w:p>
                  <w:pPr>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85</w:t>
                  </w:r>
                </w:p>
              </w:tc>
              <w:tc>
                <w:tcPr>
                  <w:tcW w:w="2433" w:type="dxa"/>
                  <w:vMerge w:val="restart"/>
                  <w:vAlign w:val="center"/>
                </w:tcPr>
                <w:p>
                  <w:pPr>
                    <w:jc w:val="center"/>
                    <w:rPr>
                      <w:rFonts w:hint="default" w:ascii="Times New Roman" w:hAnsi="Times New Roman" w:cs="Times New Roman"/>
                      <w:color w:val="000000"/>
                      <w:sz w:val="21"/>
                      <w:szCs w:val="21"/>
                      <w:highlight w:val="none"/>
                    </w:rPr>
                  </w:pPr>
                  <w:r>
                    <w:rPr>
                      <w:color w:val="000000" w:themeColor="text1"/>
                      <w:szCs w:val="21"/>
                      <w:highlight w:val="none"/>
                      <w14:textFill>
                        <w14:solidFill>
                          <w14:schemeClr w14:val="tx1"/>
                        </w14:solidFill>
                      </w14:textFill>
                    </w:rPr>
                    <w:t>《环境空气质量标准》（GB3095-2012）及修改单中的二级标准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464" w:type="dxa"/>
                  <w:vMerge w:val="continue"/>
                  <w:vAlign w:val="center"/>
                </w:tcPr>
                <w:p>
                  <w:pPr>
                    <w:jc w:val="center"/>
                    <w:rPr>
                      <w:highlight w:val="none"/>
                    </w:rPr>
                  </w:pPr>
                </w:p>
              </w:tc>
              <w:tc>
                <w:tcPr>
                  <w:tcW w:w="1465" w:type="dxa"/>
                  <w:vAlign w:val="center"/>
                </w:tcPr>
                <w:p>
                  <w:pPr>
                    <w:jc w:val="center"/>
                    <w:rPr>
                      <w:highlight w:val="none"/>
                    </w:rPr>
                  </w:pPr>
                  <w:r>
                    <w:rPr>
                      <w:rFonts w:hint="eastAsia"/>
                      <w:color w:val="000000" w:themeColor="text1"/>
                      <w:szCs w:val="21"/>
                      <w:highlight w:val="none"/>
                      <w:lang w:eastAsia="zh-CN"/>
                      <w14:textFill>
                        <w14:solidFill>
                          <w14:schemeClr w14:val="tx1"/>
                        </w14:solidFill>
                      </w14:textFill>
                    </w:rPr>
                    <w:t>德阳</w:t>
                  </w:r>
                  <w:r>
                    <w:rPr>
                      <w:color w:val="000000" w:themeColor="text1"/>
                      <w:szCs w:val="21"/>
                      <w:highlight w:val="none"/>
                      <w14:textFill>
                        <w14:solidFill>
                          <w14:schemeClr w14:val="tx1"/>
                        </w14:solidFill>
                      </w14:textFill>
                    </w:rPr>
                    <w:t>学校</w:t>
                  </w:r>
                </w:p>
              </w:tc>
              <w:tc>
                <w:tcPr>
                  <w:tcW w:w="977" w:type="dxa"/>
                  <w:vAlign w:val="center"/>
                </w:tcPr>
                <w:p>
                  <w:pPr>
                    <w:jc w:val="center"/>
                    <w:rPr>
                      <w:highlight w:val="none"/>
                    </w:rPr>
                  </w:pPr>
                  <w:r>
                    <w:rPr>
                      <w:highlight w:val="none"/>
                    </w:rPr>
                    <w:t>W</w:t>
                  </w:r>
                </w:p>
              </w:tc>
              <w:tc>
                <w:tcPr>
                  <w:tcW w:w="1625" w:type="dxa"/>
                  <w:vAlign w:val="center"/>
                </w:tcPr>
                <w:p>
                  <w:pPr>
                    <w:jc w:val="center"/>
                    <w:rPr>
                      <w:rFonts w:hint="default" w:eastAsia="宋体"/>
                      <w:highlight w:val="none"/>
                      <w:lang w:val="en-US" w:eastAsia="zh-CN"/>
                    </w:rPr>
                  </w:pPr>
                  <w:r>
                    <w:rPr>
                      <w:rFonts w:hint="eastAsia"/>
                      <w:highlight w:val="none"/>
                      <w:lang w:val="en-US" w:eastAsia="zh-CN"/>
                    </w:rPr>
                    <w:t>100</w:t>
                  </w:r>
                </w:p>
              </w:tc>
              <w:tc>
                <w:tcPr>
                  <w:tcW w:w="2433" w:type="dxa"/>
                  <w:vMerge w:val="continue"/>
                  <w:vAlign w:val="center"/>
                </w:tcPr>
                <w:p>
                  <w:pPr>
                    <w:jc w:val="center"/>
                    <w:rPr>
                      <w:rFonts w:hint="default"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1464" w:type="dxa"/>
                  <w:vMerge w:val="continue"/>
                  <w:vAlign w:val="center"/>
                </w:tcPr>
                <w:p>
                  <w:pPr>
                    <w:jc w:val="center"/>
                    <w:rPr>
                      <w:highlight w:val="none"/>
                    </w:rPr>
                  </w:pPr>
                </w:p>
              </w:tc>
              <w:tc>
                <w:tcPr>
                  <w:tcW w:w="1465" w:type="dxa"/>
                  <w:vAlign w:val="center"/>
                </w:tcPr>
                <w:p>
                  <w:pPr>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龙南村</w:t>
                  </w:r>
                </w:p>
              </w:tc>
              <w:tc>
                <w:tcPr>
                  <w:tcW w:w="977" w:type="dxa"/>
                  <w:vAlign w:val="center"/>
                </w:tcPr>
                <w:p>
                  <w:pPr>
                    <w:jc w:val="center"/>
                    <w:rPr>
                      <w:rFonts w:hint="eastAsia" w:eastAsia="宋体"/>
                      <w:highlight w:val="none"/>
                      <w:lang w:val="en-US" w:eastAsia="zh-CN"/>
                    </w:rPr>
                  </w:pPr>
                  <w:r>
                    <w:rPr>
                      <w:rFonts w:hint="eastAsia"/>
                      <w:highlight w:val="none"/>
                      <w:lang w:val="en-US" w:eastAsia="zh-CN"/>
                    </w:rPr>
                    <w:t>E</w:t>
                  </w:r>
                </w:p>
              </w:tc>
              <w:tc>
                <w:tcPr>
                  <w:tcW w:w="1625" w:type="dxa"/>
                  <w:vAlign w:val="center"/>
                </w:tcPr>
                <w:p>
                  <w:pPr>
                    <w:jc w:val="center"/>
                    <w:rPr>
                      <w:rFonts w:hint="default"/>
                      <w:highlight w:val="none"/>
                      <w:lang w:val="en-US" w:eastAsia="zh-CN"/>
                    </w:rPr>
                  </w:pPr>
                  <w:r>
                    <w:rPr>
                      <w:rFonts w:hint="eastAsia"/>
                      <w:highlight w:val="none"/>
                      <w:lang w:val="en-US" w:eastAsia="zh-CN"/>
                    </w:rPr>
                    <w:t>410</w:t>
                  </w:r>
                </w:p>
              </w:tc>
              <w:tc>
                <w:tcPr>
                  <w:tcW w:w="2433" w:type="dxa"/>
                  <w:vMerge w:val="continue"/>
                  <w:vAlign w:val="center"/>
                </w:tcPr>
                <w:p>
                  <w:pPr>
                    <w:jc w:val="center"/>
                    <w:rPr>
                      <w:rFonts w:hint="default"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464" w:type="dxa"/>
                  <w:vAlign w:val="center"/>
                </w:tcPr>
                <w:p>
                  <w:pPr>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声环境</w:t>
                  </w:r>
                </w:p>
              </w:tc>
              <w:tc>
                <w:tcPr>
                  <w:tcW w:w="6500" w:type="dxa"/>
                  <w:gridSpan w:val="4"/>
                  <w:vAlign w:val="center"/>
                </w:tcPr>
                <w:p>
                  <w:pPr>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zh-CN"/>
                    </w:rPr>
                    <w:t>项目厂界外50米范围内无声环境保护目标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464" w:type="dxa"/>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地表水</w:t>
                  </w:r>
                </w:p>
              </w:tc>
              <w:tc>
                <w:tcPr>
                  <w:tcW w:w="1465" w:type="dxa"/>
                  <w:vAlign w:val="center"/>
                </w:tcPr>
                <w:p>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涝淄河</w:t>
                  </w:r>
                </w:p>
              </w:tc>
              <w:tc>
                <w:tcPr>
                  <w:tcW w:w="977" w:type="dxa"/>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W</w:t>
                  </w:r>
                </w:p>
              </w:tc>
              <w:tc>
                <w:tcPr>
                  <w:tcW w:w="1625"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1140</w:t>
                  </w:r>
                </w:p>
              </w:tc>
              <w:tc>
                <w:tcPr>
                  <w:tcW w:w="2433" w:type="dxa"/>
                  <w:vAlign w:val="center"/>
                </w:tcPr>
                <w:p>
                  <w:pPr>
                    <w:jc w:val="center"/>
                    <w:rPr>
                      <w:rFonts w:hint="default" w:ascii="Times New Roman" w:hAnsi="Times New Roman" w:cs="Times New Roman"/>
                      <w:color w:val="000000" w:themeColor="text1"/>
                      <w:sz w:val="21"/>
                      <w:szCs w:val="21"/>
                      <w:highlight w:val="none"/>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zh-CN"/>
                      <w14:textFill>
                        <w14:solidFill>
                          <w14:schemeClr w14:val="tx1"/>
                        </w14:solidFill>
                      </w14:textFill>
                    </w:rPr>
                    <w:t>《地表水环境质量标准》（GB3838-2002）Ⅴ类标准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464" w:type="dxa"/>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地下水</w:t>
                  </w:r>
                </w:p>
              </w:tc>
              <w:tc>
                <w:tcPr>
                  <w:tcW w:w="6500" w:type="dxa"/>
                  <w:gridSpan w:val="4"/>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zh-CN"/>
                    </w:rPr>
                    <w:t>厂界外500米范围内无地下水集中式饮用水源和热水、矿泉水、温泉等特殊地下水资源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464" w:type="dxa"/>
                  <w:vAlign w:val="center"/>
                </w:tcPr>
                <w:p>
                  <w:pPr>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生态环境</w:t>
                  </w:r>
                </w:p>
              </w:tc>
              <w:tc>
                <w:tcPr>
                  <w:tcW w:w="6500" w:type="dxa"/>
                  <w:gridSpan w:val="4"/>
                  <w:vAlign w:val="center"/>
                </w:tcPr>
                <w:p>
                  <w:pPr>
                    <w:jc w:val="center"/>
                    <w:rPr>
                      <w:rFonts w:hint="default" w:ascii="Times New Roman" w:hAnsi="Times New Roman" w:cs="Times New Roman"/>
                      <w:color w:val="000000"/>
                      <w:sz w:val="21"/>
                      <w:szCs w:val="21"/>
                      <w:highlight w:val="none"/>
                      <w:lang w:val="zh-CN"/>
                    </w:rPr>
                  </w:pPr>
                  <w:r>
                    <w:rPr>
                      <w:rFonts w:hint="default" w:ascii="Times New Roman" w:hAnsi="Times New Roman" w:cs="Times New Roman"/>
                      <w:color w:val="000000"/>
                      <w:sz w:val="21"/>
                      <w:szCs w:val="21"/>
                      <w:highlight w:val="none"/>
                      <w:lang w:val="zh-CN"/>
                    </w:rPr>
                    <w:t>本项目周边无生态环境保护目标</w:t>
                  </w:r>
                </w:p>
              </w:tc>
            </w:tr>
          </w:tbl>
          <w:p>
            <w:pPr>
              <w:snapToGrid w:val="0"/>
              <w:spacing w:line="360" w:lineRule="auto"/>
              <w:ind w:firstLine="480" w:firstLineChars="200"/>
              <w:rPr>
                <w:rFonts w:hint="default" w:ascii="Times New Roman" w:hAnsi="Times New Roman" w:cs="Times New Roman"/>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6" w:hRule="atLeast"/>
          <w:jc w:val="center"/>
        </w:trPr>
        <w:tc>
          <w:tcPr>
            <w:tcW w:w="483" w:type="dxa"/>
            <w:noWrap w:val="0"/>
            <w:tcMar>
              <w:left w:w="28" w:type="dxa"/>
              <w:right w:w="28" w:type="dxa"/>
            </w:tcMar>
            <w:vAlign w:val="center"/>
          </w:tcPr>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污染</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物排</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放控</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制标</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准</w:t>
            </w:r>
          </w:p>
        </w:tc>
        <w:tc>
          <w:tcPr>
            <w:tcW w:w="8382" w:type="dxa"/>
            <w:noWrap w:val="0"/>
            <w:vAlign w:val="center"/>
          </w:tcPr>
          <w:p>
            <w:pPr>
              <w:autoSpaceDE w:val="0"/>
              <w:autoSpaceDN w:val="0"/>
              <w:adjustRightInd w:val="0"/>
              <w:spacing w:line="360" w:lineRule="auto"/>
              <w:ind w:firstLine="522" w:firstLineChars="200"/>
              <w:rPr>
                <w:rFonts w:hint="default" w:ascii="Times New Roman" w:hAnsi="Times New Roman" w:cs="Times New Roman"/>
                <w:b/>
                <w:color w:val="000000"/>
                <w:spacing w:val="10"/>
                <w:kern w:val="0"/>
                <w:sz w:val="24"/>
                <w:szCs w:val="24"/>
                <w:highlight w:val="none"/>
              </w:rPr>
            </w:pPr>
            <w:r>
              <w:rPr>
                <w:rFonts w:hint="default" w:ascii="Times New Roman" w:hAnsi="Times New Roman" w:cs="Times New Roman"/>
                <w:b/>
                <w:color w:val="000000"/>
                <w:spacing w:val="10"/>
                <w:kern w:val="0"/>
                <w:sz w:val="24"/>
                <w:szCs w:val="24"/>
                <w:highlight w:val="none"/>
              </w:rPr>
              <w:t>1、废气</w:t>
            </w:r>
          </w:p>
          <w:p>
            <w:pPr>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本项目有组织VOCs执行《挥发性有机物排放标准 第6部分：有机化工行业》（DB37/2801.6-2018）表1中其他行业Ⅱ时段排放限值要求</w:t>
            </w:r>
            <w:r>
              <w:rPr>
                <w:rFonts w:hint="eastAsia" w:cs="Times New Roman"/>
                <w:color w:val="auto"/>
                <w:sz w:val="24"/>
                <w:szCs w:val="24"/>
                <w:highlight w:val="none"/>
                <w:lang w:eastAsia="zh-CN"/>
              </w:rPr>
              <w:t>；</w:t>
            </w:r>
            <w:r>
              <w:rPr>
                <w:rFonts w:hint="default" w:ascii="Times New Roman" w:hAnsi="Times New Roman" w:cs="Times New Roman"/>
                <w:sz w:val="24"/>
                <w:szCs w:val="24"/>
                <w:highlight w:val="none"/>
              </w:rPr>
              <w:t>无组织VOCs执行《挥发性有机物排放标准 第6部分：有机化工行业》（DB37/2801.6-2018）表</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厂界监控点浓度限值要求</w:t>
            </w:r>
            <w:r>
              <w:rPr>
                <w:rFonts w:hint="eastAsia" w:cs="Times New Roman"/>
                <w:sz w:val="24"/>
                <w:szCs w:val="24"/>
                <w:highlight w:val="none"/>
                <w:lang w:eastAsia="zh-CN"/>
              </w:rPr>
              <w:t>。</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厂区内无组织VOCs执行《挥发性有机物无组织排放控制标准》（GB37822-2019）表1浓度限值</w:t>
            </w:r>
            <w:r>
              <w:rPr>
                <w:rFonts w:hint="eastAsia" w:cs="Times New Roman"/>
                <w:sz w:val="24"/>
                <w:szCs w:val="24"/>
                <w:highlight w:val="none"/>
                <w:lang w:eastAsia="zh-CN"/>
              </w:rPr>
              <w:t>。</w:t>
            </w:r>
            <w:r>
              <w:rPr>
                <w:rFonts w:hint="default" w:ascii="Times New Roman" w:hAnsi="Times New Roman" w:cs="Times New Roman"/>
                <w:sz w:val="24"/>
                <w:szCs w:val="24"/>
                <w:highlight w:val="none"/>
              </w:rPr>
              <w:t>具体数值见下表。</w:t>
            </w:r>
          </w:p>
          <w:p>
            <w:pPr>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表3-</w:t>
            </w:r>
            <w:r>
              <w:rPr>
                <w:rFonts w:hint="eastAsia" w:cs="Times New Roman"/>
                <w:b/>
                <w:color w:val="000000"/>
                <w:sz w:val="21"/>
                <w:szCs w:val="21"/>
                <w:highlight w:val="none"/>
                <w:lang w:val="en-US" w:eastAsia="zh-CN"/>
              </w:rPr>
              <w:t>3</w:t>
            </w:r>
            <w:r>
              <w:rPr>
                <w:rFonts w:hint="default" w:ascii="Times New Roman" w:hAnsi="Times New Roman" w:cs="Times New Roman"/>
                <w:b/>
                <w:color w:val="000000"/>
                <w:sz w:val="21"/>
                <w:szCs w:val="21"/>
                <w:highlight w:val="none"/>
              </w:rPr>
              <w:t xml:space="preserve">  </w:t>
            </w:r>
            <w:r>
              <w:rPr>
                <w:rFonts w:hint="default" w:ascii="Times New Roman" w:hAnsi="Times New Roman" w:cs="Times New Roman"/>
                <w:b/>
                <w:color w:val="000000"/>
                <w:sz w:val="21"/>
                <w:szCs w:val="21"/>
                <w:highlight w:val="none"/>
                <w:lang w:val="en-US" w:eastAsia="zh-CN"/>
              </w:rPr>
              <w:t>废气排放</w:t>
            </w:r>
            <w:r>
              <w:rPr>
                <w:rFonts w:hint="default" w:ascii="Times New Roman" w:hAnsi="Times New Roman" w:cs="Times New Roman"/>
                <w:b/>
                <w:color w:val="000000"/>
                <w:sz w:val="21"/>
                <w:szCs w:val="21"/>
                <w:highlight w:val="none"/>
              </w:rPr>
              <w:t>排放标准</w:t>
            </w:r>
          </w:p>
          <w:tbl>
            <w:tblPr>
              <w:tblStyle w:val="23"/>
              <w:tblW w:w="7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08"/>
              <w:gridCol w:w="870"/>
              <w:gridCol w:w="1456"/>
              <w:gridCol w:w="1708"/>
              <w:gridCol w:w="2121"/>
              <w:gridCol w:w="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570"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污染物名称</w:t>
                  </w:r>
                </w:p>
              </w:tc>
              <w:tc>
                <w:tcPr>
                  <w:tcW w:w="546"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宋体" w:cs="Times New Roman"/>
                      <w:b/>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lang w:val="en-US" w:eastAsia="zh-CN"/>
                      <w14:textFill>
                        <w14:solidFill>
                          <w14:schemeClr w14:val="tx1">
                            <w14:lumMod w14:val="95000"/>
                            <w14:lumOff w14:val="5000"/>
                          </w14:schemeClr>
                        </w14:solidFill>
                      </w14:textFill>
                    </w:rPr>
                    <w:t>排气筒</w:t>
                  </w:r>
                </w:p>
              </w:tc>
              <w:tc>
                <w:tcPr>
                  <w:tcW w:w="914"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最高允许排放浓度mg/m</w:t>
                  </w:r>
                  <w:r>
                    <w:rPr>
                      <w:rFonts w:hint="default" w:ascii="Times New Roman" w:hAnsi="Times New Roman" w:cs="Times New Roman"/>
                      <w:b/>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1072"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最高允许排放速率，kg/h</w:t>
                  </w:r>
                </w:p>
              </w:tc>
              <w:tc>
                <w:tcPr>
                  <w:tcW w:w="189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无组织排放浓度限值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70" w:type="pct"/>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p>
              </w:tc>
              <w:tc>
                <w:tcPr>
                  <w:tcW w:w="546" w:type="pct"/>
                  <w:vMerge w:val="continue"/>
                  <w:tcBorders>
                    <w:left w:val="single" w:color="auto" w:sz="6" w:space="0"/>
                    <w:bottom w:val="single" w:color="auto" w:sz="4"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p>
              </w:tc>
              <w:tc>
                <w:tcPr>
                  <w:tcW w:w="914" w:type="pct"/>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p>
              </w:tc>
              <w:tc>
                <w:tcPr>
                  <w:tcW w:w="1072" w:type="pct"/>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p>
              </w:tc>
              <w:tc>
                <w:tcPr>
                  <w:tcW w:w="133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监控点</w:t>
                  </w:r>
                </w:p>
              </w:tc>
              <w:tc>
                <w:tcPr>
                  <w:tcW w:w="56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1"/>
                      <w:szCs w:val="21"/>
                      <w:highlight w:val="none"/>
                      <w14:textFill>
                        <w14:solidFill>
                          <w14:schemeClr w14:val="tx1">
                            <w14:lumMod w14:val="95000"/>
                            <w14:lumOff w14:val="5000"/>
                          </w14:schemeClr>
                        </w14:solidFill>
                      </w14:textFill>
                    </w:rPr>
                    <w:t>浓度mg/m</w:t>
                  </w:r>
                  <w:r>
                    <w:rPr>
                      <w:rFonts w:hint="default" w:ascii="Times New Roman" w:hAnsi="Times New Roman" w:cs="Times New Roman"/>
                      <w:b/>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9" w:hRule="atLeast"/>
                <w:jc w:val="center"/>
              </w:trPr>
              <w:tc>
                <w:tcPr>
                  <w:tcW w:w="570" w:type="pct"/>
                  <w:tcBorders>
                    <w:top w:val="single" w:color="auto" w:sz="6" w:space="0"/>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VOCs</w:t>
                  </w:r>
                </w:p>
              </w:tc>
              <w:tc>
                <w:tcPr>
                  <w:tcW w:w="546" w:type="pc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DA001</w:t>
                  </w:r>
                </w:p>
              </w:tc>
              <w:tc>
                <w:tcPr>
                  <w:tcW w:w="914" w:type="pct"/>
                  <w:tcBorders>
                    <w:top w:val="single" w:color="auto" w:sz="6" w:space="0"/>
                    <w:left w:val="single" w:color="auto" w:sz="4" w:space="0"/>
                    <w:right w:val="single" w:color="auto" w:sz="6" w:space="0"/>
                  </w:tcBorders>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60</w:t>
                  </w:r>
                </w:p>
              </w:tc>
              <w:tc>
                <w:tcPr>
                  <w:tcW w:w="107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3.0</w:t>
                  </w:r>
                </w:p>
              </w:tc>
              <w:tc>
                <w:tcPr>
                  <w:tcW w:w="1331"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厂界监控点浓度限值</w:t>
                  </w:r>
                </w:p>
              </w:tc>
              <w:tc>
                <w:tcPr>
                  <w:tcW w:w="565"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.0</w:t>
                  </w:r>
                </w:p>
              </w:tc>
            </w:tr>
          </w:tbl>
          <w:p>
            <w:pPr>
              <w:jc w:val="center"/>
              <w:rPr>
                <w:rFonts w:hint="default" w:ascii="Times New Roman" w:hAnsi="Times New Roman" w:eastAsia="宋体" w:cs="Times New Roman"/>
                <w:b/>
                <w:color w:val="000000"/>
                <w:sz w:val="21"/>
                <w:szCs w:val="21"/>
                <w:highlight w:val="none"/>
                <w:lang w:eastAsia="zh-CN"/>
              </w:rPr>
            </w:pPr>
            <w:r>
              <w:rPr>
                <w:rFonts w:hint="default" w:ascii="Times New Roman" w:hAnsi="Times New Roman" w:eastAsia="宋体" w:cs="Times New Roman"/>
                <w:b/>
                <w:color w:val="0D0D0D" w:themeColor="text1" w:themeTint="F2"/>
                <w:sz w:val="21"/>
                <w:szCs w:val="21"/>
                <w:highlight w:val="none"/>
                <w14:textFill>
                  <w14:solidFill>
                    <w14:schemeClr w14:val="tx1">
                      <w14:lumMod w14:val="95000"/>
                      <w14:lumOff w14:val="5000"/>
                    </w14:schemeClr>
                  </w14:solidFill>
                </w14:textFill>
              </w:rPr>
              <w:t>表</w:t>
            </w:r>
            <w:r>
              <w:rPr>
                <w:rFonts w:hint="default" w:ascii="Times New Roman" w:hAnsi="Times New Roman" w:eastAsia="宋体" w:cs="Times New Roman"/>
                <w:b/>
                <w:color w:val="0D0D0D" w:themeColor="text1" w:themeTint="F2"/>
                <w:sz w:val="21"/>
                <w:szCs w:val="21"/>
                <w:highlight w:val="none"/>
                <w:lang w:val="en-US" w:eastAsia="zh-CN"/>
                <w14:textFill>
                  <w14:solidFill>
                    <w14:schemeClr w14:val="tx1">
                      <w14:lumMod w14:val="95000"/>
                      <w14:lumOff w14:val="5000"/>
                    </w14:schemeClr>
                  </w14:solidFill>
                </w14:textFill>
              </w:rPr>
              <w:t>3-</w:t>
            </w:r>
            <w:r>
              <w:rPr>
                <w:rFonts w:hint="eastAsia" w:cs="Times New Roman"/>
                <w:b/>
                <w:color w:val="0D0D0D" w:themeColor="text1" w:themeTint="F2"/>
                <w:sz w:val="21"/>
                <w:szCs w:val="21"/>
                <w:highlight w:val="none"/>
                <w:lang w:val="en-US" w:eastAsia="zh-CN"/>
                <w14:textFill>
                  <w14:solidFill>
                    <w14:schemeClr w14:val="tx1">
                      <w14:lumMod w14:val="95000"/>
                      <w14:lumOff w14:val="5000"/>
                    </w14:schemeClr>
                  </w14:solidFill>
                </w14:textFill>
              </w:rPr>
              <w:t>4</w:t>
            </w:r>
            <w:r>
              <w:rPr>
                <w:rFonts w:hint="default" w:ascii="Times New Roman" w:hAnsi="Times New Roman" w:eastAsia="宋体" w:cs="Times New Roman"/>
                <w:b/>
                <w:color w:val="0D0D0D" w:themeColor="text1" w:themeTint="F2"/>
                <w:sz w:val="21"/>
                <w:szCs w:val="21"/>
                <w:highlight w:val="none"/>
                <w14:textFill>
                  <w14:solidFill>
                    <w14:schemeClr w14:val="tx1">
                      <w14:lumMod w14:val="95000"/>
                      <w14:lumOff w14:val="5000"/>
                    </w14:schemeClr>
                  </w14:solidFill>
                </w14:textFill>
              </w:rPr>
              <w:t xml:space="preserve">  </w:t>
            </w:r>
            <w:r>
              <w:rPr>
                <w:rFonts w:hint="default" w:ascii="Times New Roman" w:hAnsi="Times New Roman" w:eastAsia="宋体" w:cs="Times New Roman"/>
                <w:b/>
                <w:color w:val="0D0D0D" w:themeColor="text1" w:themeTint="F2"/>
                <w:sz w:val="21"/>
                <w:szCs w:val="21"/>
                <w:highlight w:val="none"/>
                <w:lang w:val="zh-CN"/>
                <w14:textFill>
                  <w14:solidFill>
                    <w14:schemeClr w14:val="tx1">
                      <w14:lumMod w14:val="95000"/>
                      <w14:lumOff w14:val="5000"/>
                    </w14:schemeClr>
                  </w14:solidFill>
                </w14:textFill>
              </w:rPr>
              <w:t>厂区内无组织VOCs</w:t>
            </w:r>
            <w:r>
              <w:rPr>
                <w:rFonts w:hint="default" w:ascii="Times New Roman" w:hAnsi="Times New Roman" w:cs="Times New Roman"/>
                <w:b/>
                <w:color w:val="0D0D0D" w:themeColor="text1" w:themeTint="F2"/>
                <w:sz w:val="21"/>
                <w:szCs w:val="21"/>
                <w:highlight w:val="none"/>
                <w:lang w:val="en-US" w:eastAsia="zh-CN"/>
                <w14:textFill>
                  <w14:solidFill>
                    <w14:schemeClr w14:val="tx1">
                      <w14:lumMod w14:val="95000"/>
                      <w14:lumOff w14:val="5000"/>
                    </w14:schemeClr>
                  </w14:solidFill>
                </w14:textFill>
              </w:rPr>
              <w:t>排放标准</w:t>
            </w:r>
            <w:r>
              <w:rPr>
                <w:rFonts w:hint="default" w:ascii="Times New Roman" w:hAnsi="Times New Roman" w:cs="Times New Roman"/>
                <w:b/>
                <w:bCs w:val="0"/>
                <w:color w:val="0D0D0D" w:themeColor="text1" w:themeTint="F2"/>
                <w:sz w:val="21"/>
                <w:szCs w:val="21"/>
                <w:highlight w:val="none"/>
                <w:lang w:eastAsia="zh-CN"/>
                <w14:textFill>
                  <w14:solidFill>
                    <w14:schemeClr w14:val="tx1">
                      <w14:lumMod w14:val="95000"/>
                      <w14:lumOff w14:val="5000"/>
                    </w14:schemeClr>
                  </w14:solidFill>
                </w14:textFill>
              </w:rPr>
              <w:t>（mg/m</w:t>
            </w:r>
            <w:r>
              <w:rPr>
                <w:rFonts w:hint="default" w:ascii="Times New Roman" w:hAnsi="Times New Roman" w:cs="Times New Roman"/>
                <w:b/>
                <w:bCs w:val="0"/>
                <w:color w:val="0D0D0D" w:themeColor="text1" w:themeTint="F2"/>
                <w:sz w:val="21"/>
                <w:szCs w:val="21"/>
                <w:highlight w:val="none"/>
                <w:vertAlign w:val="superscript"/>
                <w:lang w:eastAsia="zh-CN"/>
                <w14:textFill>
                  <w14:solidFill>
                    <w14:schemeClr w14:val="tx1">
                      <w14:lumMod w14:val="95000"/>
                      <w14:lumOff w14:val="5000"/>
                    </w14:schemeClr>
                  </w14:solidFill>
                </w14:textFill>
              </w:rPr>
              <w:t>3</w:t>
            </w:r>
            <w:r>
              <w:rPr>
                <w:rFonts w:hint="default" w:ascii="Times New Roman" w:hAnsi="Times New Roman" w:cs="Times New Roman"/>
                <w:b/>
                <w:bCs w:val="0"/>
                <w:color w:val="0D0D0D" w:themeColor="text1" w:themeTint="F2"/>
                <w:sz w:val="21"/>
                <w:szCs w:val="21"/>
                <w:highlight w:val="none"/>
                <w:lang w:eastAsia="zh-CN"/>
                <w14:textFill>
                  <w14:solidFill>
                    <w14:schemeClr w14:val="tx1">
                      <w14:lumMod w14:val="95000"/>
                      <w14:lumOff w14:val="5000"/>
                    </w14:schemeClr>
                  </w14:solidFill>
                </w14:textFill>
              </w:rPr>
              <w:t>）</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184"/>
              <w:gridCol w:w="1460"/>
              <w:gridCol w:w="2629"/>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污染物项目</w:t>
                  </w:r>
                </w:p>
              </w:tc>
              <w:tc>
                <w:tcPr>
                  <w:tcW w:w="726"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排放限值</w:t>
                  </w:r>
                </w:p>
              </w:tc>
              <w:tc>
                <w:tcPr>
                  <w:tcW w:w="895"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特别排放限值</w:t>
                  </w:r>
                </w:p>
              </w:tc>
              <w:tc>
                <w:tcPr>
                  <w:tcW w:w="1612"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限值含义</w:t>
                  </w:r>
                </w:p>
              </w:tc>
              <w:tc>
                <w:tcPr>
                  <w:tcW w:w="1001"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pct"/>
                  <w:vMerge w:val="restar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NMHC</w:t>
                  </w:r>
                </w:p>
              </w:tc>
              <w:tc>
                <w:tcPr>
                  <w:tcW w:w="726"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95"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12"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监控点处1h平均浓度值</w:t>
                  </w:r>
                </w:p>
              </w:tc>
              <w:tc>
                <w:tcPr>
                  <w:tcW w:w="1001" w:type="pct"/>
                  <w:vMerge w:val="restar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sz w:val="21"/>
                      <w:szCs w:val="21"/>
                      <w:highlight w:val="none"/>
                      <w:lang w:val="en-US" w:eastAsia="zh-CN"/>
                    </w:rPr>
                  </w:pPr>
                </w:p>
              </w:tc>
              <w:tc>
                <w:tcPr>
                  <w:tcW w:w="726"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895"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612"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监控点处任意一次浓度值</w:t>
                  </w:r>
                </w:p>
              </w:tc>
              <w:tc>
                <w:tcPr>
                  <w:tcW w:w="1001" w:type="pct"/>
                  <w:vMerge w:val="continue"/>
                  <w:tcBorders>
                    <w:tl2br w:val="nil"/>
                    <w:tr2bl w:val="nil"/>
                  </w:tcBorders>
                  <w:noWrap w:val="0"/>
                  <w:vAlign w:val="center"/>
                </w:tcPr>
                <w:p>
                  <w:pPr>
                    <w:spacing w:line="240" w:lineRule="exact"/>
                    <w:jc w:val="center"/>
                    <w:rPr>
                      <w:rFonts w:hint="default" w:ascii="Times New Roman" w:hAnsi="Times New Roman" w:cs="Times New Roman"/>
                      <w:color w:val="FF0000"/>
                      <w:sz w:val="21"/>
                      <w:szCs w:val="21"/>
                      <w:highlight w:val="none"/>
                    </w:rPr>
                  </w:pPr>
                </w:p>
              </w:tc>
            </w:tr>
          </w:tbl>
          <w:p>
            <w:pPr>
              <w:autoSpaceDE w:val="0"/>
              <w:autoSpaceDN w:val="0"/>
              <w:adjustRightInd w:val="0"/>
              <w:spacing w:line="360" w:lineRule="auto"/>
              <w:ind w:firstLine="522" w:firstLineChars="200"/>
              <w:rPr>
                <w:rFonts w:hint="default" w:ascii="Times New Roman" w:hAnsi="Times New Roman" w:cs="Times New Roman"/>
                <w:b/>
                <w:color w:val="000000"/>
                <w:spacing w:val="10"/>
                <w:kern w:val="0"/>
                <w:sz w:val="24"/>
                <w:szCs w:val="24"/>
                <w:highlight w:val="none"/>
              </w:rPr>
            </w:pPr>
            <w:r>
              <w:rPr>
                <w:rFonts w:hint="default" w:ascii="Times New Roman" w:hAnsi="Times New Roman" w:cs="Times New Roman"/>
                <w:b/>
                <w:color w:val="000000"/>
                <w:spacing w:val="10"/>
                <w:kern w:val="0"/>
                <w:sz w:val="24"/>
                <w:szCs w:val="24"/>
                <w:highlight w:val="none"/>
                <w:lang w:val="en-US" w:eastAsia="zh-CN"/>
              </w:rPr>
              <w:t>2</w:t>
            </w:r>
            <w:r>
              <w:rPr>
                <w:rFonts w:hint="default" w:ascii="Times New Roman" w:hAnsi="Times New Roman" w:cs="Times New Roman"/>
                <w:b/>
                <w:color w:val="000000"/>
                <w:spacing w:val="10"/>
                <w:kern w:val="0"/>
                <w:sz w:val="24"/>
                <w:szCs w:val="24"/>
                <w:highlight w:val="none"/>
              </w:rPr>
              <w:t>、噪声</w:t>
            </w:r>
          </w:p>
          <w:p>
            <w:pPr>
              <w:autoSpaceDE w:val="0"/>
              <w:autoSpaceDN w:val="0"/>
              <w:adjustRightInd w:val="0"/>
              <w:spacing w:line="360" w:lineRule="auto"/>
              <w:ind w:firstLine="520" w:firstLineChars="200"/>
              <w:rPr>
                <w:rFonts w:hint="default" w:ascii="Times New Roman" w:hAnsi="Times New Roman" w:cs="Times New Roman"/>
                <w:color w:val="000000"/>
                <w:spacing w:val="10"/>
                <w:kern w:val="0"/>
                <w:sz w:val="24"/>
                <w:szCs w:val="24"/>
                <w:highlight w:val="none"/>
              </w:rPr>
            </w:pPr>
            <w:r>
              <w:rPr>
                <w:rFonts w:hint="default" w:ascii="Times New Roman" w:hAnsi="Times New Roman" w:cs="Times New Roman"/>
                <w:color w:val="000000"/>
                <w:spacing w:val="10"/>
                <w:kern w:val="0"/>
                <w:sz w:val="24"/>
                <w:szCs w:val="24"/>
                <w:highlight w:val="none"/>
              </w:rPr>
              <w:t>营运期执行《工业企业厂界环境噪声排放标准》（GB12348-2008）中2类声功能区标准。</w:t>
            </w:r>
          </w:p>
          <w:p>
            <w:pPr>
              <w:autoSpaceDE w:val="0"/>
              <w:autoSpaceDN w:val="0"/>
              <w:adjustRightInd w:val="0"/>
              <w:jc w:val="center"/>
              <w:rPr>
                <w:rFonts w:hint="default" w:ascii="Times New Roman" w:hAnsi="Times New Roman" w:cs="Times New Roman"/>
                <w:b/>
                <w:snapToGrid w:val="0"/>
                <w:color w:val="000000"/>
                <w:kern w:val="0"/>
                <w:sz w:val="21"/>
                <w:szCs w:val="21"/>
                <w:highlight w:val="none"/>
              </w:rPr>
            </w:pPr>
            <w:r>
              <w:rPr>
                <w:rFonts w:hint="default" w:ascii="Times New Roman" w:hAnsi="Times New Roman" w:cs="Times New Roman"/>
                <w:b/>
                <w:snapToGrid w:val="0"/>
                <w:color w:val="000000"/>
                <w:kern w:val="0"/>
                <w:sz w:val="21"/>
                <w:szCs w:val="21"/>
                <w:highlight w:val="none"/>
              </w:rPr>
              <w:t>表3-</w:t>
            </w:r>
            <w:r>
              <w:rPr>
                <w:rFonts w:hint="eastAsia" w:cs="Times New Roman"/>
                <w:b/>
                <w:snapToGrid w:val="0"/>
                <w:color w:val="000000"/>
                <w:kern w:val="0"/>
                <w:sz w:val="21"/>
                <w:szCs w:val="21"/>
                <w:highlight w:val="none"/>
                <w:lang w:val="en-US" w:eastAsia="zh-CN"/>
              </w:rPr>
              <w:t>5</w:t>
            </w:r>
            <w:r>
              <w:rPr>
                <w:rFonts w:hint="default" w:ascii="Times New Roman" w:hAnsi="Times New Roman" w:cs="Times New Roman"/>
                <w:b/>
                <w:snapToGrid w:val="0"/>
                <w:color w:val="000000"/>
                <w:kern w:val="0"/>
                <w:sz w:val="21"/>
                <w:szCs w:val="21"/>
                <w:highlight w:val="none"/>
              </w:rPr>
              <w:t xml:space="preserve">  环境噪声排放标准    单位：dB(A)</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2573"/>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5" w:type="dxa"/>
                  <w:noWrap w:val="0"/>
                  <w:vAlign w:val="center"/>
                </w:tcPr>
                <w:p>
                  <w:pPr>
                    <w:jc w:val="center"/>
                    <w:rPr>
                      <w:rFonts w:hint="default" w:ascii="Times New Roman" w:hAnsi="Times New Roman" w:cs="Times New Roman"/>
                      <w:b/>
                      <w:bCs w:val="0"/>
                      <w:snapToGrid w:val="0"/>
                      <w:color w:val="000000"/>
                      <w:kern w:val="0"/>
                      <w:sz w:val="21"/>
                      <w:szCs w:val="21"/>
                      <w:highlight w:val="none"/>
                    </w:rPr>
                  </w:pPr>
                  <w:r>
                    <w:rPr>
                      <w:rFonts w:hint="default" w:ascii="Times New Roman" w:hAnsi="Times New Roman" w:cs="Times New Roman"/>
                      <w:b/>
                      <w:bCs w:val="0"/>
                      <w:snapToGrid w:val="0"/>
                      <w:color w:val="000000"/>
                      <w:kern w:val="0"/>
                      <w:sz w:val="21"/>
                      <w:szCs w:val="21"/>
                      <w:highlight w:val="none"/>
                    </w:rPr>
                    <w:t>类别</w:t>
                  </w:r>
                </w:p>
              </w:tc>
              <w:tc>
                <w:tcPr>
                  <w:tcW w:w="2694" w:type="dxa"/>
                  <w:noWrap w:val="0"/>
                  <w:vAlign w:val="center"/>
                </w:tcPr>
                <w:p>
                  <w:pPr>
                    <w:jc w:val="center"/>
                    <w:rPr>
                      <w:rFonts w:hint="default" w:ascii="Times New Roman" w:hAnsi="Times New Roman" w:cs="Times New Roman"/>
                      <w:b/>
                      <w:bCs w:val="0"/>
                      <w:snapToGrid w:val="0"/>
                      <w:color w:val="000000"/>
                      <w:kern w:val="0"/>
                      <w:sz w:val="21"/>
                      <w:szCs w:val="21"/>
                      <w:highlight w:val="none"/>
                    </w:rPr>
                  </w:pPr>
                  <w:r>
                    <w:rPr>
                      <w:rFonts w:hint="default" w:ascii="Times New Roman" w:hAnsi="Times New Roman" w:cs="Times New Roman"/>
                      <w:b/>
                      <w:bCs w:val="0"/>
                      <w:snapToGrid w:val="0"/>
                      <w:color w:val="000000"/>
                      <w:kern w:val="0"/>
                      <w:sz w:val="21"/>
                      <w:szCs w:val="21"/>
                      <w:highlight w:val="none"/>
                    </w:rPr>
                    <w:t>昼间</w:t>
                  </w:r>
                </w:p>
              </w:tc>
              <w:tc>
                <w:tcPr>
                  <w:tcW w:w="2736" w:type="dxa"/>
                  <w:noWrap w:val="0"/>
                  <w:vAlign w:val="center"/>
                </w:tcPr>
                <w:p>
                  <w:pPr>
                    <w:jc w:val="center"/>
                    <w:rPr>
                      <w:rFonts w:hint="default" w:ascii="Times New Roman" w:hAnsi="Times New Roman" w:cs="Times New Roman"/>
                      <w:b/>
                      <w:bCs w:val="0"/>
                      <w:snapToGrid w:val="0"/>
                      <w:color w:val="000000"/>
                      <w:kern w:val="0"/>
                      <w:sz w:val="21"/>
                      <w:szCs w:val="21"/>
                      <w:highlight w:val="none"/>
                    </w:rPr>
                  </w:pPr>
                  <w:r>
                    <w:rPr>
                      <w:rFonts w:hint="default" w:ascii="Times New Roman" w:hAnsi="Times New Roman" w:cs="Times New Roman"/>
                      <w:b/>
                      <w:bCs w:val="0"/>
                      <w:snapToGrid w:val="0"/>
                      <w:color w:val="000000"/>
                      <w:kern w:val="0"/>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5" w:type="dxa"/>
                  <w:noWrap w:val="0"/>
                  <w:vAlign w:val="center"/>
                </w:tcPr>
                <w:p>
                  <w:pPr>
                    <w:jc w:val="center"/>
                    <w:rPr>
                      <w:rFonts w:hint="default" w:ascii="Times New Roman" w:hAnsi="Times New Roman" w:cs="Times New Roman"/>
                      <w:snapToGrid w:val="0"/>
                      <w:color w:val="000000"/>
                      <w:kern w:val="0"/>
                      <w:sz w:val="21"/>
                      <w:szCs w:val="21"/>
                      <w:highlight w:val="none"/>
                    </w:rPr>
                  </w:pPr>
                  <w:r>
                    <w:rPr>
                      <w:rFonts w:hint="default" w:ascii="Times New Roman" w:hAnsi="Times New Roman" w:cs="Times New Roman"/>
                      <w:snapToGrid w:val="0"/>
                      <w:color w:val="000000"/>
                      <w:kern w:val="0"/>
                      <w:sz w:val="21"/>
                      <w:szCs w:val="21"/>
                      <w:highlight w:val="none"/>
                    </w:rPr>
                    <w:t>2类标准</w:t>
                  </w:r>
                </w:p>
              </w:tc>
              <w:tc>
                <w:tcPr>
                  <w:tcW w:w="2694" w:type="dxa"/>
                  <w:noWrap w:val="0"/>
                  <w:vAlign w:val="center"/>
                </w:tcPr>
                <w:p>
                  <w:pPr>
                    <w:jc w:val="center"/>
                    <w:rPr>
                      <w:rFonts w:hint="default" w:ascii="Times New Roman" w:hAnsi="Times New Roman" w:cs="Times New Roman"/>
                      <w:snapToGrid w:val="0"/>
                      <w:color w:val="000000"/>
                      <w:kern w:val="0"/>
                      <w:sz w:val="21"/>
                      <w:szCs w:val="21"/>
                      <w:highlight w:val="none"/>
                    </w:rPr>
                  </w:pPr>
                  <w:r>
                    <w:rPr>
                      <w:rFonts w:hint="default" w:ascii="Times New Roman" w:hAnsi="Times New Roman" w:cs="Times New Roman"/>
                      <w:snapToGrid w:val="0"/>
                      <w:color w:val="000000"/>
                      <w:kern w:val="0"/>
                      <w:sz w:val="21"/>
                      <w:szCs w:val="21"/>
                      <w:highlight w:val="none"/>
                    </w:rPr>
                    <w:t>60</w:t>
                  </w:r>
                </w:p>
              </w:tc>
              <w:tc>
                <w:tcPr>
                  <w:tcW w:w="2736" w:type="dxa"/>
                  <w:noWrap w:val="0"/>
                  <w:vAlign w:val="center"/>
                </w:tcPr>
                <w:p>
                  <w:pPr>
                    <w:jc w:val="center"/>
                    <w:rPr>
                      <w:rFonts w:hint="default" w:ascii="Times New Roman" w:hAnsi="Times New Roman" w:cs="Times New Roman"/>
                      <w:snapToGrid w:val="0"/>
                      <w:color w:val="000000"/>
                      <w:kern w:val="0"/>
                      <w:sz w:val="21"/>
                      <w:szCs w:val="21"/>
                      <w:highlight w:val="none"/>
                    </w:rPr>
                  </w:pPr>
                  <w:r>
                    <w:rPr>
                      <w:rFonts w:hint="default" w:ascii="Times New Roman" w:hAnsi="Times New Roman" w:cs="Times New Roman"/>
                      <w:snapToGrid w:val="0"/>
                      <w:color w:val="000000"/>
                      <w:kern w:val="0"/>
                      <w:sz w:val="21"/>
                      <w:szCs w:val="21"/>
                      <w:highlight w:val="none"/>
                    </w:rPr>
                    <w:t>50</w:t>
                  </w:r>
                </w:p>
              </w:tc>
            </w:tr>
          </w:tbl>
          <w:p>
            <w:pPr>
              <w:spacing w:line="324" w:lineRule="auto"/>
              <w:ind w:firstLine="522" w:firstLineChars="200"/>
              <w:rPr>
                <w:rFonts w:hint="default" w:ascii="Times New Roman" w:hAnsi="Times New Roman" w:cs="Times New Roman"/>
                <w:b/>
                <w:color w:val="000000"/>
                <w:spacing w:val="10"/>
                <w:kern w:val="0"/>
                <w:sz w:val="24"/>
                <w:szCs w:val="24"/>
                <w:highlight w:val="none"/>
              </w:rPr>
            </w:pPr>
            <w:r>
              <w:rPr>
                <w:rFonts w:hint="default" w:ascii="Times New Roman" w:hAnsi="Times New Roman" w:cs="Times New Roman"/>
                <w:b/>
                <w:color w:val="000000"/>
                <w:spacing w:val="10"/>
                <w:kern w:val="0"/>
                <w:sz w:val="24"/>
                <w:szCs w:val="24"/>
                <w:highlight w:val="none"/>
                <w:lang w:val="en-US" w:eastAsia="zh-CN"/>
              </w:rPr>
              <w:t>3、</w:t>
            </w:r>
            <w:r>
              <w:rPr>
                <w:rFonts w:hint="default" w:ascii="Times New Roman" w:hAnsi="Times New Roman" w:cs="Times New Roman"/>
                <w:b/>
                <w:color w:val="000000"/>
                <w:spacing w:val="10"/>
                <w:kern w:val="0"/>
                <w:sz w:val="24"/>
                <w:szCs w:val="24"/>
                <w:highlight w:val="none"/>
              </w:rPr>
              <w:t>固体废物</w:t>
            </w:r>
          </w:p>
          <w:p>
            <w:pPr>
              <w:snapToGrid w:val="0"/>
              <w:spacing w:line="360" w:lineRule="auto"/>
              <w:ind w:firstLine="480" w:firstLineChars="200"/>
              <w:rPr>
                <w:rFonts w:hint="eastAsia"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rPr>
              <w:t>一般固体废物执行</w:t>
            </w:r>
            <w:r>
              <w:rPr>
                <w:rFonts w:hint="default" w:ascii="Times New Roman" w:hAnsi="Times New Roman" w:cs="Times New Roman"/>
                <w:sz w:val="24"/>
                <w:szCs w:val="24"/>
                <w:highlight w:val="none"/>
              </w:rPr>
              <w:t>《一般工业固体废物贮存和填埋污染控制标准》(GB18599-2020)，</w:t>
            </w:r>
            <w:r>
              <w:rPr>
                <w:rFonts w:hint="default" w:ascii="Times New Roman" w:hAnsi="Times New Roman" w:cs="Times New Roman"/>
                <w:color w:val="000000"/>
                <w:sz w:val="24"/>
                <w:szCs w:val="24"/>
                <w:highlight w:val="none"/>
              </w:rPr>
              <w:t>危险废物执行《危险废物贮存污染物控制标准》（GB18597-2001）及修改单要求</w:t>
            </w:r>
            <w:r>
              <w:rPr>
                <w:rFonts w:hint="eastAsia" w:cs="Times New Roman"/>
                <w:color w:val="000000"/>
                <w:sz w:val="24"/>
                <w:szCs w:val="24"/>
                <w:highlight w:val="none"/>
                <w:lang w:eastAsia="zh-CN"/>
              </w:rPr>
              <w:t>。</w:t>
            </w:r>
          </w:p>
          <w:p>
            <w:pPr>
              <w:snapToGrid w:val="0"/>
              <w:spacing w:line="360" w:lineRule="auto"/>
              <w:ind w:firstLine="480" w:firstLineChars="200"/>
              <w:rPr>
                <w:rFonts w:hint="default" w:ascii="Times New Roman" w:hAnsi="Times New Roman" w:cs="Times New Roman"/>
                <w:color w:val="000000"/>
                <w:sz w:val="24"/>
                <w:szCs w:val="24"/>
                <w:highlight w:val="none"/>
              </w:rPr>
            </w:pPr>
          </w:p>
          <w:p>
            <w:pPr>
              <w:snapToGrid w:val="0"/>
              <w:spacing w:line="360" w:lineRule="auto"/>
              <w:ind w:firstLine="480" w:firstLineChars="200"/>
              <w:rPr>
                <w:rFonts w:hint="default" w:ascii="Times New Roman" w:hAnsi="Times New Roman" w:cs="Times New Roman"/>
                <w:color w:val="000000"/>
                <w:sz w:val="24"/>
                <w:szCs w:val="24"/>
                <w:highlight w:val="none"/>
              </w:rPr>
            </w:pPr>
          </w:p>
          <w:p>
            <w:pPr>
              <w:snapToGrid w:val="0"/>
              <w:spacing w:line="360" w:lineRule="auto"/>
              <w:ind w:firstLine="480" w:firstLineChars="200"/>
              <w:rPr>
                <w:rFonts w:hint="default" w:ascii="Times New Roman" w:hAnsi="Times New Roman" w:cs="Times New Roman"/>
                <w:color w:val="000000"/>
                <w:sz w:val="24"/>
                <w:szCs w:val="24"/>
                <w:highlight w:val="none"/>
              </w:rPr>
            </w:pPr>
          </w:p>
          <w:p>
            <w:pPr>
              <w:snapToGrid w:val="0"/>
              <w:spacing w:line="360" w:lineRule="auto"/>
              <w:ind w:firstLine="480" w:firstLineChars="200"/>
              <w:rPr>
                <w:rFonts w:hint="default" w:ascii="Times New Roman" w:hAnsi="Times New Roman" w:cs="Times New Roman"/>
                <w:color w:val="000000"/>
                <w:sz w:val="24"/>
                <w:szCs w:val="24"/>
                <w:highlight w:val="none"/>
              </w:rPr>
            </w:pPr>
          </w:p>
          <w:p>
            <w:pPr>
              <w:snapToGrid w:val="0"/>
              <w:spacing w:line="360" w:lineRule="auto"/>
              <w:ind w:firstLine="480" w:firstLineChars="200"/>
              <w:rPr>
                <w:rFonts w:hint="default" w:ascii="Times New Roman" w:hAnsi="Times New Roman" w:cs="Times New Roman"/>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83" w:type="dxa"/>
            <w:noWrap w:val="0"/>
            <w:vAlign w:val="center"/>
          </w:tcPr>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总量</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控制</w:t>
            </w:r>
          </w:p>
          <w:p>
            <w:pPr>
              <w:adjustRightInd w:val="0"/>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指标</w:t>
            </w:r>
          </w:p>
        </w:tc>
        <w:tc>
          <w:tcPr>
            <w:tcW w:w="8382" w:type="dxa"/>
            <w:noWrap w:val="0"/>
            <w:vAlign w:val="center"/>
          </w:tcPr>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1、与排污许可制度的衔接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根据《固定污染源排污许可分类管理名录》（2019 年版），本项目</w:t>
            </w:r>
            <w:r>
              <w:rPr>
                <w:rFonts w:hint="default" w:ascii="Times New Roman" w:hAnsi="Times New Roman" w:cs="Times New Roman"/>
                <w:sz w:val="24"/>
                <w:szCs w:val="24"/>
                <w:highlight w:val="none"/>
                <w:lang w:val="en-US" w:eastAsia="zh-CN"/>
              </w:rPr>
              <w:t>行业为</w:t>
            </w:r>
            <w:r>
              <w:rPr>
                <w:rFonts w:hint="default" w:ascii="Times New Roman" w:hAnsi="Times New Roman" w:eastAsia="宋体" w:cs="Times New Roman"/>
                <w:color w:val="auto"/>
                <w:sz w:val="24"/>
                <w:szCs w:val="24"/>
                <w:highlight w:val="none"/>
                <w:lang w:val="en-US" w:eastAsia="zh-CN"/>
              </w:rPr>
              <w:t>C2921塑料薄膜制造</w:t>
            </w:r>
            <w:r>
              <w:rPr>
                <w:rFonts w:hint="eastAsia" w:cs="Times New Roman"/>
                <w:sz w:val="24"/>
                <w:szCs w:val="24"/>
                <w:highlight w:val="none"/>
                <w:lang w:eastAsia="zh-CN"/>
              </w:rPr>
              <w:t>，</w:t>
            </w:r>
            <w:r>
              <w:rPr>
                <w:rFonts w:hint="default" w:ascii="Times New Roman" w:hAnsi="Times New Roman" w:cs="Times New Roman"/>
                <w:sz w:val="24"/>
                <w:szCs w:val="24"/>
                <w:highlight w:val="none"/>
              </w:rPr>
              <w:t>属于</w:t>
            </w:r>
            <w:r>
              <w:rPr>
                <w:rFonts w:hint="eastAsia" w:cs="Times New Roman"/>
                <w:sz w:val="24"/>
                <w:szCs w:val="24"/>
                <w:highlight w:val="none"/>
                <w:lang w:eastAsia="zh-CN"/>
              </w:rPr>
              <w:t>：塑料制品业 292</w:t>
            </w:r>
            <w:r>
              <w:rPr>
                <w:rFonts w:hint="eastAsia" w:cs="Times New Roman"/>
                <w:sz w:val="24"/>
                <w:szCs w:val="24"/>
                <w:highlight w:val="none"/>
                <w:lang w:val="en-US" w:eastAsia="zh-CN"/>
              </w:rPr>
              <w:t>-</w:t>
            </w:r>
            <w:r>
              <w:rPr>
                <w:rFonts w:hint="eastAsia" w:cs="Times New Roman"/>
                <w:b/>
                <w:bCs/>
                <w:sz w:val="24"/>
                <w:szCs w:val="24"/>
                <w:highlight w:val="none"/>
                <w:lang w:eastAsia="zh-CN"/>
              </w:rPr>
              <w:t>年</w:t>
            </w:r>
            <w:r>
              <w:rPr>
                <w:rFonts w:hint="default" w:ascii="Times New Roman" w:hAnsi="Times New Roman" w:cs="Times New Roman"/>
                <w:b/>
                <w:bCs/>
                <w:sz w:val="24"/>
                <w:szCs w:val="24"/>
                <w:highlight w:val="none"/>
              </w:rPr>
              <w:t>产量</w:t>
            </w:r>
            <w:r>
              <w:rPr>
                <w:rFonts w:hint="eastAsia" w:cs="Times New Roman"/>
                <w:b/>
                <w:bCs/>
                <w:sz w:val="24"/>
                <w:szCs w:val="24"/>
                <w:highlight w:val="none"/>
                <w:lang w:eastAsia="zh-CN"/>
              </w:rPr>
              <w:t>在</w:t>
            </w:r>
            <w:r>
              <w:rPr>
                <w:rFonts w:hint="default" w:ascii="Times New Roman" w:hAnsi="Times New Roman" w:cs="Times New Roman"/>
                <w:b/>
                <w:bCs/>
                <w:sz w:val="24"/>
                <w:szCs w:val="24"/>
                <w:highlight w:val="none"/>
              </w:rPr>
              <w:t>1万吨</w:t>
            </w:r>
            <w:r>
              <w:rPr>
                <w:rFonts w:hint="eastAsia" w:cs="Times New Roman"/>
                <w:b/>
                <w:bCs/>
                <w:sz w:val="24"/>
                <w:szCs w:val="24"/>
                <w:highlight w:val="none"/>
                <w:lang w:eastAsia="zh-CN"/>
              </w:rPr>
              <w:t>以下的塑料薄膜</w:t>
            </w:r>
            <w:r>
              <w:rPr>
                <w:rFonts w:hint="default" w:ascii="Times New Roman" w:hAnsi="Times New Roman" w:cs="Times New Roman"/>
                <w:sz w:val="24"/>
                <w:szCs w:val="24"/>
                <w:highlight w:val="none"/>
              </w:rPr>
              <w:t>，</w:t>
            </w:r>
            <w:r>
              <w:rPr>
                <w:rFonts w:hint="eastAsia" w:cs="Times New Roman"/>
                <w:sz w:val="24"/>
                <w:szCs w:val="24"/>
                <w:highlight w:val="none"/>
                <w:lang w:eastAsia="zh-CN"/>
              </w:rPr>
              <w:t>本项目产量为工业薄膜</w:t>
            </w:r>
            <w:r>
              <w:rPr>
                <w:rFonts w:hint="eastAsia" w:cs="Times New Roman"/>
                <w:sz w:val="24"/>
                <w:szCs w:val="24"/>
                <w:highlight w:val="none"/>
                <w:lang w:val="en-US" w:eastAsia="zh-CN"/>
              </w:rPr>
              <w:t>3000t/a，</w:t>
            </w:r>
            <w:r>
              <w:rPr>
                <w:rFonts w:hint="default" w:ascii="Times New Roman" w:hAnsi="Times New Roman" w:cs="Times New Roman"/>
                <w:sz w:val="24"/>
                <w:szCs w:val="24"/>
                <w:highlight w:val="none"/>
              </w:rPr>
              <w:t>实行</w:t>
            </w:r>
            <w:r>
              <w:rPr>
                <w:rFonts w:hint="eastAsia" w:cs="Times New Roman"/>
                <w:sz w:val="24"/>
                <w:szCs w:val="24"/>
                <w:highlight w:val="none"/>
                <w:lang w:val="en-US" w:eastAsia="zh-CN"/>
              </w:rPr>
              <w:t>登记</w:t>
            </w:r>
            <w:r>
              <w:rPr>
                <w:rFonts w:hint="default" w:ascii="Times New Roman" w:hAnsi="Times New Roman" w:cs="Times New Roman"/>
                <w:sz w:val="24"/>
                <w:szCs w:val="24"/>
                <w:highlight w:val="none"/>
              </w:rPr>
              <w:t>管理。</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2、总量控制对象</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山东省生态环境厅《山东省建设项目主要大气污染物排放总量替代指标核算及管理办法》（鲁环发[2019]132号），总量指标审核的主要污染物：化学需氧量、氨氮、二氧化硫、氮氧化物、工业烟（粉）尘和挥发性有机物。与本项目有关的总量控制项目为</w:t>
            </w:r>
            <w:r>
              <w:rPr>
                <w:rFonts w:hint="default" w:ascii="Times New Roman" w:hAnsi="Times New Roman" w:cs="Times New Roman"/>
                <w:sz w:val="24"/>
                <w:szCs w:val="24"/>
                <w:highlight w:val="none"/>
                <w:lang w:val="en-US" w:eastAsia="zh-CN"/>
              </w:rPr>
              <w:t>VOCs</w:t>
            </w:r>
            <w:r>
              <w:rPr>
                <w:rFonts w:hint="default" w:ascii="Times New Roman" w:hAnsi="Times New Roman" w:cs="Times New Roman"/>
                <w:sz w:val="24"/>
                <w:szCs w:val="24"/>
                <w:highlight w:val="none"/>
              </w:rPr>
              <w:t>。</w:t>
            </w:r>
          </w:p>
          <w:p>
            <w:pPr>
              <w:spacing w:line="360" w:lineRule="auto"/>
              <w:ind w:firstLine="480" w:firstLineChars="20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rPr>
              <w:t>3、总量指标申</w:t>
            </w:r>
            <w:r>
              <w:rPr>
                <w:rFonts w:hint="default" w:ascii="Times New Roman" w:hAnsi="Times New Roman" w:cs="Times New Roman"/>
                <w:sz w:val="24"/>
                <w:szCs w:val="24"/>
                <w:highlight w:val="none"/>
                <w:lang w:eastAsia="zh-CN"/>
              </w:rPr>
              <w:t>请</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根据分析，本项目</w:t>
            </w:r>
            <w:r>
              <w:rPr>
                <w:rFonts w:hint="default" w:ascii="Times New Roman" w:hAnsi="Times New Roman" w:cs="Times New Roman"/>
                <w:color w:val="auto"/>
                <w:sz w:val="24"/>
                <w:szCs w:val="24"/>
                <w:highlight w:val="none"/>
                <w:lang w:val="en-US" w:eastAsia="zh-CN"/>
              </w:rPr>
              <w:t>VOCs</w:t>
            </w:r>
            <w:r>
              <w:rPr>
                <w:rFonts w:hint="default" w:ascii="Times New Roman" w:hAnsi="Times New Roman" w:cs="Times New Roman"/>
                <w:color w:val="auto"/>
                <w:sz w:val="24"/>
                <w:szCs w:val="24"/>
                <w:highlight w:val="none"/>
              </w:rPr>
              <w:t>排放量为</w:t>
            </w:r>
            <w:r>
              <w:rPr>
                <w:rFonts w:hint="eastAsia" w:cs="Times New Roman"/>
                <w:color w:val="auto"/>
                <w:sz w:val="24"/>
                <w:szCs w:val="24"/>
                <w:highlight w:val="none"/>
                <w:lang w:val="en-US" w:eastAsia="zh-CN"/>
              </w:rPr>
              <w:t>0.12</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sz w:val="24"/>
                <w:szCs w:val="24"/>
                <w:highlight w:val="none"/>
                <w:lang w:eastAsia="zh-CN"/>
              </w:rPr>
              <w:t>，需申请总量指标</w:t>
            </w:r>
            <w:r>
              <w:rPr>
                <w:rFonts w:hint="default" w:ascii="Times New Roman" w:hAnsi="Times New Roman" w:cs="Times New Roman"/>
                <w:color w:val="auto"/>
                <w:sz w:val="24"/>
                <w:szCs w:val="24"/>
                <w:highlight w:val="none"/>
              </w:rPr>
              <w:t>。</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4、倍量替代</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根据《山东省建设项目主要大气污染物排放总量替代指标核算及管理办法》（鲁环发[2019]132号）和《关于统筹使用“十四五”建设项目主要大气污染物总量指标的通知》（淄环函[2021]55号）文件要求进行替代，</w:t>
            </w:r>
            <w:r>
              <w:rPr>
                <w:rFonts w:hint="default" w:ascii="Times New Roman" w:hAnsi="Times New Roman" w:cs="Times New Roman"/>
                <w:color w:val="auto"/>
                <w:sz w:val="24"/>
                <w:szCs w:val="24"/>
                <w:highlight w:val="none"/>
                <w:lang w:val="en-US" w:eastAsia="zh-CN"/>
              </w:rPr>
              <w:t>VOCs</w:t>
            </w:r>
            <w:r>
              <w:rPr>
                <w:rFonts w:hint="default" w:ascii="Times New Roman" w:hAnsi="Times New Roman" w:cs="Times New Roman"/>
                <w:color w:val="auto"/>
                <w:sz w:val="24"/>
                <w:szCs w:val="24"/>
                <w:highlight w:val="none"/>
              </w:rPr>
              <w:t>需2倍削减替代。</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污染物排放总量指标2倍削减替代</w:t>
            </w:r>
            <w:r>
              <w:rPr>
                <w:rFonts w:hint="default" w:ascii="Times New Roman" w:hAnsi="Times New Roman" w:cs="Times New Roman"/>
                <w:color w:val="auto"/>
                <w:sz w:val="24"/>
                <w:szCs w:val="24"/>
                <w:highlight w:val="none"/>
                <w:lang w:val="en-US" w:eastAsia="zh-CN"/>
              </w:rPr>
              <w:t>量</w:t>
            </w:r>
            <w:r>
              <w:rPr>
                <w:rFonts w:hint="default" w:ascii="Times New Roman" w:hAnsi="Times New Roman" w:cs="Times New Roman"/>
                <w:color w:val="auto"/>
                <w:sz w:val="24"/>
                <w:szCs w:val="24"/>
                <w:highlight w:val="none"/>
              </w:rPr>
              <w:t>为：VOCs</w:t>
            </w:r>
            <w:r>
              <w:rPr>
                <w:rFonts w:hint="eastAsia" w:cs="Times New Roman"/>
                <w:color w:val="auto"/>
                <w:sz w:val="24"/>
                <w:szCs w:val="24"/>
                <w:highlight w:val="none"/>
                <w:lang w:val="en-US" w:eastAsia="zh-CN"/>
              </w:rPr>
              <w:t>0.24</w:t>
            </w:r>
            <w:r>
              <w:rPr>
                <w:rFonts w:hint="default" w:ascii="Times New Roman" w:hAnsi="Times New Roman" w:cs="Times New Roman"/>
                <w:color w:val="auto"/>
                <w:sz w:val="24"/>
                <w:szCs w:val="24"/>
                <w:highlight w:val="none"/>
              </w:rPr>
              <w:t>t/a。</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val="en-US" w:eastAsia="zh-CN"/>
              </w:rPr>
              <w:t>无</w:t>
            </w:r>
            <w:r>
              <w:rPr>
                <w:rFonts w:hint="default" w:ascii="Times New Roman" w:hAnsi="Times New Roman" w:cs="Times New Roman"/>
                <w:color w:val="auto"/>
                <w:sz w:val="24"/>
                <w:szCs w:val="24"/>
                <w:highlight w:val="none"/>
              </w:rPr>
              <w:t>废水排放，不需要申请COD、氨氮总量指标。</w:t>
            </w:r>
          </w:p>
          <w:p>
            <w:pPr>
              <w:pStyle w:val="2"/>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p>
            <w:pPr>
              <w:pStyle w:val="2"/>
              <w:rPr>
                <w:rFonts w:hint="default" w:ascii="Times New Roman" w:hAnsi="Times New Roman" w:cs="Times New Roman"/>
                <w:color w:val="auto"/>
                <w:sz w:val="24"/>
                <w:szCs w:val="24"/>
                <w:highlight w:val="none"/>
                <w:lang w:val="en-US" w:eastAsia="zh-CN"/>
              </w:rPr>
            </w:pPr>
          </w:p>
        </w:tc>
      </w:tr>
    </w:tbl>
    <w:p>
      <w:pPr>
        <w:pStyle w:val="19"/>
        <w:jc w:val="center"/>
        <w:outlineLvl w:val="0"/>
        <w:rPr>
          <w:rFonts w:hint="default" w:ascii="Times New Roman" w:hAnsi="Times New Roman" w:eastAsia="黑体" w:cs="Times New Roman"/>
          <w:snapToGrid w:val="0"/>
          <w:sz w:val="30"/>
          <w:szCs w:val="30"/>
          <w:highlight w:val="none"/>
        </w:rPr>
      </w:pPr>
      <w:r>
        <w:rPr>
          <w:rFonts w:hint="default" w:ascii="Times New Roman" w:hAnsi="Times New Roman" w:eastAsia="黑体" w:cs="Times New Roman"/>
          <w:snapToGrid w:val="0"/>
          <w:sz w:val="36"/>
          <w:szCs w:val="36"/>
          <w:highlight w:val="none"/>
        </w:rPr>
        <w:br w:type="page"/>
      </w:r>
      <w:r>
        <w:rPr>
          <w:rFonts w:hint="default" w:ascii="Times New Roman" w:hAnsi="Times New Roman" w:eastAsia="黑体" w:cs="Times New Roman"/>
          <w:snapToGrid w:val="0"/>
          <w:sz w:val="30"/>
          <w:szCs w:val="30"/>
          <w:highlight w:val="none"/>
        </w:rPr>
        <w:t>四、主要环境影响和保护措施</w:t>
      </w:r>
    </w:p>
    <w:tbl>
      <w:tblPr>
        <w:tblStyle w:val="23"/>
        <w:tblW w:w="93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8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9" w:hRule="atLeast"/>
          <w:jc w:val="center"/>
        </w:trPr>
        <w:tc>
          <w:tcPr>
            <w:tcW w:w="435"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施工</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期环</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境保</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护措</w:t>
            </w:r>
          </w:p>
          <w:p>
            <w:pPr>
              <w:pStyle w:val="19"/>
              <w:adjustRightInd w:val="0"/>
              <w:snapToGrid w:val="0"/>
              <w:spacing w:before="0" w:beforeAutospacing="0" w:after="0" w:afterAutospacing="0"/>
              <w:jc w:val="center"/>
              <w:rPr>
                <w:rFonts w:hint="default" w:ascii="Times New Roman" w:hAnsi="Times New Roman" w:cs="Times New Roman"/>
                <w:bCs/>
                <w:kern w:val="2"/>
                <w:sz w:val="24"/>
                <w:szCs w:val="24"/>
                <w:highlight w:val="none"/>
              </w:rPr>
            </w:pPr>
            <w:r>
              <w:rPr>
                <w:rFonts w:hint="default" w:ascii="Times New Roman" w:hAnsi="Times New Roman" w:cs="Times New Roman"/>
                <w:kern w:val="2"/>
                <w:sz w:val="24"/>
                <w:szCs w:val="24"/>
                <w:highlight w:val="none"/>
              </w:rPr>
              <w:t>施</w:t>
            </w:r>
          </w:p>
        </w:tc>
        <w:tc>
          <w:tcPr>
            <w:tcW w:w="8908" w:type="dxa"/>
            <w:noWrap w:val="0"/>
            <w:vAlign w:val="center"/>
          </w:tcPr>
          <w:p>
            <w:pPr>
              <w:snapToGrid w:val="0"/>
              <w:spacing w:line="360" w:lineRule="auto"/>
              <w:ind w:firstLine="480" w:firstLineChars="200"/>
              <w:rPr>
                <w:color w:val="000000"/>
                <w:sz w:val="24"/>
                <w:highlight w:val="none"/>
              </w:rPr>
            </w:pPr>
            <w:r>
              <w:rPr>
                <w:color w:val="000000"/>
                <w:sz w:val="24"/>
                <w:highlight w:val="none"/>
              </w:rPr>
              <w:t>本项目租赁已建成的厂房进行建设，施工期不存在土建施工，仅为设备的安装与调试，故本次环评对施工期影响不予分析。</w:t>
            </w:r>
          </w:p>
          <w:p>
            <w:pPr>
              <w:snapToGrid w:val="0"/>
              <w:spacing w:line="360" w:lineRule="auto"/>
              <w:ind w:firstLine="480" w:firstLineChars="200"/>
              <w:rPr>
                <w:rFonts w:hint="default" w:ascii="Times New Roman" w:hAnsi="Times New Roman" w:cs="Times New Roman"/>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435"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运营</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期环</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境影</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响和</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保护</w:t>
            </w:r>
          </w:p>
          <w:p>
            <w:pPr>
              <w:pStyle w:val="19"/>
              <w:adjustRightInd w:val="0"/>
              <w:snapToGrid w:val="0"/>
              <w:spacing w:before="0" w:beforeAutospacing="0" w:after="0" w:afterAutospacing="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措施</w:t>
            </w:r>
          </w:p>
        </w:tc>
        <w:tc>
          <w:tcPr>
            <w:tcW w:w="8908" w:type="dxa"/>
            <w:noWrap w:val="0"/>
            <w:vAlign w:val="top"/>
          </w:tcPr>
          <w:p>
            <w:pPr>
              <w:numPr>
                <w:ilvl w:val="0"/>
                <w:numId w:val="0"/>
              </w:numPr>
              <w:snapToGrid w:val="0"/>
              <w:spacing w:line="360" w:lineRule="auto"/>
              <w:rPr>
                <w:rFonts w:hint="default"/>
                <w:b/>
                <w:bCs/>
                <w:sz w:val="24"/>
                <w:szCs w:val="24"/>
                <w:highlight w:val="none"/>
                <w:lang w:val="en-US" w:eastAsia="zh-CN"/>
              </w:rPr>
            </w:pPr>
            <w:r>
              <w:rPr>
                <w:rFonts w:hint="eastAsia"/>
                <w:b/>
                <w:bCs/>
                <w:sz w:val="24"/>
                <w:szCs w:val="24"/>
                <w:highlight w:val="none"/>
                <w:lang w:val="en-US" w:eastAsia="zh-CN"/>
              </w:rPr>
              <w:t>1.废气</w:t>
            </w:r>
          </w:p>
          <w:p>
            <w:pPr>
              <w:numPr>
                <w:ilvl w:val="0"/>
                <w:numId w:val="0"/>
              </w:numPr>
              <w:snapToGrid w:val="0"/>
              <w:spacing w:line="360" w:lineRule="auto"/>
              <w:rPr>
                <w:rFonts w:hint="default"/>
                <w:b/>
                <w:bCs/>
                <w:sz w:val="24"/>
                <w:szCs w:val="24"/>
                <w:highlight w:val="none"/>
              </w:rPr>
            </w:pPr>
            <w:r>
              <w:rPr>
                <w:rFonts w:hint="eastAsia"/>
                <w:b/>
                <w:bCs/>
                <w:sz w:val="24"/>
                <w:szCs w:val="24"/>
                <w:highlight w:val="none"/>
                <w:lang w:val="en-US" w:eastAsia="zh-CN"/>
              </w:rPr>
              <w:t>1.1</w:t>
            </w:r>
            <w:r>
              <w:rPr>
                <w:rFonts w:hint="default"/>
                <w:b/>
                <w:bCs/>
                <w:sz w:val="24"/>
                <w:szCs w:val="24"/>
                <w:highlight w:val="none"/>
              </w:rPr>
              <w:t>废气源强估算</w:t>
            </w:r>
          </w:p>
          <w:p>
            <w:pPr>
              <w:pStyle w:val="2"/>
              <w:rPr>
                <w:rFonts w:hint="default"/>
                <w:sz w:val="24"/>
                <w:szCs w:val="24"/>
                <w:highlight w:val="none"/>
              </w:rPr>
            </w:pPr>
          </w:p>
        </w:tc>
      </w:tr>
    </w:tbl>
    <w:p>
      <w:pPr>
        <w:pStyle w:val="19"/>
        <w:jc w:val="center"/>
        <w:outlineLvl w:val="0"/>
        <w:rPr>
          <w:rFonts w:hint="default" w:ascii="Times New Roman" w:hAnsi="Times New Roman" w:eastAsia="黑体" w:cs="Times New Roman"/>
          <w:snapToGrid w:val="0"/>
          <w:sz w:val="30"/>
          <w:szCs w:val="30"/>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6" w:hRule="atLeast"/>
        </w:trPr>
        <w:tc>
          <w:tcPr>
            <w:tcW w:w="5000" w:type="pct"/>
            <w:noWrap w:val="0"/>
            <w:vAlign w:val="center"/>
          </w:tcPr>
          <w:p>
            <w:pPr>
              <w:autoSpaceDE w:val="0"/>
              <w:autoSpaceDN w:val="0"/>
              <w:adjustRightInd w:val="0"/>
              <w:jc w:val="center"/>
              <w:rPr>
                <w:rFonts w:hint="default" w:ascii="Times New Roman" w:hAnsi="Times New Roman" w:cs="Times New Roman"/>
                <w:b/>
                <w:snapToGrid w:val="0"/>
                <w:color w:val="000000"/>
                <w:kern w:val="0"/>
                <w:sz w:val="21"/>
                <w:szCs w:val="21"/>
                <w:highlight w:val="none"/>
              </w:rPr>
            </w:pPr>
            <w:r>
              <w:rPr>
                <w:rFonts w:hint="default" w:ascii="Times New Roman" w:hAnsi="Times New Roman" w:cs="Times New Roman"/>
                <w:b/>
                <w:snapToGrid w:val="0"/>
                <w:color w:val="000000"/>
                <w:kern w:val="0"/>
                <w:sz w:val="21"/>
                <w:szCs w:val="21"/>
                <w:highlight w:val="none"/>
              </w:rPr>
              <w:t>表4-</w:t>
            </w:r>
            <w:r>
              <w:rPr>
                <w:rFonts w:hint="default" w:ascii="Times New Roman" w:hAnsi="Times New Roman" w:eastAsia="宋体" w:cs="Times New Roman"/>
                <w:b/>
                <w:snapToGrid w:val="0"/>
                <w:color w:val="000000"/>
                <w:kern w:val="0"/>
                <w:sz w:val="21"/>
                <w:szCs w:val="21"/>
                <w:highlight w:val="none"/>
              </w:rPr>
              <w:t>1</w:t>
            </w:r>
            <w:r>
              <w:rPr>
                <w:rFonts w:hint="default" w:ascii="Times New Roman" w:hAnsi="Times New Roman" w:cs="Times New Roman"/>
                <w:b/>
                <w:snapToGrid w:val="0"/>
                <w:color w:val="000000"/>
                <w:kern w:val="0"/>
                <w:sz w:val="21"/>
                <w:szCs w:val="21"/>
                <w:highlight w:val="none"/>
              </w:rPr>
              <w:t xml:space="preserve">  有组织废气污染物排放源强核算结果一览表</w:t>
            </w:r>
          </w:p>
          <w:tbl>
            <w:tblPr>
              <w:tblStyle w:val="23"/>
              <w:tblW w:w="14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00"/>
              <w:gridCol w:w="566"/>
              <w:gridCol w:w="704"/>
              <w:gridCol w:w="718"/>
              <w:gridCol w:w="636"/>
              <w:gridCol w:w="557"/>
              <w:gridCol w:w="394"/>
              <w:gridCol w:w="408"/>
              <w:gridCol w:w="712"/>
              <w:gridCol w:w="709"/>
              <w:gridCol w:w="723"/>
              <w:gridCol w:w="744"/>
              <w:gridCol w:w="394"/>
              <w:gridCol w:w="394"/>
              <w:gridCol w:w="1246"/>
              <w:gridCol w:w="394"/>
              <w:gridCol w:w="508"/>
              <w:gridCol w:w="578"/>
              <w:gridCol w:w="575"/>
              <w:gridCol w:w="674"/>
              <w:gridCol w:w="694"/>
              <w:gridCol w:w="537"/>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8" w:type="pct"/>
                  <w:vMerge w:val="restar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产污环节</w:t>
                  </w:r>
                </w:p>
              </w:tc>
              <w:tc>
                <w:tcPr>
                  <w:tcW w:w="171" w:type="pct"/>
                  <w:vMerge w:val="restar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污染物种类</w:t>
                  </w:r>
                </w:p>
              </w:tc>
              <w:tc>
                <w:tcPr>
                  <w:tcW w:w="682" w:type="pct"/>
                  <w:gridSpan w:val="3"/>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污染物产生情况</w:t>
                  </w:r>
                </w:p>
              </w:tc>
              <w:tc>
                <w:tcPr>
                  <w:tcW w:w="684" w:type="pct"/>
                  <w:gridSpan w:val="4"/>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治理设施</w:t>
                  </w:r>
                </w:p>
              </w:tc>
              <w:tc>
                <w:tcPr>
                  <w:tcW w:w="735" w:type="pct"/>
                  <w:gridSpan w:val="3"/>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污染物排放情况</w:t>
                  </w:r>
                </w:p>
              </w:tc>
              <w:tc>
                <w:tcPr>
                  <w:tcW w:w="1889" w:type="pct"/>
                  <w:gridSpan w:val="9"/>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排放口</w:t>
                  </w:r>
                </w:p>
              </w:tc>
              <w:tc>
                <w:tcPr>
                  <w:tcW w:w="422" w:type="pct"/>
                  <w:gridSpan w:val="2"/>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排放标准</w:t>
                  </w:r>
                </w:p>
              </w:tc>
              <w:tc>
                <w:tcPr>
                  <w:tcW w:w="135" w:type="pct"/>
                  <w:vMerge w:val="restar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8" w:type="pct"/>
                  <w:vMerge w:val="continue"/>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p>
              </w:tc>
              <w:tc>
                <w:tcPr>
                  <w:tcW w:w="171" w:type="pct"/>
                  <w:vMerge w:val="continue"/>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p>
              </w:tc>
              <w:tc>
                <w:tcPr>
                  <w:tcW w:w="194"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产生浓度mg/m</w:t>
                  </w:r>
                  <w:r>
                    <w:rPr>
                      <w:rFonts w:hint="default" w:ascii="Times New Roman" w:hAnsi="Times New Roman" w:cs="Times New Roman"/>
                      <w:kern w:val="0"/>
                      <w:sz w:val="21"/>
                      <w:szCs w:val="21"/>
                      <w:highlight w:val="none"/>
                      <w:vertAlign w:val="superscript"/>
                    </w:rPr>
                    <w:t>3</w:t>
                  </w:r>
                </w:p>
              </w:tc>
              <w:tc>
                <w:tcPr>
                  <w:tcW w:w="241"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产生速率kg/h</w:t>
                  </w:r>
                </w:p>
              </w:tc>
              <w:tc>
                <w:tcPr>
                  <w:tcW w:w="246"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产生量t/a</w:t>
                  </w:r>
                </w:p>
              </w:tc>
              <w:tc>
                <w:tcPr>
                  <w:tcW w:w="218"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收集效率%</w:t>
                  </w:r>
                </w:p>
              </w:tc>
              <w:tc>
                <w:tcPr>
                  <w:tcW w:w="191"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治理设施</w:t>
                  </w:r>
                </w:p>
              </w:tc>
              <w:tc>
                <w:tcPr>
                  <w:tcW w:w="135"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处理效率%</w:t>
                  </w:r>
                </w:p>
              </w:tc>
              <w:tc>
                <w:tcPr>
                  <w:tcW w:w="140"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是否为可行技术</w:t>
                  </w:r>
                </w:p>
              </w:tc>
              <w:tc>
                <w:tcPr>
                  <w:tcW w:w="244"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排放浓度mg/m</w:t>
                  </w:r>
                  <w:r>
                    <w:rPr>
                      <w:rFonts w:hint="default" w:ascii="Times New Roman" w:hAnsi="Times New Roman" w:cs="Times New Roman"/>
                      <w:kern w:val="0"/>
                      <w:sz w:val="21"/>
                      <w:szCs w:val="21"/>
                      <w:highlight w:val="none"/>
                      <w:vertAlign w:val="superscript"/>
                    </w:rPr>
                    <w:t>3</w:t>
                  </w:r>
                </w:p>
              </w:tc>
              <w:tc>
                <w:tcPr>
                  <w:tcW w:w="243"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排放速率kg/h</w:t>
                  </w:r>
                </w:p>
              </w:tc>
              <w:tc>
                <w:tcPr>
                  <w:tcW w:w="248"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排放量t/a</w:t>
                  </w:r>
                </w:p>
              </w:tc>
              <w:tc>
                <w:tcPr>
                  <w:tcW w:w="255"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编号</w:t>
                  </w:r>
                </w:p>
              </w:tc>
              <w:tc>
                <w:tcPr>
                  <w:tcW w:w="135"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名称</w:t>
                  </w:r>
                </w:p>
              </w:tc>
              <w:tc>
                <w:tcPr>
                  <w:tcW w:w="135"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类型</w:t>
                  </w:r>
                </w:p>
              </w:tc>
              <w:tc>
                <w:tcPr>
                  <w:tcW w:w="427"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地理坐标</w:t>
                  </w:r>
                </w:p>
              </w:tc>
              <w:tc>
                <w:tcPr>
                  <w:tcW w:w="135"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高度m</w:t>
                  </w:r>
                </w:p>
              </w:tc>
              <w:tc>
                <w:tcPr>
                  <w:tcW w:w="174"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出口内径m</w:t>
                  </w:r>
                </w:p>
              </w:tc>
              <w:tc>
                <w:tcPr>
                  <w:tcW w:w="198"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风量m</w:t>
                  </w:r>
                  <w:r>
                    <w:rPr>
                      <w:rFonts w:hint="default" w:ascii="Times New Roman" w:hAnsi="Times New Roman" w:cs="Times New Roman"/>
                      <w:kern w:val="0"/>
                      <w:sz w:val="21"/>
                      <w:szCs w:val="21"/>
                      <w:highlight w:val="none"/>
                      <w:vertAlign w:val="superscript"/>
                    </w:rPr>
                    <w:t>3</w:t>
                  </w:r>
                  <w:r>
                    <w:rPr>
                      <w:rFonts w:hint="default" w:ascii="Times New Roman" w:hAnsi="Times New Roman" w:cs="Times New Roman"/>
                      <w:kern w:val="0"/>
                      <w:sz w:val="21"/>
                      <w:szCs w:val="21"/>
                      <w:highlight w:val="none"/>
                    </w:rPr>
                    <w:t>/h</w:t>
                  </w:r>
                </w:p>
              </w:tc>
              <w:tc>
                <w:tcPr>
                  <w:tcW w:w="197"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排气温度℃</w:t>
                  </w:r>
                </w:p>
              </w:tc>
              <w:tc>
                <w:tcPr>
                  <w:tcW w:w="231"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年排放时数/h</w:t>
                  </w:r>
                </w:p>
              </w:tc>
              <w:tc>
                <w:tcPr>
                  <w:tcW w:w="238"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浓度限值mg/m</w:t>
                  </w:r>
                  <w:r>
                    <w:rPr>
                      <w:rFonts w:hint="default" w:ascii="Times New Roman" w:hAnsi="Times New Roman" w:cs="Times New Roman"/>
                      <w:kern w:val="0"/>
                      <w:sz w:val="21"/>
                      <w:szCs w:val="21"/>
                      <w:highlight w:val="none"/>
                      <w:vertAlign w:val="superscript"/>
                    </w:rPr>
                    <w:t>3</w:t>
                  </w:r>
                </w:p>
              </w:tc>
              <w:tc>
                <w:tcPr>
                  <w:tcW w:w="184"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速率限值kg/h</w:t>
                  </w:r>
                </w:p>
              </w:tc>
              <w:tc>
                <w:tcPr>
                  <w:tcW w:w="135" w:type="pct"/>
                  <w:vMerge w:val="continue"/>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24"/>
                      <w:sz w:val="21"/>
                      <w:szCs w:val="21"/>
                      <w:highlight w:val="none"/>
                      <w:lang w:val="en-US" w:eastAsia="zh-CN"/>
                    </w:rPr>
                  </w:pPr>
                  <w:r>
                    <w:rPr>
                      <w:rFonts w:hint="eastAsia" w:ascii="Times New Roman" w:hAnsi="Times New Roman" w:cs="Times New Roman"/>
                      <w:kern w:val="24"/>
                      <w:sz w:val="21"/>
                      <w:szCs w:val="21"/>
                      <w:highlight w:val="none"/>
                      <w:lang w:val="en-US" w:eastAsia="zh-CN"/>
                    </w:rPr>
                    <w:t>加热吹膜</w:t>
                  </w:r>
                </w:p>
              </w:tc>
              <w:tc>
                <w:tcPr>
                  <w:tcW w:w="171"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kern w:val="0"/>
                      <w:sz w:val="21"/>
                      <w:szCs w:val="21"/>
                      <w:highlight w:val="none"/>
                      <w:lang w:eastAsia="zh-CN"/>
                    </w:rPr>
                  </w:pPr>
                  <w:r>
                    <w:rPr>
                      <w:rFonts w:hint="default" w:ascii="Times New Roman" w:hAnsi="Times New Roman" w:cs="Times New Roman"/>
                      <w:color w:val="auto"/>
                      <w:sz w:val="21"/>
                      <w:szCs w:val="21"/>
                      <w:highlight w:val="none"/>
                      <w:lang w:val="en-US" w:eastAsia="zh-CN"/>
                    </w:rPr>
                    <w:t>VOCs</w:t>
                  </w:r>
                </w:p>
              </w:tc>
              <w:tc>
                <w:tcPr>
                  <w:tcW w:w="194" w:type="pc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color w:val="FF0000"/>
                      <w:kern w:val="0"/>
                      <w:sz w:val="21"/>
                      <w:szCs w:val="21"/>
                      <w:highlight w:val="none"/>
                      <w:lang w:val="en-US" w:eastAsia="zh-CN"/>
                    </w:rPr>
                  </w:pPr>
                  <w:r>
                    <w:rPr>
                      <w:rFonts w:hint="eastAsia" w:cs="Times New Roman"/>
                      <w:color w:val="auto"/>
                      <w:kern w:val="0"/>
                      <w:sz w:val="21"/>
                      <w:szCs w:val="21"/>
                      <w:highlight w:val="none"/>
                      <w:lang w:val="en-US" w:eastAsia="zh-CN"/>
                    </w:rPr>
                    <w:t>29.2</w:t>
                  </w:r>
                </w:p>
              </w:tc>
              <w:tc>
                <w:tcPr>
                  <w:tcW w:w="241" w:type="pc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color w:val="FF0000"/>
                      <w:kern w:val="0"/>
                      <w:sz w:val="21"/>
                      <w:szCs w:val="21"/>
                      <w:highlight w:val="none"/>
                      <w:lang w:val="en-US" w:eastAsia="zh-CN"/>
                    </w:rPr>
                  </w:pPr>
                  <w:r>
                    <w:rPr>
                      <w:rFonts w:hint="eastAsia" w:cs="Times New Roman"/>
                      <w:color w:val="auto"/>
                      <w:kern w:val="0"/>
                      <w:sz w:val="21"/>
                      <w:szCs w:val="21"/>
                      <w:highlight w:val="none"/>
                      <w:lang w:val="en-US" w:eastAsia="zh-CN"/>
                    </w:rPr>
                    <w:t>0.146</w:t>
                  </w:r>
                </w:p>
              </w:tc>
              <w:tc>
                <w:tcPr>
                  <w:tcW w:w="246" w:type="pc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color w:val="FF0000"/>
                      <w:kern w:val="0"/>
                      <w:sz w:val="21"/>
                      <w:szCs w:val="21"/>
                      <w:highlight w:val="none"/>
                      <w:lang w:val="en-US" w:eastAsia="zh-CN"/>
                    </w:rPr>
                  </w:pPr>
                  <w:r>
                    <w:rPr>
                      <w:rFonts w:hint="eastAsia" w:eastAsia="等线" w:cs="Times New Roman"/>
                      <w:color w:val="auto"/>
                      <w:sz w:val="21"/>
                      <w:szCs w:val="21"/>
                      <w:highlight w:val="none"/>
                      <w:lang w:val="en-US" w:eastAsia="zh-CN"/>
                    </w:rPr>
                    <w:t>1.05</w:t>
                  </w:r>
                </w:p>
              </w:tc>
              <w:tc>
                <w:tcPr>
                  <w:tcW w:w="218"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p>
              </w:tc>
              <w:tc>
                <w:tcPr>
                  <w:tcW w:w="191"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eastAsia" w:cs="Times New Roman"/>
                      <w:color w:val="auto"/>
                      <w:sz w:val="21"/>
                      <w:szCs w:val="21"/>
                      <w:highlight w:val="none"/>
                      <w:lang w:val="en-US" w:eastAsia="zh-CN"/>
                    </w:rPr>
                    <w:t>二</w:t>
                  </w:r>
                  <w:r>
                    <w:rPr>
                      <w:rFonts w:hint="default" w:ascii="Times New Roman" w:hAnsi="Times New Roman" w:cs="Times New Roman"/>
                      <w:color w:val="auto"/>
                      <w:sz w:val="21"/>
                      <w:szCs w:val="21"/>
                      <w:highlight w:val="none"/>
                      <w:lang w:val="en-US" w:eastAsia="zh-CN"/>
                    </w:rPr>
                    <w:t>级活性炭吸附装置</w:t>
                  </w:r>
                </w:p>
              </w:tc>
              <w:tc>
                <w:tcPr>
                  <w:tcW w:w="135"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90%</w:t>
                  </w:r>
                </w:p>
              </w:tc>
              <w:tc>
                <w:tcPr>
                  <w:tcW w:w="140"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kern w:val="0"/>
                      <w:sz w:val="21"/>
                      <w:szCs w:val="21"/>
                      <w:highlight w:val="none"/>
                    </w:rPr>
                  </w:pPr>
                  <w:r>
                    <w:rPr>
                      <w:rFonts w:hint="default" w:ascii="Times New Roman" w:hAnsi="Times New Roman" w:cs="Times New Roman"/>
                      <w:color w:val="auto"/>
                      <w:sz w:val="21"/>
                      <w:szCs w:val="21"/>
                      <w:highlight w:val="none"/>
                    </w:rPr>
                    <w:t>是</w:t>
                  </w:r>
                </w:p>
              </w:tc>
              <w:tc>
                <w:tcPr>
                  <w:tcW w:w="244"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eastAsia="等线" w:cs="Times New Roman"/>
                      <w:color w:val="auto"/>
                      <w:sz w:val="21"/>
                      <w:szCs w:val="21"/>
                      <w:highlight w:val="none"/>
                      <w:lang w:val="en-US" w:eastAsia="zh-CN"/>
                    </w:rPr>
                  </w:pPr>
                  <w:r>
                    <w:rPr>
                      <w:rFonts w:hint="eastAsia" w:eastAsia="等线" w:cs="Times New Roman"/>
                      <w:color w:val="auto"/>
                      <w:sz w:val="21"/>
                      <w:szCs w:val="21"/>
                      <w:highlight w:val="none"/>
                      <w:lang w:val="en-US" w:eastAsia="zh-CN"/>
                    </w:rPr>
                    <w:t>3.8</w:t>
                  </w:r>
                </w:p>
              </w:tc>
              <w:tc>
                <w:tcPr>
                  <w:tcW w:w="243"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等线" w:cs="Times New Roman"/>
                      <w:color w:val="auto"/>
                      <w:sz w:val="21"/>
                      <w:szCs w:val="21"/>
                      <w:highlight w:val="none"/>
                      <w:lang w:val="en-US" w:eastAsia="zh-CN"/>
                    </w:rPr>
                  </w:pPr>
                  <w:r>
                    <w:rPr>
                      <w:rFonts w:hint="eastAsia" w:eastAsia="等线" w:cs="Times New Roman"/>
                      <w:color w:val="auto"/>
                      <w:sz w:val="21"/>
                      <w:szCs w:val="21"/>
                      <w:highlight w:val="none"/>
                      <w:lang w:val="en-US" w:eastAsia="zh-CN"/>
                    </w:rPr>
                    <w:t>0.019</w:t>
                  </w:r>
                </w:p>
              </w:tc>
              <w:tc>
                <w:tcPr>
                  <w:tcW w:w="248"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等线" w:cs="Times New Roman"/>
                      <w:color w:val="auto"/>
                      <w:sz w:val="21"/>
                      <w:szCs w:val="21"/>
                      <w:highlight w:val="none"/>
                      <w:lang w:val="en-US" w:eastAsia="zh-CN"/>
                    </w:rPr>
                  </w:pPr>
                  <w:r>
                    <w:rPr>
                      <w:rFonts w:hint="eastAsia" w:eastAsia="等线" w:cs="Times New Roman"/>
                      <w:color w:val="auto"/>
                      <w:sz w:val="21"/>
                      <w:szCs w:val="21"/>
                      <w:highlight w:val="none"/>
                      <w:lang w:val="en-US" w:eastAsia="zh-CN"/>
                    </w:rPr>
                    <w:t>0.01</w:t>
                  </w:r>
                </w:p>
              </w:tc>
              <w:tc>
                <w:tcPr>
                  <w:tcW w:w="255" w:type="pct"/>
                  <w:vMerge w:val="restart"/>
                  <w:noWrap w:val="0"/>
                  <w:tcMar>
                    <w:top w:w="0" w:type="dxa"/>
                    <w:left w:w="0" w:type="dxa"/>
                    <w:bottom w:w="0" w:type="dxa"/>
                    <w:right w:w="0" w:type="dxa"/>
                  </w:tcMar>
                  <w:vAlign w:val="center"/>
                </w:tcPr>
                <w:p>
                  <w:pPr>
                    <w:spacing w:line="240" w:lineRule="atLeast"/>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DA00</w:t>
                  </w:r>
                  <w:r>
                    <w:rPr>
                      <w:rFonts w:hint="eastAsia" w:cs="Times New Roman"/>
                      <w:kern w:val="0"/>
                      <w:sz w:val="21"/>
                      <w:szCs w:val="21"/>
                      <w:highlight w:val="none"/>
                      <w:lang w:val="en-US" w:eastAsia="zh-CN"/>
                    </w:rPr>
                    <w:t>1</w:t>
                  </w:r>
                </w:p>
              </w:tc>
              <w:tc>
                <w:tcPr>
                  <w:tcW w:w="135" w:type="pct"/>
                  <w:vMerge w:val="restart"/>
                  <w:noWrap w:val="0"/>
                  <w:tcMar>
                    <w:top w:w="0" w:type="dxa"/>
                    <w:left w:w="0" w:type="dxa"/>
                    <w:bottom w:w="0" w:type="dxa"/>
                    <w:right w:w="0" w:type="dxa"/>
                  </w:tcMar>
                  <w:vAlign w:val="center"/>
                </w:tcPr>
                <w:p>
                  <w:pPr>
                    <w:pStyle w:val="2"/>
                    <w:spacing w:line="240" w:lineRule="atLeast"/>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排气筒</w:t>
                  </w:r>
                </w:p>
              </w:tc>
              <w:tc>
                <w:tcPr>
                  <w:tcW w:w="135" w:type="pct"/>
                  <w:vMerge w:val="restart"/>
                  <w:noWrap w:val="0"/>
                  <w:tcMar>
                    <w:top w:w="0" w:type="dxa"/>
                    <w:left w:w="0" w:type="dxa"/>
                    <w:bottom w:w="0" w:type="dxa"/>
                    <w:right w:w="0" w:type="dxa"/>
                  </w:tcMar>
                  <w:vAlign w:val="center"/>
                </w:tcPr>
                <w:p>
                  <w:pPr>
                    <w:pStyle w:val="2"/>
                    <w:spacing w:line="240" w:lineRule="atLeast"/>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rPr>
                    <w:t>一般排放口</w:t>
                  </w:r>
                </w:p>
              </w:tc>
              <w:tc>
                <w:tcPr>
                  <w:tcW w:w="427" w:type="pct"/>
                  <w:vMerge w:val="restart"/>
                  <w:noWrap w:val="0"/>
                  <w:tcMar>
                    <w:top w:w="0" w:type="dxa"/>
                    <w:left w:w="0" w:type="dxa"/>
                    <w:bottom w:w="0" w:type="dxa"/>
                    <w:right w:w="0" w:type="dxa"/>
                  </w:tcMar>
                  <w:vAlign w:val="center"/>
                </w:tcPr>
                <w:p>
                  <w:pPr>
                    <w:widowControl/>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E118°</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18.321</w:t>
                  </w:r>
                  <w:r>
                    <w:rPr>
                      <w:rFonts w:hint="default" w:ascii="Times New Roman" w:hAnsi="Times New Roman" w:cs="Times New Roman"/>
                      <w:color w:val="auto"/>
                      <w:sz w:val="21"/>
                      <w:szCs w:val="21"/>
                      <w:highlight w:val="none"/>
                      <w:lang w:val="en-US" w:eastAsia="zh-CN"/>
                    </w:rPr>
                    <w:t>″</w:t>
                  </w:r>
                </w:p>
                <w:p>
                  <w:pPr>
                    <w:widowControl/>
                    <w:spacing w:line="240" w:lineRule="atLeast"/>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rPr>
                    <w:t>N</w:t>
                  </w:r>
                  <w:r>
                    <w:rPr>
                      <w:rFonts w:hint="default" w:ascii="Times New Roman" w:hAnsi="Times New Roman" w:cs="Times New Roman"/>
                      <w:color w:val="auto"/>
                      <w:sz w:val="21"/>
                      <w:szCs w:val="21"/>
                      <w:highlight w:val="none"/>
                      <w:lang w:val="en-US" w:eastAsia="zh-CN"/>
                    </w:rPr>
                    <w:t>36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54</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46</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281</w:t>
                  </w:r>
                  <w:r>
                    <w:rPr>
                      <w:rFonts w:hint="default" w:ascii="Times New Roman" w:hAnsi="Times New Roman" w:cs="Times New Roman"/>
                      <w:color w:val="auto"/>
                      <w:sz w:val="21"/>
                      <w:szCs w:val="21"/>
                      <w:highlight w:val="none"/>
                      <w:lang w:val="en-US" w:eastAsia="zh-CN"/>
                    </w:rPr>
                    <w:t>″</w:t>
                  </w:r>
                </w:p>
              </w:tc>
              <w:tc>
                <w:tcPr>
                  <w:tcW w:w="135" w:type="pct"/>
                  <w:vMerge w:val="restart"/>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color w:val="auto"/>
                      <w:sz w:val="21"/>
                      <w:szCs w:val="21"/>
                      <w:highlight w:val="none"/>
                    </w:rPr>
                    <w:t>15</w:t>
                  </w:r>
                </w:p>
              </w:tc>
              <w:tc>
                <w:tcPr>
                  <w:tcW w:w="174" w:type="pct"/>
                  <w:vMerge w:val="restart"/>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0</w:t>
                  </w:r>
                </w:p>
              </w:tc>
              <w:tc>
                <w:tcPr>
                  <w:tcW w:w="198" w:type="pct"/>
                  <w:vMerge w:val="restart"/>
                  <w:noWrap w:val="0"/>
                  <w:tcMar>
                    <w:top w:w="0" w:type="dxa"/>
                    <w:left w:w="0" w:type="dxa"/>
                    <w:bottom w:w="0" w:type="dxa"/>
                    <w:right w:w="0" w:type="dxa"/>
                  </w:tcMar>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eastAsia" w:eastAsia="等线" w:cs="Times New Roman"/>
                      <w:color w:val="auto"/>
                      <w:sz w:val="21"/>
                      <w:szCs w:val="21"/>
                      <w:highlight w:val="none"/>
                      <w:lang w:val="en-US" w:eastAsia="zh-CN"/>
                    </w:rPr>
                    <w:t>5</w:t>
                  </w:r>
                  <w:r>
                    <w:rPr>
                      <w:rFonts w:hint="default" w:ascii="Times New Roman" w:hAnsi="Times New Roman" w:eastAsia="等线" w:cs="Times New Roman"/>
                      <w:color w:val="auto"/>
                      <w:sz w:val="21"/>
                      <w:szCs w:val="21"/>
                      <w:highlight w:val="none"/>
                      <w:lang w:val="en-US" w:eastAsia="zh-CN"/>
                    </w:rPr>
                    <w:t>000</w:t>
                  </w:r>
                </w:p>
              </w:tc>
              <w:tc>
                <w:tcPr>
                  <w:tcW w:w="197" w:type="pct"/>
                  <w:vMerge w:val="restart"/>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eastAsia="宋体" w:cs="Times New Roman"/>
                      <w:kern w:val="0"/>
                      <w:sz w:val="21"/>
                      <w:szCs w:val="21"/>
                      <w:highlight w:val="none"/>
                      <w:lang w:val="en-US" w:eastAsia="zh-CN"/>
                    </w:rPr>
                  </w:pPr>
                  <w:r>
                    <w:rPr>
                      <w:rFonts w:hint="eastAsia" w:cs="Times New Roman"/>
                      <w:color w:val="auto"/>
                      <w:sz w:val="21"/>
                      <w:szCs w:val="21"/>
                      <w:highlight w:val="none"/>
                      <w:lang w:val="en-US" w:eastAsia="zh-CN"/>
                    </w:rPr>
                    <w:t>25</w:t>
                  </w:r>
                </w:p>
              </w:tc>
              <w:tc>
                <w:tcPr>
                  <w:tcW w:w="231" w:type="pct"/>
                  <w:noWrap w:val="0"/>
                  <w:tcMar>
                    <w:top w:w="0" w:type="dxa"/>
                    <w:left w:w="0" w:type="dxa"/>
                    <w:bottom w:w="0" w:type="dxa"/>
                    <w:right w:w="0" w:type="dxa"/>
                  </w:tcMar>
                  <w:vAlign w:val="center"/>
                </w:tcPr>
                <w:p>
                  <w:pPr>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sz w:val="21"/>
                      <w:szCs w:val="21"/>
                      <w:highlight w:val="none"/>
                      <w:lang w:val="en-US" w:eastAsia="zh-CN"/>
                    </w:rPr>
                    <w:t>7200</w:t>
                  </w:r>
                </w:p>
              </w:tc>
              <w:tc>
                <w:tcPr>
                  <w:tcW w:w="238"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0</w:t>
                  </w:r>
                </w:p>
              </w:tc>
              <w:tc>
                <w:tcPr>
                  <w:tcW w:w="184"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.0</w:t>
                  </w:r>
                </w:p>
              </w:tc>
              <w:tc>
                <w:tcPr>
                  <w:tcW w:w="135" w:type="pct"/>
                  <w:vMerge w:val="restart"/>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8" w:type="pct"/>
                  <w:noWrap w:val="0"/>
                  <w:tcMar>
                    <w:top w:w="0" w:type="dxa"/>
                    <w:left w:w="0" w:type="dxa"/>
                    <w:bottom w:w="0" w:type="dxa"/>
                    <w:right w:w="0" w:type="dxa"/>
                  </w:tcMar>
                  <w:vAlign w:val="center"/>
                </w:tcPr>
                <w:p>
                  <w:pPr>
                    <w:pStyle w:val="2"/>
                    <w:spacing w:line="240" w:lineRule="atLeast"/>
                    <w:jc w:val="center"/>
                    <w:rPr>
                      <w:rFonts w:hint="eastAsia" w:ascii="Times New Roman" w:hAnsi="Times New Roman" w:cs="Times New Roman"/>
                      <w:kern w:val="24"/>
                      <w:sz w:val="21"/>
                      <w:szCs w:val="21"/>
                      <w:highlight w:val="none"/>
                      <w:lang w:val="en-US" w:eastAsia="zh-CN"/>
                    </w:rPr>
                  </w:pPr>
                  <w:r>
                    <w:rPr>
                      <w:rFonts w:hint="eastAsia" w:ascii="Times New Roman" w:hAnsi="Times New Roman" w:cs="Times New Roman"/>
                      <w:kern w:val="24"/>
                      <w:sz w:val="21"/>
                      <w:szCs w:val="21"/>
                      <w:highlight w:val="none"/>
                      <w:lang w:val="en-US" w:eastAsia="zh-CN"/>
                    </w:rPr>
                    <w:t>回用造粒</w:t>
                  </w:r>
                </w:p>
              </w:tc>
              <w:tc>
                <w:tcPr>
                  <w:tcW w:w="171"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p>
              </w:tc>
              <w:tc>
                <w:tcPr>
                  <w:tcW w:w="194" w:type="pct"/>
                  <w:noWrap w:val="0"/>
                  <w:tcMar>
                    <w:top w:w="0" w:type="dxa"/>
                    <w:left w:w="0" w:type="dxa"/>
                    <w:bottom w:w="0" w:type="dxa"/>
                    <w:right w:w="0" w:type="dxa"/>
                  </w:tcMar>
                  <w:vAlign w:val="center"/>
                </w:tcPr>
                <w:p>
                  <w:pPr>
                    <w:pStyle w:val="9"/>
                    <w:spacing w:after="0" w:line="240" w:lineRule="atLeast"/>
                    <w:ind w:left="0" w:leftChars="0"/>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5.85</w:t>
                  </w:r>
                </w:p>
              </w:tc>
              <w:tc>
                <w:tcPr>
                  <w:tcW w:w="241" w:type="pct"/>
                  <w:noWrap w:val="0"/>
                  <w:tcMar>
                    <w:top w:w="0" w:type="dxa"/>
                    <w:left w:w="0" w:type="dxa"/>
                    <w:bottom w:w="0" w:type="dxa"/>
                    <w:right w:w="0" w:type="dxa"/>
                  </w:tcMar>
                  <w:vAlign w:val="center"/>
                </w:tcPr>
                <w:p>
                  <w:pPr>
                    <w:pStyle w:val="9"/>
                    <w:spacing w:after="0" w:line="240" w:lineRule="atLeast"/>
                    <w:ind w:left="0" w:leftChars="0"/>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0.066</w:t>
                  </w:r>
                </w:p>
              </w:tc>
              <w:tc>
                <w:tcPr>
                  <w:tcW w:w="246" w:type="pct"/>
                  <w:noWrap w:val="0"/>
                  <w:tcMar>
                    <w:top w:w="0" w:type="dxa"/>
                    <w:left w:w="0" w:type="dxa"/>
                    <w:bottom w:w="0" w:type="dxa"/>
                    <w:right w:w="0" w:type="dxa"/>
                  </w:tcMar>
                  <w:vAlign w:val="center"/>
                </w:tcPr>
                <w:p>
                  <w:pPr>
                    <w:pStyle w:val="9"/>
                    <w:spacing w:after="0" w:line="240" w:lineRule="atLeast"/>
                    <w:ind w:left="0" w:leftChars="0"/>
                    <w:jc w:val="center"/>
                    <w:rPr>
                      <w:rFonts w:hint="default" w:eastAsia="等线" w:cs="Times New Roman"/>
                      <w:color w:val="auto"/>
                      <w:sz w:val="21"/>
                      <w:szCs w:val="21"/>
                      <w:highlight w:val="none"/>
                      <w:lang w:val="en-US" w:eastAsia="zh-CN"/>
                    </w:rPr>
                  </w:pPr>
                  <w:r>
                    <w:rPr>
                      <w:rFonts w:hint="eastAsia" w:eastAsia="等线" w:cs="Times New Roman"/>
                      <w:color w:val="auto"/>
                      <w:sz w:val="21"/>
                      <w:szCs w:val="21"/>
                      <w:highlight w:val="none"/>
                      <w:lang w:val="en-US" w:eastAsia="zh-CN"/>
                    </w:rPr>
                    <w:t>0.053</w:t>
                  </w:r>
                </w:p>
              </w:tc>
              <w:tc>
                <w:tcPr>
                  <w:tcW w:w="218"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p>
              </w:tc>
              <w:tc>
                <w:tcPr>
                  <w:tcW w:w="191"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eastAsia" w:cs="Times New Roman"/>
                      <w:color w:val="auto"/>
                      <w:sz w:val="21"/>
                      <w:szCs w:val="21"/>
                      <w:highlight w:val="none"/>
                      <w:lang w:val="en-US" w:eastAsia="zh-CN"/>
                    </w:rPr>
                  </w:pPr>
                </w:p>
              </w:tc>
              <w:tc>
                <w:tcPr>
                  <w:tcW w:w="135"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p>
              </w:tc>
              <w:tc>
                <w:tcPr>
                  <w:tcW w:w="140"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rPr>
                  </w:pPr>
                </w:p>
              </w:tc>
              <w:tc>
                <w:tcPr>
                  <w:tcW w:w="244"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eastAsia="等线" w:cs="Times New Roman"/>
                      <w:color w:val="auto"/>
                      <w:sz w:val="21"/>
                      <w:szCs w:val="21"/>
                      <w:highlight w:val="none"/>
                      <w:lang w:val="en-US" w:eastAsia="zh-CN"/>
                    </w:rPr>
                  </w:pPr>
                </w:p>
              </w:tc>
              <w:tc>
                <w:tcPr>
                  <w:tcW w:w="243"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等线" w:cs="Times New Roman"/>
                      <w:color w:val="auto"/>
                      <w:sz w:val="21"/>
                      <w:szCs w:val="21"/>
                      <w:highlight w:val="none"/>
                      <w:lang w:val="en-US" w:eastAsia="zh-CN"/>
                    </w:rPr>
                  </w:pPr>
                </w:p>
              </w:tc>
              <w:tc>
                <w:tcPr>
                  <w:tcW w:w="248"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eastAsia="等线" w:cs="Times New Roman"/>
                      <w:color w:val="auto"/>
                      <w:sz w:val="21"/>
                      <w:szCs w:val="21"/>
                      <w:highlight w:val="none"/>
                      <w:lang w:val="en-US" w:eastAsia="zh-CN"/>
                    </w:rPr>
                  </w:pPr>
                </w:p>
              </w:tc>
              <w:tc>
                <w:tcPr>
                  <w:tcW w:w="255" w:type="pct"/>
                  <w:vMerge w:val="continue"/>
                  <w:noWrap w:val="0"/>
                  <w:tcMar>
                    <w:top w:w="0" w:type="dxa"/>
                    <w:left w:w="0" w:type="dxa"/>
                    <w:bottom w:w="0" w:type="dxa"/>
                    <w:right w:w="0" w:type="dxa"/>
                  </w:tcMar>
                  <w:vAlign w:val="center"/>
                </w:tcPr>
                <w:p>
                  <w:pPr>
                    <w:spacing w:line="240" w:lineRule="atLeast"/>
                    <w:jc w:val="center"/>
                    <w:rPr>
                      <w:rFonts w:hint="default" w:ascii="Times New Roman" w:hAnsi="Times New Roman" w:cs="Times New Roman"/>
                      <w:kern w:val="0"/>
                      <w:sz w:val="21"/>
                      <w:szCs w:val="21"/>
                      <w:highlight w:val="none"/>
                      <w:lang w:val="en-US" w:eastAsia="zh-CN"/>
                    </w:rPr>
                  </w:pPr>
                </w:p>
              </w:tc>
              <w:tc>
                <w:tcPr>
                  <w:tcW w:w="135" w:type="pct"/>
                  <w:vMerge w:val="continue"/>
                  <w:noWrap w:val="0"/>
                  <w:tcMar>
                    <w:top w:w="0" w:type="dxa"/>
                    <w:left w:w="0" w:type="dxa"/>
                    <w:bottom w:w="0" w:type="dxa"/>
                    <w:right w:w="0" w:type="dxa"/>
                  </w:tcMar>
                  <w:vAlign w:val="center"/>
                </w:tcPr>
                <w:p>
                  <w:pPr>
                    <w:pStyle w:val="2"/>
                    <w:spacing w:line="240" w:lineRule="atLeast"/>
                    <w:jc w:val="center"/>
                    <w:rPr>
                      <w:rFonts w:hint="eastAsia" w:ascii="Times New Roman" w:hAnsi="Times New Roman" w:cs="Times New Roman"/>
                      <w:sz w:val="21"/>
                      <w:szCs w:val="21"/>
                      <w:highlight w:val="none"/>
                      <w:lang w:val="en-US" w:eastAsia="zh-CN"/>
                    </w:rPr>
                  </w:pPr>
                </w:p>
              </w:tc>
              <w:tc>
                <w:tcPr>
                  <w:tcW w:w="135" w:type="pct"/>
                  <w:vMerge w:val="continue"/>
                  <w:noWrap w:val="0"/>
                  <w:tcMar>
                    <w:top w:w="0" w:type="dxa"/>
                    <w:left w:w="0" w:type="dxa"/>
                    <w:bottom w:w="0" w:type="dxa"/>
                    <w:right w:w="0" w:type="dxa"/>
                  </w:tcMar>
                  <w:vAlign w:val="center"/>
                </w:tcPr>
                <w:p>
                  <w:pPr>
                    <w:pStyle w:val="2"/>
                    <w:spacing w:line="240" w:lineRule="atLeast"/>
                    <w:jc w:val="center"/>
                    <w:rPr>
                      <w:rFonts w:hint="default" w:ascii="Times New Roman" w:hAnsi="Times New Roman" w:cs="Times New Roman"/>
                      <w:kern w:val="0"/>
                      <w:sz w:val="21"/>
                      <w:szCs w:val="21"/>
                      <w:highlight w:val="none"/>
                    </w:rPr>
                  </w:pPr>
                </w:p>
              </w:tc>
              <w:tc>
                <w:tcPr>
                  <w:tcW w:w="427" w:type="pct"/>
                  <w:vMerge w:val="continue"/>
                  <w:noWrap w:val="0"/>
                  <w:tcMar>
                    <w:top w:w="0" w:type="dxa"/>
                    <w:left w:w="0" w:type="dxa"/>
                    <w:bottom w:w="0" w:type="dxa"/>
                    <w:right w:w="0" w:type="dxa"/>
                  </w:tcMar>
                  <w:vAlign w:val="center"/>
                </w:tcPr>
                <w:p>
                  <w:pPr>
                    <w:widowControl/>
                    <w:spacing w:line="240" w:lineRule="atLeast"/>
                    <w:jc w:val="center"/>
                    <w:rPr>
                      <w:rFonts w:hint="default" w:ascii="Times New Roman" w:hAnsi="Times New Roman" w:cs="Times New Roman"/>
                      <w:color w:val="auto"/>
                      <w:sz w:val="21"/>
                      <w:szCs w:val="21"/>
                      <w:highlight w:val="none"/>
                    </w:rPr>
                  </w:pPr>
                </w:p>
              </w:tc>
              <w:tc>
                <w:tcPr>
                  <w:tcW w:w="135" w:type="pct"/>
                  <w:vMerge w:val="continue"/>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cs="Times New Roman"/>
                      <w:color w:val="auto"/>
                      <w:sz w:val="21"/>
                      <w:szCs w:val="21"/>
                      <w:highlight w:val="none"/>
                    </w:rPr>
                  </w:pPr>
                </w:p>
              </w:tc>
              <w:tc>
                <w:tcPr>
                  <w:tcW w:w="174" w:type="pct"/>
                  <w:vMerge w:val="continue"/>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cs="Times New Roman"/>
                      <w:color w:val="auto"/>
                      <w:sz w:val="21"/>
                      <w:szCs w:val="21"/>
                      <w:highlight w:val="none"/>
                      <w:lang w:val="en-US" w:eastAsia="zh-CN"/>
                    </w:rPr>
                  </w:pPr>
                </w:p>
              </w:tc>
              <w:tc>
                <w:tcPr>
                  <w:tcW w:w="198" w:type="pct"/>
                  <w:vMerge w:val="continue"/>
                  <w:noWrap w:val="0"/>
                  <w:tcMar>
                    <w:top w:w="0" w:type="dxa"/>
                    <w:left w:w="0" w:type="dxa"/>
                    <w:bottom w:w="0" w:type="dxa"/>
                    <w:right w:w="0" w:type="dxa"/>
                  </w:tcMar>
                  <w:vAlign w:val="center"/>
                </w:tcPr>
                <w:p>
                  <w:pPr>
                    <w:widowControl/>
                    <w:jc w:val="center"/>
                    <w:rPr>
                      <w:rFonts w:hint="default" w:ascii="Times New Roman" w:hAnsi="Times New Roman" w:eastAsia="等线" w:cs="Times New Roman"/>
                      <w:color w:val="auto"/>
                      <w:sz w:val="21"/>
                      <w:szCs w:val="21"/>
                      <w:highlight w:val="none"/>
                      <w:lang w:val="en-US" w:eastAsia="zh-CN"/>
                    </w:rPr>
                  </w:pPr>
                </w:p>
              </w:tc>
              <w:tc>
                <w:tcPr>
                  <w:tcW w:w="197" w:type="pct"/>
                  <w:vMerge w:val="continue"/>
                  <w:noWrap w:val="0"/>
                  <w:tcMar>
                    <w:top w:w="0" w:type="dxa"/>
                    <w:left w:w="0" w:type="dxa"/>
                    <w:bottom w:w="0" w:type="dxa"/>
                    <w:right w:w="0" w:type="dxa"/>
                  </w:tcMar>
                  <w:vAlign w:val="center"/>
                </w:tcPr>
                <w:p>
                  <w:pPr>
                    <w:pStyle w:val="9"/>
                    <w:spacing w:after="0"/>
                    <w:ind w:left="0" w:leftChars="0"/>
                    <w:jc w:val="center"/>
                    <w:rPr>
                      <w:rFonts w:hint="default" w:ascii="Times New Roman" w:hAnsi="Times New Roman" w:cs="Times New Roman"/>
                      <w:color w:val="auto"/>
                      <w:sz w:val="21"/>
                      <w:szCs w:val="21"/>
                      <w:highlight w:val="none"/>
                      <w:lang w:val="en-US" w:eastAsia="zh-CN"/>
                    </w:rPr>
                  </w:pPr>
                </w:p>
              </w:tc>
              <w:tc>
                <w:tcPr>
                  <w:tcW w:w="231" w:type="pct"/>
                  <w:noWrap w:val="0"/>
                  <w:tcMar>
                    <w:top w:w="0" w:type="dxa"/>
                    <w:left w:w="0" w:type="dxa"/>
                    <w:bottom w:w="0" w:type="dxa"/>
                    <w:right w:w="0" w:type="dxa"/>
                  </w:tcMar>
                  <w:vAlign w:val="center"/>
                </w:tcPr>
                <w:p>
                  <w:pPr>
                    <w:spacing w:after="0" w:line="240" w:lineRule="atLeast"/>
                    <w:ind w:left="0" w:leftChars="0"/>
                    <w:jc w:val="center"/>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800</w:t>
                  </w:r>
                </w:p>
              </w:tc>
              <w:tc>
                <w:tcPr>
                  <w:tcW w:w="238"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eastAsia" w:cs="Times New Roman"/>
                      <w:color w:val="auto"/>
                      <w:sz w:val="21"/>
                      <w:szCs w:val="21"/>
                      <w:highlight w:val="none"/>
                      <w:lang w:val="en-US" w:eastAsia="zh-CN"/>
                    </w:rPr>
                  </w:pPr>
                </w:p>
              </w:tc>
              <w:tc>
                <w:tcPr>
                  <w:tcW w:w="184"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eastAsia" w:cs="Times New Roman"/>
                      <w:color w:val="auto"/>
                      <w:sz w:val="21"/>
                      <w:szCs w:val="21"/>
                      <w:highlight w:val="none"/>
                      <w:lang w:val="en-US" w:eastAsia="zh-CN"/>
                    </w:rPr>
                  </w:pPr>
                </w:p>
              </w:tc>
              <w:tc>
                <w:tcPr>
                  <w:tcW w:w="135" w:type="pct"/>
                  <w:vMerge w:val="continue"/>
                  <w:noWrap w:val="0"/>
                  <w:tcMar>
                    <w:top w:w="0" w:type="dxa"/>
                    <w:left w:w="0" w:type="dxa"/>
                    <w:bottom w:w="0" w:type="dxa"/>
                    <w:right w:w="0" w:type="dxa"/>
                  </w:tcMar>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p>
              </w:tc>
            </w:tr>
          </w:tbl>
          <w:p>
            <w:pPr>
              <w:pStyle w:val="7"/>
              <w:keepNext w:val="0"/>
              <w:keepLines w:val="0"/>
              <w:pageBreakBefore w:val="0"/>
              <w:widowControl/>
              <w:kinsoku/>
              <w:wordWrap/>
              <w:overflowPunct/>
              <w:topLinePunct w:val="0"/>
              <w:autoSpaceDE/>
              <w:autoSpaceDN/>
              <w:bidi w:val="0"/>
              <w:adjustRightInd/>
              <w:snapToGrid w:val="0"/>
              <w:spacing w:after="0" w:line="260" w:lineRule="auto"/>
              <w:ind w:right="113"/>
              <w:jc w:val="center"/>
              <w:textAlignment w:val="auto"/>
              <w:rPr>
                <w:rFonts w:hint="default" w:ascii="Times New Roman" w:hAnsi="Times New Roman" w:cs="Times New Roman"/>
                <w:sz w:val="21"/>
                <w:szCs w:val="21"/>
                <w:highlight w:val="none"/>
              </w:rPr>
            </w:pPr>
            <w:r>
              <w:rPr>
                <w:rFonts w:hint="default" w:ascii="Times New Roman" w:hAnsi="Times New Roman" w:cs="Times New Roman"/>
                <w:b/>
                <w:snapToGrid w:val="0"/>
                <w:color w:val="000000"/>
                <w:sz w:val="21"/>
                <w:szCs w:val="21"/>
                <w:highlight w:val="none"/>
              </w:rPr>
              <w:t>表4-</w:t>
            </w:r>
            <w:r>
              <w:rPr>
                <w:rFonts w:hint="default" w:ascii="Times New Roman" w:hAnsi="Times New Roman" w:eastAsia="宋体" w:cs="Times New Roman"/>
                <w:b/>
                <w:snapToGrid w:val="0"/>
                <w:color w:val="000000"/>
                <w:sz w:val="21"/>
                <w:szCs w:val="21"/>
                <w:highlight w:val="none"/>
              </w:rPr>
              <w:t>2</w:t>
            </w:r>
            <w:r>
              <w:rPr>
                <w:rFonts w:hint="default" w:ascii="Times New Roman" w:hAnsi="Times New Roman" w:cs="Times New Roman"/>
                <w:b/>
                <w:snapToGrid w:val="0"/>
                <w:color w:val="000000"/>
                <w:sz w:val="21"/>
                <w:szCs w:val="21"/>
                <w:highlight w:val="none"/>
              </w:rPr>
              <w:t xml:space="preserve">  无组织废气污染物排放情况一览表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359"/>
              <w:gridCol w:w="1841"/>
              <w:gridCol w:w="2324"/>
              <w:gridCol w:w="1712"/>
              <w:gridCol w:w="1514"/>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28"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面源名称</w:t>
                  </w:r>
                </w:p>
              </w:tc>
              <w:tc>
                <w:tcPr>
                  <w:tcW w:w="809"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面源中心坐标</w:t>
                  </w:r>
                </w:p>
              </w:tc>
              <w:tc>
                <w:tcPr>
                  <w:tcW w:w="632"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面源海拔高度/m</w:t>
                  </w:r>
                </w:p>
              </w:tc>
              <w:tc>
                <w:tcPr>
                  <w:tcW w:w="797"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面源有效排放高度/m</w:t>
                  </w:r>
                </w:p>
              </w:tc>
              <w:tc>
                <w:tcPr>
                  <w:tcW w:w="587"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年排放小时数/h</w:t>
                  </w:r>
                </w:p>
              </w:tc>
              <w:tc>
                <w:tcPr>
                  <w:tcW w:w="519" w:type="pct"/>
                  <w:vMerge w:val="restar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排放工况</w:t>
                  </w:r>
                </w:p>
              </w:tc>
              <w:tc>
                <w:tcPr>
                  <w:tcW w:w="1223" w:type="pc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污染物排放速率（t/a）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28"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809"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632"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797"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587"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519" w:type="pct"/>
                  <w:vMerge w:val="continue"/>
                  <w:noWrap w:val="0"/>
                  <w:vAlign w:val="center"/>
                </w:tcPr>
                <w:p>
                  <w:pPr>
                    <w:pStyle w:val="11"/>
                    <w:numPr>
                      <w:ilvl w:val="0"/>
                      <w:numId w:val="0"/>
                    </w:numPr>
                    <w:jc w:val="center"/>
                    <w:rPr>
                      <w:rFonts w:hint="default" w:ascii="Times New Roman" w:hAnsi="Times New Roman" w:cs="Times New Roman"/>
                      <w:sz w:val="21"/>
                      <w:szCs w:val="21"/>
                      <w:highlight w:val="none"/>
                    </w:rPr>
                  </w:pPr>
                </w:p>
              </w:tc>
              <w:tc>
                <w:tcPr>
                  <w:tcW w:w="1223" w:type="pc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pStyle w:val="11"/>
                    <w:numPr>
                      <w:ilvl w:val="0"/>
                      <w:numId w:val="0"/>
                    </w:num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生产车间</w:t>
                  </w:r>
                </w:p>
              </w:tc>
              <w:tc>
                <w:tcPr>
                  <w:tcW w:w="809" w:type="pct"/>
                  <w:noWrap w:val="0"/>
                  <w:vAlign w:val="center"/>
                </w:tcPr>
                <w:p>
                  <w:pPr>
                    <w:widowControl/>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E118°</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18.153</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N</w:t>
                  </w:r>
                  <w:r>
                    <w:rPr>
                      <w:rFonts w:hint="default" w:ascii="Times New Roman" w:hAnsi="Times New Roman" w:cs="Times New Roman"/>
                      <w:color w:val="auto"/>
                      <w:sz w:val="21"/>
                      <w:szCs w:val="21"/>
                      <w:highlight w:val="none"/>
                      <w:lang w:val="en-US" w:eastAsia="zh-CN"/>
                    </w:rPr>
                    <w:t>36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54</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46.039</w:t>
                  </w:r>
                  <w:r>
                    <w:rPr>
                      <w:rFonts w:hint="default" w:ascii="Times New Roman" w:hAnsi="Times New Roman" w:cs="Times New Roman"/>
                      <w:color w:val="auto"/>
                      <w:sz w:val="21"/>
                      <w:szCs w:val="21"/>
                      <w:highlight w:val="none"/>
                      <w:lang w:val="en-US" w:eastAsia="zh-CN"/>
                    </w:rPr>
                    <w:t>″</w:t>
                  </w:r>
                </w:p>
              </w:tc>
              <w:tc>
                <w:tcPr>
                  <w:tcW w:w="632" w:type="pct"/>
                  <w:noWrap w:val="0"/>
                  <w:vAlign w:val="center"/>
                </w:tcPr>
                <w:p>
                  <w:pPr>
                    <w:pStyle w:val="11"/>
                    <w:numPr>
                      <w:ilvl w:val="0"/>
                      <w:numId w:val="0"/>
                    </w:num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24.64</w:t>
                  </w:r>
                </w:p>
              </w:tc>
              <w:tc>
                <w:tcPr>
                  <w:tcW w:w="797" w:type="pct"/>
                  <w:noWrap w:val="0"/>
                  <w:vAlign w:val="center"/>
                </w:tcPr>
                <w:p>
                  <w:pPr>
                    <w:pStyle w:val="11"/>
                    <w:numPr>
                      <w:ilvl w:val="0"/>
                      <w:numId w:val="0"/>
                    </w:num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587" w:type="pct"/>
                  <w:noWrap w:val="0"/>
                  <w:vAlign w:val="center"/>
                </w:tcPr>
                <w:p>
                  <w:pPr>
                    <w:pStyle w:val="11"/>
                    <w:numPr>
                      <w:ilvl w:val="0"/>
                      <w:numId w:val="0"/>
                    </w:num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7200</w:t>
                  </w:r>
                </w:p>
              </w:tc>
              <w:tc>
                <w:tcPr>
                  <w:tcW w:w="519" w:type="pct"/>
                  <w:noWrap w:val="0"/>
                  <w:vAlign w:val="center"/>
                </w:tcPr>
                <w:p>
                  <w:pPr>
                    <w:pStyle w:val="11"/>
                    <w:numPr>
                      <w:ilvl w:val="0"/>
                      <w:numId w:val="0"/>
                    </w:num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正常</w:t>
                  </w:r>
                </w:p>
              </w:tc>
              <w:tc>
                <w:tcPr>
                  <w:tcW w:w="1223" w:type="pct"/>
                  <w:noWrap w:val="0"/>
                  <w:vAlign w:val="center"/>
                </w:tcPr>
                <w:p>
                  <w:pPr>
                    <w:pStyle w:val="11"/>
                    <w:numPr>
                      <w:ilvl w:val="0"/>
                      <w:numId w:val="0"/>
                    </w:num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11</w:t>
                  </w:r>
                </w:p>
              </w:tc>
            </w:tr>
          </w:tbl>
          <w:p>
            <w:pPr>
              <w:pStyle w:val="11"/>
              <w:numPr>
                <w:ilvl w:val="0"/>
                <w:numId w:val="0"/>
              </w:numPr>
              <w:rPr>
                <w:rFonts w:hint="default" w:ascii="Times New Roman" w:hAnsi="Times New Roman" w:cs="Times New Roman"/>
                <w:sz w:val="21"/>
                <w:szCs w:val="21"/>
                <w:highlight w:val="none"/>
              </w:rPr>
            </w:pPr>
          </w:p>
        </w:tc>
      </w:tr>
    </w:tbl>
    <w:p>
      <w:pPr>
        <w:pStyle w:val="19"/>
        <w:outlineLvl w:val="0"/>
        <w:rPr>
          <w:rFonts w:hint="default" w:ascii="Times New Roman" w:hAnsi="Times New Roman" w:eastAsia="黑体" w:cs="Times New Roman"/>
          <w:snapToGrid w:val="0"/>
          <w:sz w:val="30"/>
          <w:szCs w:val="30"/>
          <w:highlight w:val="none"/>
        </w:rPr>
        <w:sectPr>
          <w:pgSz w:w="16840" w:h="11907" w:orient="landscape"/>
          <w:pgMar w:top="1531" w:right="1134" w:bottom="1531" w:left="1134" w:header="851" w:footer="851" w:gutter="0"/>
          <w:pgBorders>
            <w:top w:val="none" w:sz="0" w:space="0"/>
            <w:left w:val="none" w:sz="0" w:space="0"/>
            <w:bottom w:val="none" w:sz="0" w:space="0"/>
            <w:right w:val="none" w:sz="0" w:space="0"/>
          </w:pgBorders>
          <w:cols w:space="720" w:num="1"/>
          <w:docGrid w:linePitch="312" w:charSpace="0"/>
        </w:sectPr>
      </w:pPr>
    </w:p>
    <w:tbl>
      <w:tblPr>
        <w:tblStyle w:val="23"/>
        <w:tblW w:w="94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8" w:hRule="atLeast"/>
          <w:jc w:val="center"/>
        </w:trPr>
        <w:tc>
          <w:tcPr>
            <w:tcW w:w="410"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运营</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期环</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境影</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响和</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保护</w:t>
            </w:r>
          </w:p>
          <w:p>
            <w:pPr>
              <w:adjustRightInd w:val="0"/>
              <w:snapToGrid w:val="0"/>
              <w:jc w:val="center"/>
              <w:rPr>
                <w:rFonts w:hint="default" w:ascii="Times New Roman" w:hAnsi="Times New Roman" w:cs="Times New Roman"/>
                <w:bCs/>
                <w:color w:val="FF0000"/>
                <w:sz w:val="24"/>
                <w:szCs w:val="24"/>
                <w:highlight w:val="none"/>
              </w:rPr>
            </w:pPr>
            <w:r>
              <w:rPr>
                <w:rFonts w:hint="default" w:ascii="Times New Roman" w:hAnsi="Times New Roman" w:cs="Times New Roman"/>
                <w:bCs/>
                <w:color w:val="auto"/>
                <w:sz w:val="24"/>
                <w:szCs w:val="24"/>
                <w:highlight w:val="none"/>
              </w:rPr>
              <w:t>措施</w:t>
            </w:r>
          </w:p>
        </w:tc>
        <w:tc>
          <w:tcPr>
            <w:tcW w:w="9040" w:type="dxa"/>
            <w:noWrap w:val="0"/>
            <w:vAlign w:val="center"/>
          </w:tcPr>
          <w:p>
            <w:pPr>
              <w:snapToGrid w:val="0"/>
              <w:spacing w:line="360" w:lineRule="auto"/>
              <w:rPr>
                <w:b/>
                <w:bCs/>
                <w:spacing w:val="-10"/>
                <w:sz w:val="24"/>
                <w:szCs w:val="24"/>
                <w:highlight w:val="none"/>
              </w:rPr>
            </w:pPr>
            <w:r>
              <w:rPr>
                <w:b/>
                <w:bCs/>
                <w:spacing w:val="-10"/>
                <w:sz w:val="24"/>
                <w:szCs w:val="24"/>
                <w:highlight w:val="none"/>
              </w:rPr>
              <w:t>1.2 废气源强核算说明</w:t>
            </w:r>
          </w:p>
          <w:p>
            <w:pPr>
              <w:snapToGrid w:val="0"/>
              <w:spacing w:line="360" w:lineRule="auto"/>
              <w:jc w:val="center"/>
              <w:rPr>
                <w:rFonts w:hint="default" w:ascii="Times New Roman" w:hAnsi="Times New Roman" w:cs="Times New Roman"/>
                <w:b/>
                <w:snapToGrid w:val="0"/>
                <w:color w:val="auto"/>
                <w:sz w:val="21"/>
                <w:szCs w:val="21"/>
                <w:highlight w:val="none"/>
              </w:rPr>
            </w:pPr>
            <w:r>
              <w:rPr>
                <w:rFonts w:hint="default" w:ascii="Times New Roman" w:hAnsi="Times New Roman" w:cs="Times New Roman"/>
                <w:b/>
                <w:snapToGrid w:val="0"/>
                <w:color w:val="auto"/>
                <w:sz w:val="21"/>
                <w:szCs w:val="21"/>
                <w:highlight w:val="none"/>
              </w:rPr>
              <w:t>表4-</w:t>
            </w:r>
            <w:r>
              <w:rPr>
                <w:rFonts w:hint="default" w:ascii="Times New Roman" w:hAnsi="Times New Roman" w:eastAsia="宋体" w:cs="Times New Roman"/>
                <w:b/>
                <w:snapToGrid w:val="0"/>
                <w:color w:val="auto"/>
                <w:sz w:val="21"/>
                <w:szCs w:val="21"/>
                <w:highlight w:val="none"/>
                <w:lang w:val="en-US" w:eastAsia="zh-CN"/>
              </w:rPr>
              <w:t>3</w:t>
            </w:r>
            <w:r>
              <w:rPr>
                <w:rFonts w:hint="default" w:ascii="Times New Roman" w:hAnsi="Times New Roman" w:cs="Times New Roman"/>
                <w:b/>
                <w:snapToGrid w:val="0"/>
                <w:color w:val="auto"/>
                <w:sz w:val="21"/>
                <w:szCs w:val="21"/>
                <w:highlight w:val="none"/>
              </w:rPr>
              <w:t xml:space="preserve">  废气产生源强计算依据</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347"/>
              <w:gridCol w:w="1199"/>
              <w:gridCol w:w="125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noWrap w:val="0"/>
                  <w:vAlign w:val="center"/>
                </w:tcPr>
                <w:p>
                  <w:pPr>
                    <w:widowControl/>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工艺名称</w:t>
                  </w:r>
                </w:p>
              </w:tc>
              <w:tc>
                <w:tcPr>
                  <w:tcW w:w="764" w:type="pct"/>
                  <w:noWrap w:val="0"/>
                  <w:vAlign w:val="center"/>
                </w:tcPr>
                <w:p>
                  <w:pPr>
                    <w:widowControl/>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污染物指标</w:t>
                  </w:r>
                </w:p>
              </w:tc>
              <w:tc>
                <w:tcPr>
                  <w:tcW w:w="680" w:type="pct"/>
                  <w:noWrap w:val="0"/>
                  <w:vAlign w:val="center"/>
                </w:tcPr>
                <w:p>
                  <w:pPr>
                    <w:widowControl/>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单位</w:t>
                  </w:r>
                </w:p>
              </w:tc>
              <w:tc>
                <w:tcPr>
                  <w:tcW w:w="711" w:type="pct"/>
                  <w:noWrap w:val="0"/>
                  <w:vAlign w:val="center"/>
                </w:tcPr>
                <w:p>
                  <w:pPr>
                    <w:widowControl/>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产污系数</w:t>
                  </w:r>
                </w:p>
              </w:tc>
              <w:tc>
                <w:tcPr>
                  <w:tcW w:w="2108" w:type="pct"/>
                  <w:noWrap w:val="0"/>
                  <w:vAlign w:val="center"/>
                </w:tcPr>
                <w:p>
                  <w:pPr>
                    <w:widowControl/>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35"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加热吹膜</w:t>
                  </w:r>
                </w:p>
              </w:tc>
              <w:tc>
                <w:tcPr>
                  <w:tcW w:w="764" w:type="pct"/>
                  <w:vMerge w:val="restart"/>
                  <w:noWrap w:val="0"/>
                  <w:vAlign w:val="center"/>
                </w:tcPr>
                <w:p>
                  <w:pPr>
                    <w:widowControl/>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VOCs</w:t>
                  </w:r>
                </w:p>
              </w:tc>
              <w:tc>
                <w:tcPr>
                  <w:tcW w:w="680" w:type="pct"/>
                  <w:vMerge w:val="restart"/>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千克/吨-</w:t>
                  </w:r>
                  <w:r>
                    <w:rPr>
                      <w:rFonts w:hint="eastAsia" w:cs="Times New Roman"/>
                      <w:color w:val="auto"/>
                      <w:sz w:val="21"/>
                      <w:szCs w:val="21"/>
                      <w:highlight w:val="none"/>
                      <w:lang w:val="en-US" w:eastAsia="zh-CN"/>
                    </w:rPr>
                    <w:t>塑料原料</w:t>
                  </w:r>
                </w:p>
              </w:tc>
              <w:tc>
                <w:tcPr>
                  <w:tcW w:w="71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0.35</w:t>
                  </w:r>
                </w:p>
              </w:tc>
              <w:tc>
                <w:tcPr>
                  <w:tcW w:w="2108" w:type="pct"/>
                  <w:vMerge w:val="restart"/>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《空气污染物排放和控制手册》（美国国家环保局）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5" w:type="pct"/>
                  <w:noWrap w:val="0"/>
                  <w:vAlign w:val="center"/>
                </w:tcPr>
                <w:p>
                  <w:pPr>
                    <w:widowControl/>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回用造粒</w:t>
                  </w:r>
                </w:p>
              </w:tc>
              <w:tc>
                <w:tcPr>
                  <w:tcW w:w="764" w:type="pct"/>
                  <w:vMerge w:val="continue"/>
                  <w:noWrap w:val="0"/>
                  <w:vAlign w:val="center"/>
                </w:tcPr>
                <w:p>
                  <w:pPr>
                    <w:widowControl/>
                    <w:jc w:val="center"/>
                    <w:rPr>
                      <w:rFonts w:hint="eastAsia" w:cs="Times New Roman"/>
                      <w:color w:val="auto"/>
                      <w:sz w:val="21"/>
                      <w:szCs w:val="21"/>
                      <w:highlight w:val="none"/>
                      <w:lang w:val="en-US" w:eastAsia="zh-CN"/>
                    </w:rPr>
                  </w:pPr>
                </w:p>
              </w:tc>
              <w:tc>
                <w:tcPr>
                  <w:tcW w:w="680" w:type="pct"/>
                  <w:vMerge w:val="continue"/>
                  <w:noWrap w:val="0"/>
                  <w:vAlign w:val="center"/>
                </w:tcPr>
                <w:p>
                  <w:pPr>
                    <w:widowControl/>
                    <w:jc w:val="center"/>
                    <w:rPr>
                      <w:rFonts w:hint="default" w:ascii="Times New Roman" w:hAnsi="Times New Roman" w:cs="Times New Roman"/>
                      <w:color w:val="auto"/>
                      <w:sz w:val="21"/>
                      <w:szCs w:val="21"/>
                      <w:highlight w:val="none"/>
                    </w:rPr>
                  </w:pPr>
                </w:p>
              </w:tc>
              <w:tc>
                <w:tcPr>
                  <w:tcW w:w="711" w:type="pct"/>
                  <w:vMerge w:val="continue"/>
                  <w:noWrap w:val="0"/>
                  <w:vAlign w:val="center"/>
                </w:tcPr>
                <w:p>
                  <w:pPr>
                    <w:jc w:val="center"/>
                    <w:rPr>
                      <w:rFonts w:hint="default" w:cs="Times New Roman"/>
                      <w:color w:val="auto"/>
                      <w:sz w:val="21"/>
                      <w:szCs w:val="21"/>
                      <w:highlight w:val="none"/>
                      <w:lang w:val="en-US" w:eastAsia="zh-CN"/>
                    </w:rPr>
                  </w:pPr>
                </w:p>
              </w:tc>
              <w:tc>
                <w:tcPr>
                  <w:tcW w:w="2108"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r>
          </w:tbl>
          <w:p>
            <w:pPr>
              <w:snapToGrid w:val="0"/>
              <w:spacing w:line="360" w:lineRule="auto"/>
              <w:ind w:firstLine="442" w:firstLineChars="200"/>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lang w:eastAsia="zh-CN"/>
              </w:rPr>
              <w:t>（</w:t>
            </w:r>
            <w:r>
              <w:rPr>
                <w:rFonts w:hint="default" w:ascii="Times New Roman" w:hAnsi="Times New Roman" w:cs="Times New Roman"/>
                <w:b/>
                <w:bCs/>
                <w:color w:val="auto"/>
                <w:spacing w:val="-10"/>
                <w:sz w:val="24"/>
                <w:szCs w:val="24"/>
                <w:highlight w:val="none"/>
                <w:lang w:val="en-US" w:eastAsia="zh-CN"/>
              </w:rPr>
              <w:t>1</w:t>
            </w:r>
            <w:r>
              <w:rPr>
                <w:rFonts w:hint="default" w:ascii="Times New Roman" w:hAnsi="Times New Roman" w:cs="Times New Roman"/>
                <w:b/>
                <w:bCs/>
                <w:color w:val="auto"/>
                <w:spacing w:val="-10"/>
                <w:sz w:val="24"/>
                <w:szCs w:val="24"/>
                <w:highlight w:val="none"/>
                <w:lang w:eastAsia="zh-CN"/>
              </w:rPr>
              <w:t>）</w:t>
            </w:r>
            <w:r>
              <w:rPr>
                <w:rFonts w:hint="default" w:ascii="Times New Roman" w:hAnsi="Times New Roman" w:cs="Times New Roman"/>
                <w:b/>
                <w:bCs/>
                <w:color w:val="auto"/>
                <w:spacing w:val="-10"/>
                <w:sz w:val="24"/>
                <w:szCs w:val="24"/>
                <w:highlight w:val="none"/>
              </w:rPr>
              <w:t>有组织废气</w:t>
            </w:r>
          </w:p>
          <w:p>
            <w:pPr>
              <w:snapToGrid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1）加热吹膜废气</w:t>
            </w:r>
          </w:p>
          <w:p>
            <w:pPr>
              <w:snapToGrid w:val="0"/>
              <w:spacing w:line="360" w:lineRule="auto"/>
              <w:ind w:firstLine="480" w:firstLineChars="200"/>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本项目加热吹膜过程中会产生有机废气，主要成分是VOCs，参考《空气污染物排放和控制手册》（美国国家环保局）中推荐的公式，VOCs按0.35kg/t-塑料原料计算，主要原材料是聚乙烯与聚丙烯，原材料总用量为3000t/a，年运行时间为7200h，则吹膜过程中VOCs产生量为1.05t/a</w:t>
            </w:r>
            <w:r>
              <w:rPr>
                <w:rFonts w:hint="eastAsia"/>
                <w:sz w:val="24"/>
                <w:szCs w:val="24"/>
                <w:lang w:eastAsia="zh-CN"/>
              </w:rPr>
              <w:t>（</w:t>
            </w:r>
            <w:r>
              <w:rPr>
                <w:rFonts w:hint="eastAsia" w:cs="Times New Roman"/>
                <w:color w:val="auto"/>
                <w:kern w:val="0"/>
                <w:sz w:val="24"/>
                <w:szCs w:val="24"/>
                <w:highlight w:val="none"/>
                <w:lang w:val="en-US" w:eastAsia="zh-CN"/>
              </w:rPr>
              <w:t>0.146kg/h</w:t>
            </w:r>
            <w:r>
              <w:rPr>
                <w:rFonts w:hint="eastAsia"/>
                <w:sz w:val="24"/>
                <w:szCs w:val="24"/>
                <w:lang w:eastAsia="zh-CN"/>
              </w:rPr>
              <w:t>）</w:t>
            </w:r>
            <w:r>
              <w:rPr>
                <w:rFonts w:hint="eastAsia" w:cs="Times New Roman"/>
                <w:color w:val="auto"/>
                <w:sz w:val="24"/>
                <w:szCs w:val="24"/>
                <w:highlight w:val="none"/>
                <w:lang w:val="en-US" w:eastAsia="zh-CN"/>
              </w:rPr>
              <w:t>。</w:t>
            </w:r>
          </w:p>
          <w:p>
            <w:pPr>
              <w:snapToGrid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2）回用造粒废气</w:t>
            </w:r>
          </w:p>
          <w:p>
            <w:pPr>
              <w:snapToGrid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本项目在回用造粒过程中，将产生的废边角料及不合格品进行回用，该过程会产生有机废气，主要成分是VOCs，参考《空气污染物排放和控制手册》（美国国家环保局）中推荐的公式，VOCs按0.35kg/t-塑料原料计算，废边角料及不合格品约为150t/a，运行时间为800h，则造粒过程中VOCs产生量为0.053t/a（0.066</w:t>
            </w:r>
            <w:r>
              <w:rPr>
                <w:rFonts w:hint="eastAsia" w:cs="Times New Roman"/>
                <w:color w:val="auto"/>
                <w:kern w:val="0"/>
                <w:sz w:val="24"/>
                <w:szCs w:val="24"/>
                <w:highlight w:val="none"/>
                <w:lang w:val="en-US" w:eastAsia="zh-CN"/>
              </w:rPr>
              <w:t>kg/h</w:t>
            </w:r>
            <w:r>
              <w:rPr>
                <w:rFonts w:hint="eastAsia" w:cs="Times New Roman"/>
                <w:color w:val="auto"/>
                <w:sz w:val="24"/>
                <w:szCs w:val="24"/>
                <w:highlight w:val="none"/>
                <w:lang w:val="en-US" w:eastAsia="zh-CN"/>
              </w:rPr>
              <w:t>）。</w:t>
            </w:r>
          </w:p>
          <w:p>
            <w:pPr>
              <w:snapToGrid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3）DA001收集、处理和排放情况</w:t>
            </w:r>
          </w:p>
          <w:p>
            <w:pPr>
              <w:snapToGrid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本项目废气由集气罩收集（收集效率90%），VOCs的收集量为0.993t/a</w:t>
            </w:r>
            <w:r>
              <w:rPr>
                <w:rFonts w:hint="eastAsia"/>
                <w:sz w:val="24"/>
                <w:szCs w:val="24"/>
                <w:lang w:eastAsia="zh-CN"/>
              </w:rPr>
              <w:t>（</w:t>
            </w:r>
            <w:r>
              <w:rPr>
                <w:rFonts w:hint="eastAsia" w:cs="Times New Roman"/>
                <w:color w:val="auto"/>
                <w:kern w:val="0"/>
                <w:sz w:val="24"/>
                <w:szCs w:val="24"/>
                <w:highlight w:val="none"/>
                <w:lang w:val="en-US" w:eastAsia="zh-CN"/>
              </w:rPr>
              <w:t>0.191kg/h</w:t>
            </w:r>
            <w:r>
              <w:rPr>
                <w:rFonts w:hint="eastAsia"/>
                <w:sz w:val="24"/>
                <w:szCs w:val="24"/>
                <w:lang w:eastAsia="zh-CN"/>
              </w:rPr>
              <w:t>）</w:t>
            </w:r>
            <w:r>
              <w:rPr>
                <w:rFonts w:hint="eastAsia" w:cs="Times New Roman"/>
                <w:color w:val="auto"/>
                <w:sz w:val="24"/>
                <w:szCs w:val="24"/>
                <w:highlight w:val="none"/>
                <w:lang w:val="en-US" w:eastAsia="zh-CN"/>
              </w:rPr>
              <w:t>，收集的废气经二级活性炭吸附装置处理后（处理效率90%），通过一根排15m高的排气筒DA001排放。排放量为0.01t/a（0.019kg/h），风机风量为5000m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/h，则排放浓度为3.8mg/m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，满足</w:t>
            </w:r>
            <w:r>
              <w:rPr>
                <w:rFonts w:hint="default" w:ascii="Times New Roman" w:hAnsi="Times New Roman" w:cs="Times New Roman"/>
                <w:color w:val="auto"/>
                <w:sz w:val="24"/>
                <w:szCs w:val="24"/>
                <w:highlight w:val="none"/>
              </w:rPr>
              <w:t>《挥发性有机物排放标准 第6部分：有机化工行业》（DB37/2801.6-2018）表1中其他行业Ⅱ时段排放限值要求</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VOCs：60mg/m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，3kg/h</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w:t>
            </w:r>
          </w:p>
          <w:p>
            <w:pPr>
              <w:snapToGrid w:val="0"/>
              <w:spacing w:line="360" w:lineRule="auto"/>
              <w:jc w:val="center"/>
              <w:rPr>
                <w:rFonts w:hint="eastAsia" w:eastAsia="宋体"/>
                <w:b/>
                <w:snapToGrid w:val="0"/>
                <w:color w:val="000000"/>
                <w:szCs w:val="21"/>
                <w:highlight w:val="none"/>
                <w:lang w:eastAsia="zh-CN"/>
              </w:rPr>
            </w:pPr>
            <w:r>
              <w:rPr>
                <w:b/>
                <w:snapToGrid w:val="0"/>
                <w:color w:val="000000"/>
                <w:szCs w:val="21"/>
                <w:highlight w:val="none"/>
              </w:rPr>
              <w:t>表4-</w:t>
            </w:r>
            <w:r>
              <w:rPr>
                <w:rFonts w:hint="eastAsia"/>
                <w:b/>
                <w:snapToGrid w:val="0"/>
                <w:color w:val="000000"/>
                <w:szCs w:val="21"/>
                <w:highlight w:val="none"/>
                <w:lang w:val="en-US" w:eastAsia="zh-CN"/>
              </w:rPr>
              <w:t>4</w:t>
            </w:r>
            <w:r>
              <w:rPr>
                <w:b/>
                <w:snapToGrid w:val="0"/>
                <w:color w:val="000000"/>
                <w:szCs w:val="21"/>
                <w:highlight w:val="none"/>
              </w:rPr>
              <w:t xml:space="preserve">  废气</w:t>
            </w:r>
            <w:r>
              <w:rPr>
                <w:rFonts w:hint="eastAsia"/>
                <w:b/>
                <w:snapToGrid w:val="0"/>
                <w:color w:val="000000"/>
                <w:szCs w:val="21"/>
                <w:highlight w:val="none"/>
                <w:lang w:eastAsia="zh-CN"/>
              </w:rPr>
              <w:t>排放</w:t>
            </w:r>
            <w:r>
              <w:rPr>
                <w:b/>
                <w:snapToGrid w:val="0"/>
                <w:color w:val="000000"/>
                <w:szCs w:val="21"/>
                <w:highlight w:val="none"/>
              </w:rPr>
              <w:t>源强计算</w:t>
            </w:r>
            <w:r>
              <w:rPr>
                <w:rFonts w:hint="eastAsia"/>
                <w:b/>
                <w:snapToGrid w:val="0"/>
                <w:color w:val="000000"/>
                <w:szCs w:val="21"/>
                <w:highlight w:val="none"/>
                <w:lang w:eastAsia="zh-CN"/>
              </w:rPr>
              <w:t>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15"/>
              <w:gridCol w:w="1327"/>
              <w:gridCol w:w="1327"/>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53" w:type="dxa"/>
                  <w:noWrap w:val="0"/>
                  <w:vAlign w:val="center"/>
                </w:tcPr>
                <w:p>
                  <w:pPr>
                    <w:widowControl/>
                    <w:jc w:val="center"/>
                    <w:rPr>
                      <w:rFonts w:hint="eastAsia" w:ascii="Times New Roman" w:hAnsi="Times New Roman"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产污环节</w:t>
                  </w:r>
                </w:p>
              </w:tc>
              <w:tc>
                <w:tcPr>
                  <w:tcW w:w="1515" w:type="dxa"/>
                  <w:noWrap w:val="0"/>
                  <w:vAlign w:val="center"/>
                </w:tcPr>
                <w:p>
                  <w:pPr>
                    <w:widowControl/>
                    <w:jc w:val="center"/>
                    <w:rPr>
                      <w:rFonts w:hint="eastAsia" w:ascii="Times New Roman" w:hAnsi="Times New Roman"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排放量（</w:t>
                  </w:r>
                  <w:r>
                    <w:rPr>
                      <w:rFonts w:hint="eastAsia" w:ascii="Times New Roman" w:hAnsi="Times New Roman" w:cs="Times New Roman"/>
                      <w:b/>
                      <w:color w:val="auto"/>
                      <w:sz w:val="21"/>
                      <w:szCs w:val="21"/>
                      <w:highlight w:val="none"/>
                      <w:lang w:val="en-US" w:eastAsia="zh-CN"/>
                    </w:rPr>
                    <w:t>t/a</w:t>
                  </w:r>
                  <w:r>
                    <w:rPr>
                      <w:rFonts w:hint="eastAsia" w:ascii="Times New Roman" w:hAnsi="Times New Roman" w:cs="Times New Roman"/>
                      <w:b/>
                      <w:color w:val="auto"/>
                      <w:sz w:val="21"/>
                      <w:szCs w:val="21"/>
                      <w:highlight w:val="none"/>
                      <w:lang w:eastAsia="zh-CN"/>
                    </w:rPr>
                    <w:t>）</w:t>
                  </w:r>
                </w:p>
              </w:tc>
              <w:tc>
                <w:tcPr>
                  <w:tcW w:w="2654" w:type="dxa"/>
                  <w:gridSpan w:val="2"/>
                  <w:noWrap w:val="0"/>
                  <w:vAlign w:val="center"/>
                </w:tcPr>
                <w:p>
                  <w:pPr>
                    <w:widowControl/>
                    <w:jc w:val="center"/>
                    <w:rPr>
                      <w:rFonts w:hint="eastAsia" w:ascii="Times New Roman" w:hAnsi="Times New Roman"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排放速率（</w:t>
                  </w:r>
                  <w:r>
                    <w:rPr>
                      <w:rFonts w:hint="eastAsia" w:ascii="Times New Roman" w:hAnsi="Times New Roman" w:cs="Times New Roman"/>
                      <w:b/>
                      <w:color w:val="auto"/>
                      <w:sz w:val="21"/>
                      <w:szCs w:val="21"/>
                      <w:highlight w:val="none"/>
                      <w:lang w:val="en-US" w:eastAsia="zh-CN"/>
                    </w:rPr>
                    <w:t>kg/h</w:t>
                  </w:r>
                  <w:r>
                    <w:rPr>
                      <w:rFonts w:hint="eastAsia" w:ascii="Times New Roman" w:hAnsi="Times New Roman" w:cs="Times New Roman"/>
                      <w:b/>
                      <w:color w:val="auto"/>
                      <w:sz w:val="21"/>
                      <w:szCs w:val="21"/>
                      <w:highlight w:val="none"/>
                      <w:lang w:eastAsia="zh-CN"/>
                    </w:rPr>
                    <w:t>）</w:t>
                  </w:r>
                </w:p>
              </w:tc>
              <w:tc>
                <w:tcPr>
                  <w:tcW w:w="2696" w:type="dxa"/>
                  <w:noWrap w:val="0"/>
                  <w:vAlign w:val="center"/>
                </w:tcPr>
                <w:p>
                  <w:pPr>
                    <w:widowControl/>
                    <w:jc w:val="center"/>
                    <w:rPr>
                      <w:rFonts w:hint="eastAsia" w:ascii="Times New Roman" w:hAnsi="Times New Roman"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排放浓度（</w:t>
                  </w:r>
                  <w:r>
                    <w:rPr>
                      <w:rFonts w:hint="eastAsia" w:ascii="Times New Roman" w:hAnsi="Times New Roman" w:cs="Times New Roman"/>
                      <w:b/>
                      <w:color w:val="auto"/>
                      <w:sz w:val="21"/>
                      <w:szCs w:val="21"/>
                      <w:highlight w:val="none"/>
                      <w:lang w:val="en-US" w:eastAsia="zh-CN"/>
                    </w:rPr>
                    <w:t>mg/m</w:t>
                  </w:r>
                  <w:r>
                    <w:rPr>
                      <w:rFonts w:hint="eastAsia" w:ascii="Times New Roman" w:hAnsi="Times New Roman" w:cs="Times New Roman"/>
                      <w:b/>
                      <w:color w:val="auto"/>
                      <w:sz w:val="21"/>
                      <w:szCs w:val="21"/>
                      <w:highlight w:val="none"/>
                      <w:vertAlign w:val="superscript"/>
                      <w:lang w:val="en-US" w:eastAsia="zh-CN"/>
                    </w:rPr>
                    <w:t>3</w:t>
                  </w:r>
                  <w:r>
                    <w:rPr>
                      <w:rFonts w:hint="eastAsia" w:ascii="Times New Roman" w:hAnsi="Times New Roman"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53" w:type="dxa"/>
                  <w:noWrap w:val="0"/>
                  <w:vAlign w:val="center"/>
                </w:tcPr>
                <w:p>
                  <w:pPr>
                    <w:widowControl/>
                    <w:jc w:val="center"/>
                    <w:rPr>
                      <w:rFonts w:hint="eastAsia" w:ascii="Times New Roman" w:hAnsi="Times New Roman" w:cs="Times New Roman"/>
                      <w:b w:val="0"/>
                      <w:bCs/>
                      <w:color w:val="auto"/>
                      <w:sz w:val="21"/>
                      <w:szCs w:val="21"/>
                      <w:highlight w:val="none"/>
                      <w:lang w:eastAsia="zh-CN"/>
                    </w:rPr>
                  </w:pPr>
                  <w:r>
                    <w:rPr>
                      <w:rFonts w:hint="eastAsia" w:cs="Times New Roman"/>
                      <w:color w:val="auto"/>
                      <w:sz w:val="21"/>
                      <w:szCs w:val="21"/>
                      <w:highlight w:val="none"/>
                      <w:lang w:val="en-US" w:eastAsia="zh-CN"/>
                    </w:rPr>
                    <w:t>加热吹膜废气</w:t>
                  </w:r>
                </w:p>
              </w:tc>
              <w:tc>
                <w:tcPr>
                  <w:tcW w:w="1515" w:type="dxa"/>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w:t>
                  </w:r>
                  <w:r>
                    <w:rPr>
                      <w:rFonts w:hint="eastAsia" w:cs="Times New Roman"/>
                      <w:b w:val="0"/>
                      <w:bCs/>
                      <w:color w:val="auto"/>
                      <w:sz w:val="21"/>
                      <w:szCs w:val="21"/>
                      <w:highlight w:val="none"/>
                      <w:lang w:val="en-US" w:eastAsia="zh-CN"/>
                    </w:rPr>
                    <w:t>095</w:t>
                  </w:r>
                </w:p>
              </w:tc>
              <w:tc>
                <w:tcPr>
                  <w:tcW w:w="1327" w:type="dxa"/>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0.0</w:t>
                  </w:r>
                  <w:r>
                    <w:rPr>
                      <w:rFonts w:hint="eastAsia" w:cs="Times New Roman"/>
                      <w:b w:val="0"/>
                      <w:bCs/>
                      <w:color w:val="auto"/>
                      <w:sz w:val="21"/>
                      <w:szCs w:val="21"/>
                      <w:highlight w:val="none"/>
                      <w:lang w:val="en-US" w:eastAsia="zh-CN"/>
                    </w:rPr>
                    <w:t>13</w:t>
                  </w:r>
                </w:p>
              </w:tc>
              <w:tc>
                <w:tcPr>
                  <w:tcW w:w="1327" w:type="dxa"/>
                  <w:vMerge w:val="restart"/>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0.019</w:t>
                  </w:r>
                </w:p>
              </w:tc>
              <w:tc>
                <w:tcPr>
                  <w:tcW w:w="2696" w:type="dxa"/>
                  <w:vMerge w:val="restart"/>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53" w:type="dxa"/>
                  <w:noWrap w:val="0"/>
                  <w:vAlign w:val="center"/>
                </w:tcPr>
                <w:p>
                  <w:pPr>
                    <w:widowControl/>
                    <w:jc w:val="center"/>
                    <w:rPr>
                      <w:rFonts w:hint="eastAsia" w:ascii="Times New Roman" w:hAnsi="Times New Roman" w:cs="Times New Roman"/>
                      <w:b w:val="0"/>
                      <w:bCs/>
                      <w:color w:val="auto"/>
                      <w:sz w:val="21"/>
                      <w:szCs w:val="21"/>
                      <w:highlight w:val="none"/>
                    </w:rPr>
                  </w:pPr>
                  <w:r>
                    <w:rPr>
                      <w:rFonts w:hint="eastAsia" w:cs="Times New Roman"/>
                      <w:color w:val="auto"/>
                      <w:sz w:val="21"/>
                      <w:szCs w:val="21"/>
                      <w:highlight w:val="none"/>
                      <w:lang w:val="en-US" w:eastAsia="zh-CN"/>
                    </w:rPr>
                    <w:t>回用造粒废气</w:t>
                  </w:r>
                </w:p>
              </w:tc>
              <w:tc>
                <w:tcPr>
                  <w:tcW w:w="1515" w:type="dxa"/>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0.0</w:t>
                  </w:r>
                  <w:r>
                    <w:rPr>
                      <w:rFonts w:hint="eastAsia" w:cs="Times New Roman"/>
                      <w:b w:val="0"/>
                      <w:bCs/>
                      <w:color w:val="auto"/>
                      <w:sz w:val="21"/>
                      <w:szCs w:val="21"/>
                      <w:highlight w:val="none"/>
                      <w:lang w:val="en-US" w:eastAsia="zh-CN"/>
                    </w:rPr>
                    <w:t>05</w:t>
                  </w:r>
                </w:p>
              </w:tc>
              <w:tc>
                <w:tcPr>
                  <w:tcW w:w="1327" w:type="dxa"/>
                  <w:noWrap w:val="0"/>
                  <w:vAlign w:val="center"/>
                </w:tcPr>
                <w:p>
                  <w:pPr>
                    <w:widowControl/>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0.0</w:t>
                  </w:r>
                  <w:r>
                    <w:rPr>
                      <w:rFonts w:hint="eastAsia" w:cs="Times New Roman"/>
                      <w:b w:val="0"/>
                      <w:bCs/>
                      <w:color w:val="auto"/>
                      <w:sz w:val="21"/>
                      <w:szCs w:val="21"/>
                      <w:highlight w:val="none"/>
                      <w:lang w:val="en-US" w:eastAsia="zh-CN"/>
                    </w:rPr>
                    <w:t>06</w:t>
                  </w:r>
                </w:p>
              </w:tc>
              <w:tc>
                <w:tcPr>
                  <w:tcW w:w="1327" w:type="dxa"/>
                  <w:vMerge w:val="continue"/>
                  <w:noWrap w:val="0"/>
                  <w:vAlign w:val="center"/>
                </w:tcPr>
                <w:p>
                  <w:pPr>
                    <w:widowControl/>
                    <w:jc w:val="center"/>
                    <w:rPr>
                      <w:rFonts w:hint="default" w:ascii="Times New Roman" w:hAnsi="Times New Roman" w:cs="Times New Roman"/>
                      <w:b/>
                      <w:color w:val="auto"/>
                      <w:sz w:val="21"/>
                      <w:szCs w:val="21"/>
                      <w:highlight w:val="none"/>
                    </w:rPr>
                  </w:pPr>
                </w:p>
              </w:tc>
              <w:tc>
                <w:tcPr>
                  <w:tcW w:w="2696" w:type="dxa"/>
                  <w:vMerge w:val="continue"/>
                  <w:noWrap w:val="0"/>
                  <w:vAlign w:val="center"/>
                </w:tcPr>
                <w:p>
                  <w:pPr>
                    <w:widowControl/>
                    <w:jc w:val="center"/>
                    <w:rPr>
                      <w:rFonts w:hint="default" w:ascii="Times New Roman" w:hAnsi="Times New Roman" w:cs="Times New Roman"/>
                      <w:b/>
                      <w:color w:val="auto"/>
                      <w:sz w:val="21"/>
                      <w:szCs w:val="21"/>
                      <w:highlight w:val="none"/>
                    </w:rPr>
                  </w:pPr>
                </w:p>
              </w:tc>
            </w:tr>
          </w:tbl>
          <w:p>
            <w:pPr>
              <w:snapToGrid w:val="0"/>
              <w:spacing w:line="360" w:lineRule="auto"/>
              <w:ind w:firstLine="442" w:firstLineChars="200"/>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lang w:eastAsia="zh-CN"/>
              </w:rPr>
              <w:t>（</w:t>
            </w:r>
            <w:r>
              <w:rPr>
                <w:rFonts w:hint="default" w:ascii="Times New Roman" w:hAnsi="Times New Roman" w:cs="Times New Roman"/>
                <w:b/>
                <w:bCs/>
                <w:color w:val="auto"/>
                <w:spacing w:val="-10"/>
                <w:sz w:val="24"/>
                <w:szCs w:val="24"/>
                <w:highlight w:val="none"/>
                <w:lang w:val="en-US" w:eastAsia="zh-CN"/>
              </w:rPr>
              <w:t>2</w:t>
            </w:r>
            <w:r>
              <w:rPr>
                <w:rFonts w:hint="default" w:ascii="Times New Roman" w:hAnsi="Times New Roman" w:cs="Times New Roman"/>
                <w:b/>
                <w:bCs/>
                <w:color w:val="auto"/>
                <w:spacing w:val="-10"/>
                <w:sz w:val="24"/>
                <w:szCs w:val="24"/>
                <w:highlight w:val="none"/>
                <w:lang w:eastAsia="zh-CN"/>
              </w:rPr>
              <w:t>）</w:t>
            </w:r>
            <w:r>
              <w:rPr>
                <w:rFonts w:hint="default" w:ascii="Times New Roman" w:hAnsi="Times New Roman" w:cs="Times New Roman"/>
                <w:b/>
                <w:bCs/>
                <w:color w:val="auto"/>
                <w:spacing w:val="-10"/>
                <w:sz w:val="24"/>
                <w:szCs w:val="24"/>
                <w:highlight w:val="none"/>
              </w:rPr>
              <w:t>无组织废气</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本项目加热吹膜、回用造粒工序均采取集气罩收集措施，</w:t>
            </w:r>
            <w:r>
              <w:rPr>
                <w:rFonts w:hint="default" w:ascii="Times New Roman" w:hAnsi="Times New Roman" w:cs="Times New Roman"/>
                <w:color w:val="auto"/>
                <w:sz w:val="24"/>
                <w:szCs w:val="24"/>
                <w:highlight w:val="none"/>
                <w:lang w:val="en-US" w:eastAsia="zh-CN"/>
              </w:rPr>
              <w:t>未收集的VOCs无组织排放，合计排放量为</w:t>
            </w:r>
            <w:r>
              <w:rPr>
                <w:rFonts w:hint="default" w:ascii="Times New Roman" w:hAnsi="Times New Roman" w:cs="Times New Roman"/>
                <w:color w:val="auto"/>
                <w:sz w:val="24"/>
                <w:szCs w:val="24"/>
                <w:highlight w:val="none"/>
                <w:lang w:eastAsia="zh-CN"/>
              </w:rPr>
              <w:t>VOCs</w:t>
            </w: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t/a。</w:t>
            </w:r>
          </w:p>
          <w:p>
            <w:pPr>
              <w:tabs>
                <w:tab w:val="left" w:pos="720"/>
              </w:tabs>
              <w:spacing w:line="360" w:lineRule="auto"/>
              <w:ind w:firstLine="482" w:firstLineChars="200"/>
              <w:rPr>
                <w:rFonts w:hint="default" w:ascii="Times New Roman" w:hAnsi="Times New Roman" w:cs="Times New Roman"/>
                <w:b/>
                <w:snapToGrid w:val="0"/>
                <w:color w:val="auto"/>
                <w:kern w:val="0"/>
                <w:sz w:val="24"/>
                <w:szCs w:val="24"/>
                <w:highlight w:val="none"/>
              </w:rPr>
            </w:pP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rPr>
              <w:t>）废气排放情况汇总</w:t>
            </w:r>
          </w:p>
          <w:p>
            <w:pPr>
              <w:autoSpaceDE w:val="0"/>
              <w:autoSpaceDN w:val="0"/>
              <w:adjustRightInd w:val="0"/>
              <w:jc w:val="center"/>
              <w:rPr>
                <w:rFonts w:hint="default"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表4-</w:t>
            </w:r>
            <w:r>
              <w:rPr>
                <w:rFonts w:hint="eastAsia" w:cs="Times New Roman"/>
                <w:b/>
                <w:snapToGrid w:val="0"/>
                <w:color w:val="auto"/>
                <w:kern w:val="0"/>
                <w:sz w:val="21"/>
                <w:szCs w:val="21"/>
                <w:highlight w:val="none"/>
                <w:lang w:val="en-US" w:eastAsia="zh-CN"/>
              </w:rPr>
              <w:t>5</w:t>
            </w:r>
            <w:r>
              <w:rPr>
                <w:rFonts w:hint="default" w:ascii="Times New Roman" w:hAnsi="Times New Roman" w:cs="Times New Roman"/>
                <w:b/>
                <w:snapToGrid w:val="0"/>
                <w:color w:val="auto"/>
                <w:kern w:val="0"/>
                <w:sz w:val="21"/>
                <w:szCs w:val="21"/>
                <w:highlight w:val="none"/>
              </w:rPr>
              <w:t xml:space="preserve">  项目大气污染物排放情况汇总</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65"/>
              <w:gridCol w:w="257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074" w:type="pct"/>
                  <w:gridSpan w:val="2"/>
                  <w:noWrap w:val="0"/>
                  <w:vAlign w:val="center"/>
                </w:tcPr>
                <w:p>
                  <w:pPr>
                    <w:jc w:val="center"/>
                    <w:rPr>
                      <w:rFonts w:hint="default" w:ascii="Times New Roman" w:hAnsi="Times New Roman" w:cs="Times New Roman"/>
                      <w:b/>
                      <w:bCs/>
                      <w:i w:val="0"/>
                      <w:iCs w:val="0"/>
                      <w:color w:val="auto"/>
                      <w:sz w:val="21"/>
                      <w:szCs w:val="21"/>
                      <w:highlight w:val="none"/>
                    </w:rPr>
                  </w:pPr>
                  <w:r>
                    <w:rPr>
                      <w:rFonts w:hint="default" w:ascii="Times New Roman" w:hAnsi="Times New Roman" w:cs="Times New Roman"/>
                      <w:b/>
                      <w:bCs/>
                      <w:i w:val="0"/>
                      <w:iCs w:val="0"/>
                      <w:color w:val="auto"/>
                      <w:sz w:val="21"/>
                      <w:szCs w:val="21"/>
                      <w:highlight w:val="none"/>
                    </w:rPr>
                    <w:t>污染物</w:t>
                  </w:r>
                </w:p>
              </w:tc>
              <w:tc>
                <w:tcPr>
                  <w:tcW w:w="1461" w:type="pct"/>
                  <w:noWrap w:val="0"/>
                  <w:vAlign w:val="center"/>
                </w:tcPr>
                <w:p>
                  <w:pPr>
                    <w:jc w:val="center"/>
                    <w:rPr>
                      <w:rFonts w:hint="default" w:ascii="Times New Roman" w:hAnsi="Times New Roman" w:cs="Times New Roman"/>
                      <w:b/>
                      <w:bCs/>
                      <w:i w:val="0"/>
                      <w:iCs w:val="0"/>
                      <w:color w:val="auto"/>
                      <w:sz w:val="21"/>
                      <w:szCs w:val="21"/>
                      <w:highlight w:val="none"/>
                    </w:rPr>
                  </w:pPr>
                  <w:r>
                    <w:rPr>
                      <w:rFonts w:hint="default" w:ascii="Times New Roman" w:hAnsi="Times New Roman" w:cs="Times New Roman"/>
                      <w:b/>
                      <w:bCs/>
                      <w:i w:val="0"/>
                      <w:iCs w:val="0"/>
                      <w:color w:val="auto"/>
                      <w:sz w:val="21"/>
                      <w:szCs w:val="21"/>
                      <w:highlight w:val="none"/>
                    </w:rPr>
                    <w:t>有组织（t/a）</w:t>
                  </w:r>
                </w:p>
              </w:tc>
              <w:tc>
                <w:tcPr>
                  <w:tcW w:w="1464" w:type="pct"/>
                  <w:noWrap w:val="0"/>
                  <w:vAlign w:val="center"/>
                </w:tcPr>
                <w:p>
                  <w:pPr>
                    <w:jc w:val="center"/>
                    <w:rPr>
                      <w:rFonts w:hint="default" w:ascii="Times New Roman" w:hAnsi="Times New Roman" w:cs="Times New Roman"/>
                      <w:b/>
                      <w:bCs/>
                      <w:i w:val="0"/>
                      <w:iCs w:val="0"/>
                      <w:color w:val="auto"/>
                      <w:sz w:val="21"/>
                      <w:szCs w:val="21"/>
                      <w:highlight w:val="none"/>
                    </w:rPr>
                  </w:pPr>
                  <w:r>
                    <w:rPr>
                      <w:rFonts w:hint="default" w:ascii="Times New Roman" w:hAnsi="Times New Roman" w:cs="Times New Roman"/>
                      <w:b/>
                      <w:bCs/>
                      <w:i w:val="0"/>
                      <w:iCs w:val="0"/>
                      <w:color w:val="auto"/>
                      <w:sz w:val="21"/>
                      <w:szCs w:val="21"/>
                      <w:highlight w:val="none"/>
                    </w:rPr>
                    <w:t>无组织（t/a）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VOCs</w:t>
                  </w:r>
                </w:p>
              </w:tc>
              <w:tc>
                <w:tcPr>
                  <w:tcW w:w="1461" w:type="pct"/>
                  <w:noWrap w:val="0"/>
                  <w:vAlign w:val="center"/>
                </w:tcPr>
                <w:p>
                  <w:pPr>
                    <w:jc w:val="center"/>
                    <w:rPr>
                      <w:rFonts w:hint="default" w:ascii="Times New Roman" w:hAnsi="Times New Roman" w:cs="Times New Roman"/>
                      <w:color w:val="FF0000"/>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01</w:t>
                  </w:r>
                </w:p>
              </w:tc>
              <w:tc>
                <w:tcPr>
                  <w:tcW w:w="1464" w:type="pct"/>
                  <w:noWrap w:val="0"/>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1568" w:type="pct"/>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VOCs</w:t>
                  </w:r>
                </w:p>
              </w:tc>
              <w:tc>
                <w:tcPr>
                  <w:tcW w:w="292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w:t>
                  </w:r>
                </w:p>
              </w:tc>
            </w:tr>
          </w:tbl>
          <w:p>
            <w:pPr>
              <w:pageBreakBefore/>
              <w:widowControl/>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pacing w:val="-10"/>
                <w:sz w:val="24"/>
                <w:szCs w:val="24"/>
                <w:highlight w:val="none"/>
              </w:rPr>
              <w:t>1.3 废气防治措施有效性分析</w:t>
            </w:r>
          </w:p>
          <w:p>
            <w:pPr>
              <w:pageBreakBefore/>
              <w:widowControl/>
              <w:spacing w:line="360" w:lineRule="auto"/>
              <w:ind w:firstLine="482" w:firstLineChars="200"/>
              <w:rPr>
                <w:rFonts w:hint="default" w:ascii="Times New Roman" w:hAnsi="Times New Roman" w:cs="Times New Roman"/>
                <w:b/>
                <w:color w:val="auto"/>
                <w:kern w:val="24"/>
                <w:sz w:val="24"/>
                <w:szCs w:val="24"/>
                <w:highlight w:val="none"/>
                <w:lang w:val="en-US" w:eastAsia="zh-CN"/>
              </w:rPr>
            </w:pPr>
            <w:r>
              <w:rPr>
                <w:rFonts w:hint="eastAsia" w:cs="Times New Roman"/>
                <w:b/>
                <w:color w:val="auto"/>
                <w:kern w:val="24"/>
                <w:sz w:val="24"/>
                <w:szCs w:val="24"/>
                <w:highlight w:val="none"/>
                <w:lang w:val="en-US" w:eastAsia="zh-CN"/>
              </w:rPr>
              <w:t>（1）废气走向</w:t>
            </w:r>
          </w:p>
          <w:p>
            <w:pPr>
              <w:pageBreakBefore/>
              <w:widowControl/>
              <w:spacing w:line="360" w:lineRule="auto"/>
              <w:ind w:firstLine="482" w:firstLineChars="200"/>
              <w:rPr>
                <w:rFonts w:hint="default" w:ascii="Times New Roman" w:hAnsi="Times New Roman" w:cs="Times New Roman"/>
                <w:b/>
                <w:color w:val="auto"/>
                <w:kern w:val="24"/>
                <w:sz w:val="24"/>
                <w:szCs w:val="24"/>
                <w:highlight w:val="none"/>
                <w:lang w:val="en-US" w:eastAsia="zh-CN"/>
              </w:rPr>
            </w:pPr>
            <w:r>
              <w:rPr>
                <w:rFonts w:hint="default" w:ascii="Times New Roman" w:hAnsi="Times New Roman" w:cs="Times New Roman"/>
                <w:b/>
                <w:color w:val="auto"/>
                <w:kern w:val="24"/>
                <w:sz w:val="24"/>
                <w:szCs w:val="24"/>
                <w:highlight w:val="none"/>
                <w:lang w:val="en-US" w:eastAsia="zh-CN"/>
              </w:rPr>
              <w:drawing>
                <wp:inline distT="0" distB="0" distL="114300" distR="114300">
                  <wp:extent cx="5408930" cy="2389505"/>
                  <wp:effectExtent l="0" t="0" r="0" b="0"/>
                  <wp:docPr id="4" name="图片 4" descr="未命名文件(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52)"/>
                          <pic:cNvPicPr>
                            <a:picLocks noChangeAspect="1"/>
                          </pic:cNvPicPr>
                        </pic:nvPicPr>
                        <pic:blipFill>
                          <a:blip r:embed="rId10"/>
                          <a:srcRect l="7065" t="9591" r="3290" b="6776"/>
                          <a:stretch>
                            <a:fillRect/>
                          </a:stretch>
                        </pic:blipFill>
                        <pic:spPr>
                          <a:xfrm>
                            <a:off x="0" y="0"/>
                            <a:ext cx="5408930" cy="2389505"/>
                          </a:xfrm>
                          <a:prstGeom prst="rect">
                            <a:avLst/>
                          </a:prstGeom>
                        </pic:spPr>
                      </pic:pic>
                    </a:graphicData>
                  </a:graphic>
                </wp:inline>
              </w:drawing>
            </w:r>
          </w:p>
          <w:p>
            <w:pPr>
              <w:pageBreakBefore/>
              <w:widowControl/>
              <w:spacing w:line="360" w:lineRule="auto"/>
              <w:ind w:firstLine="422" w:firstLineChars="200"/>
              <w:jc w:val="center"/>
              <w:rPr>
                <w:rFonts w:hint="default" w:ascii="Times New Roman" w:hAnsi="Times New Roman" w:cs="Times New Roman"/>
                <w:b/>
                <w:color w:val="auto"/>
                <w:kern w:val="24"/>
                <w:sz w:val="21"/>
                <w:szCs w:val="21"/>
                <w:highlight w:val="none"/>
                <w:lang w:val="en-US" w:eastAsia="zh-CN"/>
              </w:rPr>
            </w:pPr>
            <w:r>
              <w:rPr>
                <w:rFonts w:hint="eastAsia" w:cs="Times New Roman"/>
                <w:b/>
                <w:color w:val="auto"/>
                <w:kern w:val="24"/>
                <w:sz w:val="21"/>
                <w:szCs w:val="21"/>
                <w:highlight w:val="none"/>
                <w:lang w:val="en-US" w:eastAsia="zh-CN"/>
              </w:rPr>
              <w:t>图4-1  废气走向图</w:t>
            </w:r>
          </w:p>
          <w:p>
            <w:pPr>
              <w:pageBreakBefore/>
              <w:widowControl/>
              <w:spacing w:line="360" w:lineRule="auto"/>
              <w:rPr>
                <w:sz w:val="24"/>
                <w:szCs w:val="24"/>
                <w:highlight w:val="none"/>
              </w:rPr>
            </w:pPr>
            <w:r>
              <w:rPr>
                <w:b/>
                <w:bCs/>
                <w:spacing w:val="-10"/>
                <w:sz w:val="24"/>
                <w:szCs w:val="24"/>
                <w:highlight w:val="none"/>
              </w:rPr>
              <w:t>1.</w:t>
            </w:r>
            <w:r>
              <w:rPr>
                <w:rFonts w:hint="eastAsia"/>
                <w:b/>
                <w:bCs/>
                <w:spacing w:val="-10"/>
                <w:sz w:val="24"/>
                <w:szCs w:val="24"/>
                <w:highlight w:val="none"/>
                <w:lang w:val="en-US" w:eastAsia="zh-CN"/>
              </w:rPr>
              <w:t>4</w:t>
            </w:r>
            <w:r>
              <w:rPr>
                <w:b/>
                <w:bCs/>
                <w:spacing w:val="-10"/>
                <w:sz w:val="24"/>
                <w:szCs w:val="24"/>
                <w:highlight w:val="none"/>
              </w:rPr>
              <w:t>废气防治措施有效性分析</w:t>
            </w:r>
          </w:p>
          <w:p>
            <w:pPr>
              <w:pageBreakBefore/>
              <w:widowControl/>
              <w:spacing w:line="360" w:lineRule="auto"/>
              <w:ind w:firstLine="482" w:firstLineChars="200"/>
              <w:rPr>
                <w:rFonts w:hint="default" w:ascii="Times New Roman" w:hAnsi="Times New Roman" w:cs="Times New Roman"/>
                <w:color w:val="auto"/>
                <w:kern w:val="24"/>
                <w:sz w:val="24"/>
                <w:szCs w:val="24"/>
                <w:highlight w:val="none"/>
              </w:rPr>
            </w:pPr>
            <w:r>
              <w:rPr>
                <w:rFonts w:hint="default" w:ascii="Times New Roman" w:hAnsi="Times New Roman" w:cs="Times New Roman"/>
                <w:b/>
                <w:color w:val="auto"/>
                <w:kern w:val="24"/>
                <w:sz w:val="24"/>
                <w:szCs w:val="24"/>
                <w:highlight w:val="none"/>
                <w:lang w:val="en-US" w:eastAsia="zh-CN"/>
              </w:rPr>
              <w:t>①</w:t>
            </w:r>
            <w:r>
              <w:rPr>
                <w:rFonts w:hint="default" w:ascii="Times New Roman" w:hAnsi="Times New Roman" w:cs="Times New Roman"/>
                <w:b/>
                <w:color w:val="auto"/>
                <w:kern w:val="24"/>
                <w:sz w:val="24"/>
                <w:szCs w:val="24"/>
                <w:highlight w:val="none"/>
              </w:rPr>
              <w:t>活性炭吸附</w:t>
            </w:r>
            <w:r>
              <w:rPr>
                <w:rFonts w:hint="default" w:ascii="Times New Roman" w:hAnsi="Times New Roman" w:cs="Times New Roman"/>
                <w:b/>
                <w:color w:val="auto"/>
                <w:kern w:val="24"/>
                <w:sz w:val="24"/>
                <w:szCs w:val="24"/>
                <w:highlight w:val="none"/>
                <w:lang w:val="en-US" w:eastAsia="zh-CN"/>
              </w:rPr>
              <w:t>装置</w:t>
            </w:r>
            <w:r>
              <w:rPr>
                <w:rFonts w:hint="default" w:ascii="Times New Roman" w:hAnsi="Times New Roman" w:cs="Times New Roman"/>
                <w:b/>
                <w:color w:val="auto"/>
                <w:kern w:val="24"/>
                <w:sz w:val="24"/>
                <w:szCs w:val="24"/>
                <w:highlight w:val="none"/>
              </w:rPr>
              <w:t>：</w:t>
            </w:r>
            <w:r>
              <w:rPr>
                <w:rFonts w:hint="default" w:ascii="Times New Roman" w:hAnsi="Times New Roman" w:cs="Times New Roman"/>
                <w:color w:val="auto"/>
                <w:kern w:val="24"/>
                <w:sz w:val="24"/>
                <w:szCs w:val="24"/>
                <w:highlight w:val="none"/>
              </w:rPr>
              <w:t>活性炭的多孔结构提供了大量的表面积，从而使其非常容易达到吸收收集杂质的目的。就象磁力一样，所有的分子之间都具有相互引力。正因为如此，活性炭孔壁上的大量的分子可以产生强大的引力，从而达到将介质中的杂质吸引到孔径中的目的。</w:t>
            </w:r>
          </w:p>
          <w:p>
            <w:pPr>
              <w:pageBreakBefore/>
              <w:widowControl/>
              <w:spacing w:line="360" w:lineRule="auto"/>
              <w:ind w:firstLine="480" w:firstLineChars="200"/>
              <w:rPr>
                <w:rFonts w:hint="default" w:ascii="Times New Roman" w:hAnsi="Times New Roman" w:cs="Times New Roman"/>
                <w:color w:val="auto"/>
                <w:kern w:val="24"/>
                <w:sz w:val="24"/>
                <w:szCs w:val="24"/>
                <w:highlight w:val="none"/>
              </w:rPr>
            </w:pPr>
            <w:r>
              <w:rPr>
                <w:rFonts w:hint="default" w:ascii="Times New Roman" w:hAnsi="Times New Roman" w:cs="Times New Roman"/>
                <w:color w:val="auto"/>
                <w:kern w:val="24"/>
                <w:sz w:val="24"/>
                <w:szCs w:val="24"/>
                <w:highlight w:val="none"/>
              </w:rPr>
              <w:t>活性炭吸附法是最早的去除有机废气的方法，这种方法对少量气体处理有效，适用于低浓度废气处理</w:t>
            </w:r>
            <w:r>
              <w:rPr>
                <w:rFonts w:hint="eastAsia" w:cs="Times New Roman"/>
                <w:color w:val="auto"/>
                <w:kern w:val="24"/>
                <w:sz w:val="24"/>
                <w:szCs w:val="24"/>
                <w:highlight w:val="none"/>
                <w:lang w:val="en-US" w:eastAsia="zh-CN"/>
              </w:rPr>
              <w:t>，</w:t>
            </w:r>
            <w:r>
              <w:rPr>
                <w:rFonts w:hint="default" w:ascii="Times New Roman" w:hAnsi="Times New Roman" w:cs="Times New Roman"/>
                <w:color w:val="auto"/>
                <w:kern w:val="24"/>
                <w:sz w:val="24"/>
                <w:szCs w:val="24"/>
                <w:highlight w:val="none"/>
              </w:rPr>
              <w:t>用活性炭作为吸附剂，把废气中的有机物吸附到固相表面进行吸附浓缩，从而达到净化废气的方法。活性炭是去除有机溶剂废气的最适宜的吸附剂，因为其他吸附剂的分子结构具有极性，既具有亲水性，易选择吸附大气中的水分，而有机废气是非极性或极性较弱，其吸附率低；而活性炭具有疏水性，其表面由无数细孔群组成，表面积比其他吸附剂大，一般为600-1500m</w:t>
            </w:r>
            <w:r>
              <w:rPr>
                <w:rFonts w:hint="default" w:ascii="Times New Roman" w:hAnsi="Times New Roman" w:cs="Times New Roman"/>
                <w:color w:val="auto"/>
                <w:kern w:val="24"/>
                <w:sz w:val="24"/>
                <w:szCs w:val="24"/>
                <w:highlight w:val="none"/>
                <w:vertAlign w:val="superscript"/>
              </w:rPr>
              <w:t>2</w:t>
            </w:r>
            <w:r>
              <w:rPr>
                <w:rFonts w:hint="default" w:ascii="Times New Roman" w:hAnsi="Times New Roman" w:cs="Times New Roman"/>
                <w:color w:val="auto"/>
                <w:kern w:val="24"/>
                <w:sz w:val="24"/>
                <w:szCs w:val="24"/>
                <w:highlight w:val="none"/>
              </w:rPr>
              <w:t>/g，因而具有优异的吸附性能。本项目采用蜂窝活性炭作吸附介质，比表面积大于700m</w:t>
            </w:r>
            <w:r>
              <w:rPr>
                <w:rFonts w:hint="default" w:ascii="Times New Roman" w:hAnsi="Times New Roman" w:cs="Times New Roman"/>
                <w:color w:val="auto"/>
                <w:kern w:val="24"/>
                <w:sz w:val="24"/>
                <w:szCs w:val="24"/>
                <w:highlight w:val="none"/>
                <w:vertAlign w:val="superscript"/>
              </w:rPr>
              <w:t>2</w:t>
            </w:r>
            <w:r>
              <w:rPr>
                <w:rFonts w:hint="default" w:ascii="Times New Roman" w:hAnsi="Times New Roman" w:cs="Times New Roman"/>
                <w:color w:val="auto"/>
                <w:kern w:val="24"/>
                <w:sz w:val="24"/>
                <w:szCs w:val="24"/>
                <w:highlight w:val="none"/>
              </w:rPr>
              <w:t>/g，通孔阻力小，动态吸附容量可达50%。为保证活性炭活性，需及时更换，一般活性炭吸附能力以0.</w:t>
            </w:r>
            <w:r>
              <w:rPr>
                <w:rFonts w:hint="eastAsia" w:cs="Times New Roman"/>
                <w:color w:val="auto"/>
                <w:kern w:val="24"/>
                <w:sz w:val="24"/>
                <w:szCs w:val="24"/>
                <w:highlight w:val="none"/>
                <w:lang w:val="en-US" w:eastAsia="zh-CN"/>
              </w:rPr>
              <w:t>2</w:t>
            </w:r>
            <w:r>
              <w:rPr>
                <w:rFonts w:hint="default" w:ascii="Times New Roman" w:hAnsi="Times New Roman" w:cs="Times New Roman"/>
                <w:color w:val="auto"/>
                <w:kern w:val="24"/>
                <w:sz w:val="24"/>
                <w:szCs w:val="24"/>
                <w:highlight w:val="none"/>
              </w:rPr>
              <w:t>g（有机物）/g（活性炭）计，为保证活性炭吸附效率，本项目采用碘值不小于800mg/g的活性炭并根据吸附情况定期更换，该设备可吸附任意种类的废气及有害物质，使用效果良好，安全稳定。在保证更换频次，及时更换活性炭的情况下，可保证其净化效率。</w:t>
            </w:r>
          </w:p>
          <w:p>
            <w:pPr>
              <w:pageBreakBefore/>
              <w:widowControl/>
              <w:spacing w:line="360" w:lineRule="auto"/>
              <w:ind w:firstLine="480" w:firstLineChars="200"/>
              <w:rPr>
                <w:rFonts w:hint="default" w:ascii="Times New Roman" w:hAnsi="Times New Roman" w:cs="Times New Roman"/>
                <w:color w:val="auto"/>
                <w:kern w:val="24"/>
                <w:sz w:val="24"/>
                <w:szCs w:val="24"/>
                <w:highlight w:val="none"/>
              </w:rPr>
            </w:pPr>
            <w:r>
              <w:rPr>
                <w:rFonts w:hint="default" w:ascii="Times New Roman" w:hAnsi="Times New Roman" w:cs="Times New Roman"/>
                <w:color w:val="auto"/>
                <w:kern w:val="24"/>
                <w:sz w:val="24"/>
                <w:szCs w:val="24"/>
                <w:highlight w:val="none"/>
              </w:rPr>
              <w:t>根据《山东省涉挥发性有机物企业分行业治理指导意见》（鲁环发【2019】146号），推进建设适宜高效的治污设施。企业新建治污设施或对现有治污设施实施改造，应依据排放废气的浓度、组分、风量，温度、湿度、压力，以及生产工况等，合理选择治理技术。鼓励企业采用多种技术的组合工艺，提高VOCs治理效率。本项目采用成熟工艺吸附法，同时设置2组活性干吸附装置组合使用，提高处理效率，确保处理效果。同时由于企业现有有机废气量小，浓度低，不宜采用燃烧法处理，本项目采用吸附法为可行技术。</w:t>
            </w:r>
          </w:p>
          <w:p>
            <w:pPr>
              <w:pageBreakBefore/>
              <w:widowControl/>
              <w:spacing w:line="360" w:lineRule="auto"/>
              <w:ind w:firstLine="480" w:firstLineChars="200"/>
              <w:rPr>
                <w:rFonts w:hint="default" w:ascii="Times New Roman" w:hAnsi="Times New Roman" w:cs="Times New Roman"/>
                <w:color w:val="auto"/>
                <w:kern w:val="24"/>
                <w:sz w:val="24"/>
                <w:szCs w:val="24"/>
                <w:highlight w:val="none"/>
              </w:rPr>
            </w:pPr>
            <w:r>
              <w:rPr>
                <w:rFonts w:hint="default" w:ascii="Times New Roman" w:hAnsi="Times New Roman" w:cs="Times New Roman"/>
                <w:color w:val="auto"/>
                <w:kern w:val="24"/>
                <w:sz w:val="24"/>
                <w:szCs w:val="24"/>
                <w:highlight w:val="none"/>
              </w:rPr>
              <w:t>活性炭吸附属于《排污许可证申请与核发技术规范 橡胶和塑料制品工业》（HJ1122—2020）附录A 表 A.2 塑料制品工业排污单位废气污染防治可行技术参考表中所列可行技术。工艺密闭、局部废气有效收集属于附录A 表 A.2 过程控制技术。</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000000"/>
                <w:sz w:val="24"/>
                <w:szCs w:val="24"/>
                <w:highlight w:val="none"/>
                <w:lang w:val="en-US" w:eastAsia="zh-CN"/>
              </w:rPr>
              <w:t>综上所述</w:t>
            </w:r>
            <w:r>
              <w:rPr>
                <w:rFonts w:hint="default" w:ascii="Times New Roman" w:hAnsi="Times New Roman" w:cs="Times New Roman"/>
                <w:color w:val="000000"/>
                <w:sz w:val="24"/>
                <w:szCs w:val="24"/>
                <w:highlight w:val="none"/>
              </w:rPr>
              <w:t>，</w:t>
            </w:r>
            <w:r>
              <w:rPr>
                <w:rFonts w:hint="default" w:ascii="Times New Roman" w:hAnsi="Times New Roman" w:cs="Times New Roman"/>
                <w:color w:val="auto"/>
                <w:sz w:val="24"/>
                <w:szCs w:val="24"/>
                <w:highlight w:val="none"/>
              </w:rPr>
              <w:t>项目采取的废气治理措施为符合相关技术规范规定的可行技术</w:t>
            </w:r>
            <w:r>
              <w:rPr>
                <w:rFonts w:hint="default" w:ascii="Times New Roman" w:hAnsi="Times New Roman" w:cs="Times New Roman"/>
                <w:color w:val="auto"/>
                <w:sz w:val="24"/>
                <w:szCs w:val="24"/>
                <w:highlight w:val="none"/>
                <w:lang w:eastAsia="zh-CN"/>
              </w:rPr>
              <w:t>。</w:t>
            </w:r>
          </w:p>
          <w:p>
            <w:pPr>
              <w:pageBreakBefore/>
              <w:widowControl/>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pacing w:val="-10"/>
                <w:sz w:val="24"/>
                <w:szCs w:val="24"/>
                <w:highlight w:val="none"/>
                <w14:textFill>
                  <w14:solidFill>
                    <w14:schemeClr w14:val="tx1"/>
                  </w14:solidFill>
                </w14:textFill>
              </w:rPr>
              <w:t>1.4</w:t>
            </w:r>
            <w:r>
              <w:rPr>
                <w:rFonts w:hint="eastAsia" w:cs="Times New Roman"/>
                <w:b/>
                <w:bCs/>
                <w:color w:val="000000" w:themeColor="text1"/>
                <w:spacing w:val="-10"/>
                <w:sz w:val="24"/>
                <w:szCs w:val="24"/>
                <w:highlight w:val="none"/>
                <w:lang w:val="en-US" w:eastAsia="zh-CN"/>
                <w14:textFill>
                  <w14:solidFill>
                    <w14:schemeClr w14:val="tx1"/>
                  </w14:solidFill>
                </w14:textFill>
              </w:rPr>
              <w:t>5</w:t>
            </w:r>
            <w:r>
              <w:rPr>
                <w:rFonts w:hint="default" w:ascii="Times New Roman" w:hAnsi="Times New Roman" w:cs="Times New Roman"/>
                <w:b/>
                <w:bCs/>
                <w:color w:val="000000" w:themeColor="text1"/>
                <w:spacing w:val="-10"/>
                <w:sz w:val="24"/>
                <w:szCs w:val="24"/>
                <w:highlight w:val="none"/>
                <w14:textFill>
                  <w14:solidFill>
                    <w14:schemeClr w14:val="tx1"/>
                  </w14:solidFill>
                </w14:textFill>
              </w:rPr>
              <w:t xml:space="preserve"> 达标可行性分析</w:t>
            </w:r>
          </w:p>
          <w:p>
            <w:pPr>
              <w:pageBreakBefore/>
              <w:widowControl/>
              <w:spacing w:line="360" w:lineRule="auto"/>
              <w:ind w:firstLine="480" w:firstLineChars="200"/>
              <w:rPr>
                <w:rFonts w:hint="default" w:ascii="Times New Roman" w:hAnsi="Times New Roman" w:cs="Times New Roman"/>
                <w:color w:val="000000" w:themeColor="text1"/>
                <w:kern w:val="24"/>
                <w:sz w:val="24"/>
                <w:szCs w:val="24"/>
                <w:highlight w:val="none"/>
                <w14:textFill>
                  <w14:solidFill>
                    <w14:schemeClr w14:val="tx1"/>
                  </w14:solidFill>
                </w14:textFill>
              </w:rPr>
            </w:pPr>
            <w:r>
              <w:rPr>
                <w:rFonts w:hint="default" w:ascii="Times New Roman" w:hAnsi="Times New Roman" w:cs="Times New Roman"/>
                <w:color w:val="000000" w:themeColor="text1"/>
                <w:kern w:val="24"/>
                <w:sz w:val="24"/>
                <w:szCs w:val="24"/>
                <w:highlight w:val="none"/>
                <w14:textFill>
                  <w14:solidFill>
                    <w14:schemeClr w14:val="tx1"/>
                  </w14:solidFill>
                </w14:textFill>
              </w:rPr>
              <w:t>本项目各产污环节产生的废气均做到了有效收集，选取的污染防治设施属于排污许技术规范认可的可行性技术，根据本报告表4-1废气有组织产排源强核算一览表分析可知，各项目污染物的排放浓度均可以满足达标排放的要求。</w:t>
            </w:r>
          </w:p>
          <w:p>
            <w:pPr>
              <w:snapToGrid w:val="0"/>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1.</w:t>
            </w:r>
            <w:r>
              <w:rPr>
                <w:rFonts w:hint="eastAsia" w:cs="Times New Roman"/>
                <w:b/>
                <w:bCs/>
                <w:color w:val="auto"/>
                <w:spacing w:val="-10"/>
                <w:sz w:val="24"/>
                <w:szCs w:val="24"/>
                <w:highlight w:val="none"/>
                <w:lang w:val="en-US" w:eastAsia="zh-CN"/>
              </w:rPr>
              <w:t>6</w:t>
            </w:r>
            <w:r>
              <w:rPr>
                <w:rFonts w:hint="default" w:ascii="Times New Roman" w:hAnsi="Times New Roman" w:cs="Times New Roman"/>
                <w:b/>
                <w:bCs/>
                <w:color w:val="auto"/>
                <w:spacing w:val="-10"/>
                <w:sz w:val="24"/>
                <w:szCs w:val="24"/>
                <w:highlight w:val="none"/>
              </w:rPr>
              <w:t xml:space="preserve"> 非正常工况</w:t>
            </w:r>
          </w:p>
          <w:p>
            <w:pPr>
              <w:pageBreakBefore/>
              <w:widowControl/>
              <w:spacing w:line="360" w:lineRule="auto"/>
              <w:ind w:firstLine="480" w:firstLineChars="200"/>
              <w:rPr>
                <w:rFonts w:hint="default" w:ascii="Times New Roman" w:hAnsi="Times New Roman" w:cs="Times New Roman"/>
                <w:color w:val="auto"/>
                <w:kern w:val="24"/>
                <w:sz w:val="24"/>
                <w:szCs w:val="24"/>
                <w:highlight w:val="none"/>
              </w:rPr>
            </w:pPr>
            <w:r>
              <w:rPr>
                <w:rFonts w:hint="default" w:ascii="Times New Roman" w:hAnsi="Times New Roman" w:cs="Times New Roman"/>
                <w:color w:val="auto"/>
                <w:kern w:val="24"/>
                <w:sz w:val="24"/>
                <w:szCs w:val="24"/>
                <w:highlight w:val="none"/>
              </w:rPr>
              <w:t>本项目非正常工况主要是污染物排放控制措施达不到应有效率，即</w:t>
            </w:r>
            <w:r>
              <w:rPr>
                <w:rFonts w:hint="default" w:ascii="Times New Roman" w:hAnsi="Times New Roman" w:cs="Times New Roman"/>
                <w:color w:val="auto"/>
                <w:kern w:val="24"/>
                <w:sz w:val="24"/>
                <w:szCs w:val="24"/>
                <w:highlight w:val="none"/>
                <w:lang w:eastAsia="zh-CN"/>
              </w:rPr>
              <w:t>活性炭吸附</w:t>
            </w:r>
            <w:r>
              <w:rPr>
                <w:rFonts w:hint="default" w:ascii="Times New Roman" w:hAnsi="Times New Roman" w:cs="Times New Roman"/>
                <w:color w:val="auto"/>
                <w:kern w:val="24"/>
                <w:sz w:val="24"/>
                <w:szCs w:val="24"/>
                <w:highlight w:val="none"/>
              </w:rPr>
              <w:t>装置失效，造成排气筒废气污染物未经净化直接排放，其排放情况见</w:t>
            </w:r>
            <w:r>
              <w:rPr>
                <w:rFonts w:hint="default" w:ascii="Times New Roman" w:hAnsi="Times New Roman" w:cs="Times New Roman"/>
                <w:color w:val="auto"/>
                <w:kern w:val="24"/>
                <w:sz w:val="24"/>
                <w:szCs w:val="24"/>
                <w:highlight w:val="none"/>
                <w:lang w:val="en-US" w:eastAsia="zh-CN"/>
              </w:rPr>
              <w:t>下表</w:t>
            </w:r>
            <w:r>
              <w:rPr>
                <w:rFonts w:hint="default" w:ascii="Times New Roman" w:hAnsi="Times New Roman" w:cs="Times New Roman"/>
                <w:color w:val="auto"/>
                <w:kern w:val="24"/>
                <w:sz w:val="24"/>
                <w:szCs w:val="24"/>
                <w:highlight w:val="none"/>
              </w:rPr>
              <w:t>。</w:t>
            </w:r>
          </w:p>
          <w:p>
            <w:pPr>
              <w:autoSpaceDE w:val="0"/>
              <w:autoSpaceDN w:val="0"/>
              <w:adjustRightInd w:val="0"/>
              <w:jc w:val="center"/>
              <w:rPr>
                <w:rFonts w:hint="default"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表4-</w:t>
            </w:r>
            <w:r>
              <w:rPr>
                <w:rFonts w:hint="eastAsia" w:cs="Times New Roman"/>
                <w:b/>
                <w:snapToGrid w:val="0"/>
                <w:color w:val="auto"/>
                <w:kern w:val="0"/>
                <w:sz w:val="21"/>
                <w:szCs w:val="21"/>
                <w:highlight w:val="none"/>
                <w:lang w:val="en-US" w:eastAsia="zh-CN"/>
              </w:rPr>
              <w:t>6</w:t>
            </w:r>
            <w:r>
              <w:rPr>
                <w:rFonts w:hint="default" w:ascii="Times New Roman" w:hAnsi="Times New Roman" w:cs="Times New Roman"/>
                <w:b/>
                <w:snapToGrid w:val="0"/>
                <w:color w:val="auto"/>
                <w:kern w:val="0"/>
                <w:sz w:val="21"/>
                <w:szCs w:val="21"/>
                <w:highlight w:val="none"/>
              </w:rPr>
              <w:t xml:space="preserve">  非正常排放源强参数一览表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50"/>
              <w:gridCol w:w="1554"/>
              <w:gridCol w:w="887"/>
              <w:gridCol w:w="787"/>
              <w:gridCol w:w="922"/>
              <w:gridCol w:w="824"/>
              <w:gridCol w:w="887"/>
              <w:gridCol w:w="670"/>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3"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污染源</w:t>
                  </w:r>
                </w:p>
              </w:tc>
              <w:tc>
                <w:tcPr>
                  <w:tcW w:w="482"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881"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非正常排放原因</w:t>
                  </w:r>
                </w:p>
              </w:tc>
              <w:tc>
                <w:tcPr>
                  <w:tcW w:w="1939" w:type="pct"/>
                  <w:gridSpan w:val="4"/>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非正常排放情况</w:t>
                  </w:r>
                </w:p>
              </w:tc>
              <w:tc>
                <w:tcPr>
                  <w:tcW w:w="883" w:type="pct"/>
                  <w:gridSpan w:val="2"/>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执行标准</w:t>
                  </w:r>
                </w:p>
              </w:tc>
              <w:tc>
                <w:tcPr>
                  <w:tcW w:w="269"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pct"/>
                  <w:vMerge w:val="continue"/>
                  <w:noWrap w:val="0"/>
                  <w:vAlign w:val="center"/>
                </w:tcPr>
                <w:p>
                  <w:pPr>
                    <w:jc w:val="center"/>
                    <w:rPr>
                      <w:rFonts w:hint="default" w:ascii="Times New Roman" w:hAnsi="Times New Roman" w:cs="Times New Roman"/>
                      <w:color w:val="auto"/>
                      <w:sz w:val="21"/>
                      <w:szCs w:val="21"/>
                      <w:highlight w:val="none"/>
                    </w:rPr>
                  </w:pPr>
                </w:p>
              </w:tc>
              <w:tc>
                <w:tcPr>
                  <w:tcW w:w="482" w:type="pct"/>
                  <w:vMerge w:val="continue"/>
                  <w:noWrap w:val="0"/>
                  <w:vAlign w:val="center"/>
                </w:tcPr>
                <w:p>
                  <w:pPr>
                    <w:jc w:val="center"/>
                    <w:rPr>
                      <w:rFonts w:hint="default" w:ascii="Times New Roman" w:hAnsi="Times New Roman" w:cs="Times New Roman"/>
                      <w:color w:val="auto"/>
                      <w:sz w:val="21"/>
                      <w:szCs w:val="21"/>
                      <w:highlight w:val="none"/>
                    </w:rPr>
                  </w:pPr>
                </w:p>
              </w:tc>
              <w:tc>
                <w:tcPr>
                  <w:tcW w:w="881" w:type="pct"/>
                  <w:vMerge w:val="continue"/>
                  <w:noWrap w:val="0"/>
                  <w:vAlign w:val="center"/>
                </w:tcPr>
                <w:p>
                  <w:pPr>
                    <w:jc w:val="center"/>
                    <w:rPr>
                      <w:rFonts w:hint="default" w:ascii="Times New Roman" w:hAnsi="Times New Roman" w:cs="Times New Roman"/>
                      <w:color w:val="auto"/>
                      <w:sz w:val="21"/>
                      <w:szCs w:val="21"/>
                      <w:highlight w:val="none"/>
                    </w:rPr>
                  </w:pPr>
                </w:p>
              </w:tc>
              <w:tc>
                <w:tcPr>
                  <w:tcW w:w="503"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浓度mg/m</w:t>
                  </w:r>
                  <w:r>
                    <w:rPr>
                      <w:rFonts w:hint="default" w:ascii="Times New Roman" w:hAnsi="Times New Roman" w:cs="Times New Roman"/>
                      <w:b/>
                      <w:bCs/>
                      <w:color w:val="auto"/>
                      <w:sz w:val="21"/>
                      <w:szCs w:val="21"/>
                      <w:highlight w:val="none"/>
                      <w:vertAlign w:val="superscript"/>
                    </w:rPr>
                    <w:t>3</w:t>
                  </w:r>
                </w:p>
              </w:tc>
              <w:tc>
                <w:tcPr>
                  <w:tcW w:w="446"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速率kg/h</w:t>
                  </w:r>
                </w:p>
              </w:tc>
              <w:tc>
                <w:tcPr>
                  <w:tcW w:w="523"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频次及持续时间</w:t>
                  </w:r>
                </w:p>
              </w:tc>
              <w:tc>
                <w:tcPr>
                  <w:tcW w:w="466"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排放量kg/a</w:t>
                  </w:r>
                </w:p>
              </w:tc>
              <w:tc>
                <w:tcPr>
                  <w:tcW w:w="503"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浓度mg/m</w:t>
                  </w:r>
                  <w:r>
                    <w:rPr>
                      <w:rFonts w:hint="default" w:ascii="Times New Roman" w:hAnsi="Times New Roman" w:cs="Times New Roman"/>
                      <w:b/>
                      <w:bCs/>
                      <w:color w:val="auto"/>
                      <w:sz w:val="21"/>
                      <w:szCs w:val="21"/>
                      <w:highlight w:val="none"/>
                      <w:vertAlign w:val="superscript"/>
                    </w:rPr>
                    <w:t>3</w:t>
                  </w:r>
                </w:p>
              </w:tc>
              <w:tc>
                <w:tcPr>
                  <w:tcW w:w="380"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速率kg/h</w:t>
                  </w:r>
                </w:p>
              </w:tc>
              <w:tc>
                <w:tcPr>
                  <w:tcW w:w="269" w:type="pct"/>
                  <w:vMerge w:val="continue"/>
                  <w:noWrap w:val="0"/>
                  <w:vAlign w:val="center"/>
                </w:tcPr>
                <w:p>
                  <w:pPr>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54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48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VOC</w:t>
                  </w:r>
                  <w:r>
                    <w:rPr>
                      <w:rFonts w:hint="default" w:ascii="Times New Roman" w:hAnsi="Times New Roman" w:cs="Times New Roman"/>
                      <w:color w:val="auto"/>
                      <w:sz w:val="21"/>
                      <w:szCs w:val="21"/>
                      <w:highlight w:val="none"/>
                      <w:lang w:val="en-US" w:eastAsia="zh-CN"/>
                    </w:rPr>
                    <w:t>s</w:t>
                  </w:r>
                </w:p>
              </w:tc>
              <w:tc>
                <w:tcPr>
                  <w:tcW w:w="881" w:type="pct"/>
                  <w:noWrap w:val="0"/>
                  <w:vAlign w:val="center"/>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活性炭</w:t>
                  </w:r>
                  <w:r>
                    <w:rPr>
                      <w:rFonts w:hint="default" w:ascii="Times New Roman" w:hAnsi="Times New Roman" w:cs="Times New Roman"/>
                      <w:color w:val="auto"/>
                      <w:sz w:val="21"/>
                      <w:szCs w:val="21"/>
                      <w:highlight w:val="none"/>
                    </w:rPr>
                    <w:t>装置故障，吸附效率按</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%计</w:t>
                  </w:r>
                </w:p>
              </w:tc>
              <w:tc>
                <w:tcPr>
                  <w:tcW w:w="503" w:type="pct"/>
                  <w:noWrap w:val="0"/>
                  <w:vAlign w:val="center"/>
                </w:tcPr>
                <w:p>
                  <w:pPr>
                    <w:pStyle w:val="9"/>
                    <w:spacing w:after="0" w:line="240" w:lineRule="atLeast"/>
                    <w:ind w:left="0" w:left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19.22</w:t>
                  </w:r>
                </w:p>
              </w:tc>
              <w:tc>
                <w:tcPr>
                  <w:tcW w:w="446" w:type="pct"/>
                  <w:noWrap w:val="0"/>
                  <w:vAlign w:val="center"/>
                </w:tcPr>
                <w:p>
                  <w:pPr>
                    <w:pStyle w:val="9"/>
                    <w:spacing w:after="0" w:line="240" w:lineRule="atLeast"/>
                    <w:ind w:left="0" w:left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0.153</w:t>
                  </w:r>
                </w:p>
              </w:tc>
              <w:tc>
                <w:tcPr>
                  <w:tcW w:w="523" w:type="pct"/>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2次/a</w:t>
                  </w:r>
                </w:p>
                <w:p>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h/次</w:t>
                  </w:r>
                </w:p>
              </w:tc>
              <w:tc>
                <w:tcPr>
                  <w:tcW w:w="466" w:type="pct"/>
                  <w:noWrap w:val="0"/>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r>
                    <w:rPr>
                      <w:rFonts w:hint="eastAsia" w:cs="Times New Roman"/>
                      <w:color w:val="auto"/>
                      <w:kern w:val="0"/>
                      <w:sz w:val="21"/>
                      <w:szCs w:val="21"/>
                      <w:highlight w:val="none"/>
                      <w:lang w:val="en-US" w:eastAsia="zh-CN"/>
                    </w:rPr>
                    <w:t>0.306</w:t>
                  </w:r>
                </w:p>
              </w:tc>
              <w:tc>
                <w:tcPr>
                  <w:tcW w:w="503" w:type="pct"/>
                  <w:noWrap w:val="0"/>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380" w:type="pct"/>
                  <w:noWrap w:val="0"/>
                  <w:vAlign w:val="center"/>
                </w:tcPr>
                <w:p>
                  <w:pPr>
                    <w:pStyle w:val="9"/>
                    <w:spacing w:after="0" w:line="240" w:lineRule="atLeast"/>
                    <w:ind w:left="0" w:left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.0</w:t>
                  </w:r>
                </w:p>
              </w:tc>
              <w:tc>
                <w:tcPr>
                  <w:tcW w:w="269" w:type="pct"/>
                  <w:noWrap w:val="0"/>
                  <w:vAlign w:val="center"/>
                </w:tcPr>
                <w:p>
                  <w:pPr>
                    <w:jc w:val="center"/>
                    <w:rPr>
                      <w:rFonts w:hint="default" w:ascii="Times New Roman" w:hAnsi="Times New Roman" w:cs="Times New Roman"/>
                      <w:b/>
                      <w:bCs/>
                      <w:color w:val="auto"/>
                      <w:sz w:val="21"/>
                      <w:szCs w:val="21"/>
                      <w:highlight w:val="none"/>
                    </w:rPr>
                  </w:pPr>
                  <w:r>
                    <w:rPr>
                      <w:rFonts w:hint="eastAsia" w:cs="Times New Roman"/>
                      <w:b w:val="0"/>
                      <w:bCs w:val="0"/>
                      <w:color w:val="auto"/>
                      <w:sz w:val="21"/>
                      <w:szCs w:val="21"/>
                      <w:highlight w:val="none"/>
                      <w:lang w:val="en-US" w:eastAsia="zh-CN"/>
                    </w:rPr>
                    <w:t>达</w:t>
                  </w:r>
                  <w:r>
                    <w:rPr>
                      <w:rFonts w:hint="default" w:ascii="Times New Roman" w:hAnsi="Times New Roman" w:cs="Times New Roman"/>
                      <w:b w:val="0"/>
                      <w:bCs w:val="0"/>
                      <w:color w:val="auto"/>
                      <w:sz w:val="21"/>
                      <w:szCs w:val="21"/>
                      <w:highlight w:val="none"/>
                    </w:rPr>
                    <w:t>标</w:t>
                  </w:r>
                </w:p>
              </w:tc>
            </w:tr>
          </w:tbl>
          <w:p>
            <w:pPr>
              <w:pageBreakBefore/>
              <w:widowControl/>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针对非正常工况，企业应定期对废气净化设施进行检查，确保其正常工作状态；设置专人负责，保证正常去除效率。检查、核查等工作做好记录，一旦发现问题，应立即停止生产工序，待净化设施等恢复正常工作并具有稳定废气去除效率后，开工生产，杜绝废气排放事故发生。加强企业的运行管理，设立专门人员负责厂内环保设施管理、监测等工作。</w:t>
            </w:r>
          </w:p>
          <w:p>
            <w:pPr>
              <w:snapToGrid w:val="0"/>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1.</w:t>
            </w:r>
            <w:r>
              <w:rPr>
                <w:rFonts w:hint="eastAsia" w:cs="Times New Roman"/>
                <w:b/>
                <w:bCs/>
                <w:color w:val="auto"/>
                <w:spacing w:val="-10"/>
                <w:sz w:val="24"/>
                <w:szCs w:val="24"/>
                <w:highlight w:val="none"/>
                <w:lang w:val="en-US" w:eastAsia="zh-CN"/>
              </w:rPr>
              <w:t>7</w:t>
            </w:r>
            <w:r>
              <w:rPr>
                <w:rFonts w:hint="default" w:ascii="Times New Roman" w:hAnsi="Times New Roman" w:cs="Times New Roman"/>
                <w:b/>
                <w:bCs/>
                <w:color w:val="auto"/>
                <w:spacing w:val="-10"/>
                <w:sz w:val="24"/>
                <w:szCs w:val="24"/>
                <w:highlight w:val="none"/>
              </w:rPr>
              <w:t xml:space="preserve"> 废气污染物监测计划</w:t>
            </w:r>
          </w:p>
          <w:p>
            <w:pPr>
              <w:pageBreakBefore/>
              <w:widowControl/>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根据《排污单位自行监测技术指南 总则》</w:t>
            </w:r>
            <w:r>
              <w:rPr>
                <w:rFonts w:hint="default" w:ascii="Times New Roman" w:hAnsi="Times New Roman" w:cs="Times New Roman"/>
                <w:color w:val="auto"/>
                <w:sz w:val="24"/>
                <w:szCs w:val="24"/>
                <w:highlight w:val="none"/>
                <w:lang w:eastAsia="zh-CN"/>
              </w:rPr>
              <w:t>、《排污单位自行监测技术指南 橡胶和塑料制品》（HJ1207-2021）</w:t>
            </w:r>
            <w:r>
              <w:rPr>
                <w:rFonts w:hint="default" w:ascii="Times New Roman" w:hAnsi="Times New Roman" w:cs="Times New Roman"/>
                <w:color w:val="auto"/>
                <w:sz w:val="24"/>
                <w:szCs w:val="24"/>
                <w:highlight w:val="none"/>
              </w:rPr>
              <w:t>等自行监测要求，本项目废气排放监测计划如下表。</w:t>
            </w:r>
          </w:p>
          <w:p>
            <w:pPr>
              <w:autoSpaceDE w:val="0"/>
              <w:autoSpaceDN w:val="0"/>
              <w:adjustRightInd w:val="0"/>
              <w:jc w:val="center"/>
              <w:rPr>
                <w:rFonts w:hint="default" w:ascii="Times New Roman" w:hAnsi="Times New Roman" w:cs="Times New Roman"/>
                <w:b/>
                <w:snapToGrid w:val="0"/>
                <w:color w:val="auto"/>
                <w:kern w:val="0"/>
                <w:sz w:val="21"/>
                <w:szCs w:val="21"/>
                <w:highlight w:val="none"/>
              </w:rPr>
            </w:pPr>
            <w:r>
              <w:rPr>
                <w:rFonts w:hint="default" w:ascii="Times New Roman" w:hAnsi="Times New Roman" w:cs="Times New Roman"/>
                <w:b/>
                <w:snapToGrid w:val="0"/>
                <w:color w:val="auto"/>
                <w:kern w:val="0"/>
                <w:sz w:val="21"/>
                <w:szCs w:val="21"/>
                <w:highlight w:val="none"/>
              </w:rPr>
              <w:t>表4-</w:t>
            </w:r>
            <w:r>
              <w:rPr>
                <w:rFonts w:hint="default" w:ascii="Times New Roman" w:hAnsi="Times New Roman" w:eastAsia="宋体" w:cs="Times New Roman"/>
                <w:b/>
                <w:snapToGrid w:val="0"/>
                <w:color w:val="auto"/>
                <w:kern w:val="0"/>
                <w:sz w:val="21"/>
                <w:szCs w:val="21"/>
                <w:highlight w:val="none"/>
                <w:lang w:val="en-US" w:eastAsia="zh-CN"/>
              </w:rPr>
              <w:t>6</w:t>
            </w:r>
            <w:r>
              <w:rPr>
                <w:rFonts w:hint="default" w:ascii="Times New Roman" w:hAnsi="Times New Roman" w:cs="Times New Roman"/>
                <w:b/>
                <w:snapToGrid w:val="0"/>
                <w:color w:val="auto"/>
                <w:kern w:val="0"/>
                <w:sz w:val="21"/>
                <w:szCs w:val="21"/>
                <w:highlight w:val="none"/>
              </w:rPr>
              <w:t xml:space="preserve">  营运期大气检测计划一览表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1"/>
              <w:gridCol w:w="1486"/>
              <w:gridCol w:w="1337"/>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86" w:type="pct"/>
                  <w:noWrap w:val="0"/>
                  <w:vAlign w:val="center"/>
                </w:tcPr>
                <w:p>
                  <w:pPr>
                    <w:pStyle w:val="2"/>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806" w:type="pct"/>
                  <w:noWrap w:val="0"/>
                  <w:vAlign w:val="center"/>
                </w:tcPr>
                <w:p>
                  <w:pPr>
                    <w:pStyle w:val="2"/>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w:t>
                  </w:r>
                </w:p>
              </w:tc>
              <w:tc>
                <w:tcPr>
                  <w:tcW w:w="842" w:type="pct"/>
                  <w:noWrap w:val="0"/>
                  <w:vAlign w:val="center"/>
                </w:tcPr>
                <w:p>
                  <w:pPr>
                    <w:pStyle w:val="2"/>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监测因子</w:t>
                  </w:r>
                </w:p>
              </w:tc>
              <w:tc>
                <w:tcPr>
                  <w:tcW w:w="758" w:type="pct"/>
                  <w:noWrap w:val="0"/>
                  <w:vAlign w:val="center"/>
                </w:tcPr>
                <w:p>
                  <w:pPr>
                    <w:pStyle w:val="2"/>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监测频次</w:t>
                  </w:r>
                </w:p>
              </w:tc>
              <w:tc>
                <w:tcPr>
                  <w:tcW w:w="2205" w:type="pct"/>
                  <w:noWrap w:val="0"/>
                  <w:vAlign w:val="center"/>
                </w:tcPr>
                <w:p>
                  <w:pPr>
                    <w:pStyle w:val="2"/>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8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06" w:type="pct"/>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DA00</w:t>
                  </w:r>
                  <w:r>
                    <w:rPr>
                      <w:rFonts w:hint="eastAsia" w:cs="Times New Roman"/>
                      <w:color w:val="auto"/>
                      <w:sz w:val="21"/>
                      <w:szCs w:val="21"/>
                      <w:highlight w:val="none"/>
                      <w:lang w:val="en-US" w:eastAsia="zh-CN"/>
                    </w:rPr>
                    <w:t>1</w:t>
                  </w:r>
                </w:p>
              </w:tc>
              <w:tc>
                <w:tcPr>
                  <w:tcW w:w="842" w:type="pct"/>
                  <w:noWrap w:val="0"/>
                  <w:vAlign w:val="center"/>
                </w:tcPr>
                <w:p>
                  <w:pPr>
                    <w:pStyle w:val="2"/>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VOCs</w:t>
                  </w:r>
                </w:p>
              </w:tc>
              <w:tc>
                <w:tcPr>
                  <w:tcW w:w="758"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1次/</w:t>
                  </w:r>
                  <w:r>
                    <w:rPr>
                      <w:rFonts w:hint="default" w:ascii="Times New Roman" w:hAnsi="Times New Roman" w:cs="Times New Roman"/>
                      <w:color w:val="auto"/>
                      <w:sz w:val="21"/>
                      <w:szCs w:val="21"/>
                      <w:highlight w:val="none"/>
                      <w:lang w:val="en-US" w:eastAsia="zh-CN"/>
                    </w:rPr>
                    <w:t>半</w:t>
                  </w:r>
                  <w:r>
                    <w:rPr>
                      <w:rFonts w:hint="default" w:ascii="Times New Roman" w:hAnsi="Times New Roman" w:cs="Times New Roman"/>
                      <w:color w:val="auto"/>
                      <w:sz w:val="21"/>
                      <w:szCs w:val="21"/>
                      <w:highlight w:val="none"/>
                    </w:rPr>
                    <w:t>年</w:t>
                  </w:r>
                </w:p>
              </w:tc>
              <w:tc>
                <w:tcPr>
                  <w:tcW w:w="2205" w:type="pct"/>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《挥发性有机物排放标准 第6部分：有机化工行业》（DB37/2801.6-2018）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8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806" w:type="pct"/>
                  <w:noWrap w:val="0"/>
                  <w:vAlign w:val="center"/>
                </w:tcPr>
                <w:p>
                  <w:pPr>
                    <w:pStyle w:val="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w:t>
                  </w:r>
                </w:p>
              </w:tc>
              <w:tc>
                <w:tcPr>
                  <w:tcW w:w="842" w:type="pct"/>
                  <w:noWrap w:val="0"/>
                  <w:vAlign w:val="center"/>
                </w:tcPr>
                <w:p>
                  <w:pPr>
                    <w:pStyle w:val="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VOCs</w:t>
                  </w:r>
                </w:p>
              </w:tc>
              <w:tc>
                <w:tcPr>
                  <w:tcW w:w="758" w:type="pct"/>
                  <w:noWrap w:val="0"/>
                  <w:vAlign w:val="center"/>
                </w:tcPr>
                <w:p>
                  <w:pPr>
                    <w:pStyle w:val="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1次/年</w:t>
                  </w:r>
                </w:p>
              </w:tc>
              <w:tc>
                <w:tcPr>
                  <w:tcW w:w="2205" w:type="pct"/>
                  <w:noWrap w:val="0"/>
                  <w:vAlign w:val="center"/>
                </w:tcPr>
                <w:p>
                  <w:pPr>
                    <w:pStyle w:val="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《挥发性有机物排放标准 第6部分：有机化工行业》（DB37/2801.6-2018）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86" w:type="pct"/>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06" w:type="pct"/>
                  <w:noWrap w:val="0"/>
                  <w:vAlign w:val="center"/>
                </w:tcPr>
                <w:p>
                  <w:pPr>
                    <w:pStyle w:val="2"/>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厂区内</w:t>
                  </w:r>
                </w:p>
              </w:tc>
              <w:tc>
                <w:tcPr>
                  <w:tcW w:w="842" w:type="pct"/>
                  <w:noWrap w:val="0"/>
                  <w:vAlign w:val="center"/>
                </w:tcPr>
                <w:p>
                  <w:pPr>
                    <w:pStyle w:val="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VOCs</w:t>
                  </w:r>
                </w:p>
              </w:tc>
              <w:tc>
                <w:tcPr>
                  <w:tcW w:w="758" w:type="pct"/>
                  <w:noWrap w:val="0"/>
                  <w:vAlign w:val="center"/>
                </w:tcPr>
                <w:p>
                  <w:pPr>
                    <w:pStyle w:val="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1次/年</w:t>
                  </w:r>
                </w:p>
              </w:tc>
              <w:tc>
                <w:tcPr>
                  <w:tcW w:w="2205" w:type="pct"/>
                  <w:noWrap w:val="0"/>
                  <w:vAlign w:val="center"/>
                </w:tcPr>
                <w:p>
                  <w:pPr>
                    <w:pStyle w:val="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《挥发性有机物无组织排放控制标准》（GB37822-2019）表1浓度限值</w:t>
                  </w:r>
                </w:p>
              </w:tc>
            </w:tr>
          </w:tbl>
          <w:p>
            <w:pPr>
              <w:pageBreakBefore/>
              <w:widowControl/>
              <w:spacing w:line="360" w:lineRule="auto"/>
              <w:rPr>
                <w:rFonts w:hint="default" w:ascii="Times New Roman" w:hAnsi="Times New Roman" w:cs="Times New Roman"/>
                <w:bCs/>
                <w:color w:val="auto"/>
                <w:spacing w:val="-10"/>
                <w:sz w:val="24"/>
                <w:szCs w:val="24"/>
                <w:highlight w:val="none"/>
              </w:rPr>
            </w:pPr>
            <w:r>
              <w:rPr>
                <w:rFonts w:hint="default" w:ascii="Times New Roman" w:hAnsi="Times New Roman" w:cs="Times New Roman"/>
                <w:b/>
                <w:bCs/>
                <w:color w:val="auto"/>
                <w:spacing w:val="-10"/>
                <w:sz w:val="24"/>
                <w:szCs w:val="24"/>
                <w:highlight w:val="none"/>
                <w:lang w:val="en-US" w:eastAsia="zh-CN"/>
              </w:rPr>
              <w:t>1.</w:t>
            </w:r>
            <w:r>
              <w:rPr>
                <w:rFonts w:hint="eastAsia" w:cs="Times New Roman"/>
                <w:b/>
                <w:bCs/>
                <w:color w:val="auto"/>
                <w:spacing w:val="-10"/>
                <w:sz w:val="24"/>
                <w:szCs w:val="24"/>
                <w:highlight w:val="none"/>
                <w:lang w:val="en-US" w:eastAsia="zh-CN"/>
              </w:rPr>
              <w:t>8</w:t>
            </w:r>
            <w:r>
              <w:rPr>
                <w:rFonts w:hint="default" w:ascii="Times New Roman" w:hAnsi="Times New Roman" w:cs="Times New Roman"/>
                <w:b/>
                <w:bCs/>
                <w:color w:val="auto"/>
                <w:spacing w:val="-10"/>
                <w:sz w:val="24"/>
                <w:szCs w:val="24"/>
                <w:highlight w:val="none"/>
              </w:rPr>
              <w:t>大气环境影响分析结论</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加热吹膜与回用造粒过程</w:t>
            </w:r>
            <w:r>
              <w:rPr>
                <w:rFonts w:hint="default" w:ascii="Times New Roman" w:hAnsi="Times New Roman" w:cs="Times New Roman"/>
                <w:color w:val="auto"/>
                <w:sz w:val="24"/>
                <w:szCs w:val="24"/>
                <w:highlight w:val="none"/>
                <w:lang w:val="en-US" w:eastAsia="zh-CN"/>
              </w:rPr>
              <w:t>产生的VOCs通过集气罩收集后由</w:t>
            </w:r>
            <w:r>
              <w:rPr>
                <w:rFonts w:hint="eastAsia" w:cs="Times New Roman"/>
                <w:color w:val="auto"/>
                <w:sz w:val="24"/>
                <w:szCs w:val="24"/>
                <w:highlight w:val="none"/>
                <w:lang w:val="en-US" w:eastAsia="zh-CN"/>
              </w:rPr>
              <w:t>二级</w:t>
            </w:r>
            <w:r>
              <w:rPr>
                <w:rFonts w:hint="default" w:ascii="Times New Roman" w:hAnsi="Times New Roman" w:cs="Times New Roman"/>
                <w:color w:val="auto"/>
                <w:sz w:val="24"/>
                <w:szCs w:val="24"/>
                <w:highlight w:val="none"/>
                <w:lang w:val="en-US" w:eastAsia="zh-CN"/>
              </w:rPr>
              <w:t>活性炭吸附装置处理后通过同一根15m高DA00</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排气筒排放</w:t>
            </w:r>
            <w:r>
              <w:rPr>
                <w:rFonts w:hint="eastAsia" w:cs="Times New Roman"/>
                <w:color w:val="auto"/>
                <w:sz w:val="24"/>
                <w:szCs w:val="24"/>
                <w:highlight w:val="none"/>
                <w:lang w:val="en-US" w:eastAsia="zh-CN"/>
              </w:rPr>
              <w:t>，VOCs排放浓度满足</w:t>
            </w:r>
            <w:r>
              <w:rPr>
                <w:rFonts w:hint="default" w:ascii="Times New Roman" w:hAnsi="Times New Roman" w:cs="Times New Roman"/>
                <w:color w:val="auto"/>
                <w:sz w:val="24"/>
                <w:szCs w:val="24"/>
                <w:highlight w:val="none"/>
              </w:rPr>
              <w:t>《挥发性有机物排放标准 第6部分：有机化工行业》（DB37/2801.6-2018）表1中其他行业Ⅱ时段排放限值</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.0kg/h</w:t>
            </w:r>
            <w:r>
              <w:rPr>
                <w:rFonts w:hint="default" w:ascii="Times New Roman" w:hAnsi="Times New Roman" w:cs="Times New Roman"/>
                <w:color w:val="auto"/>
                <w:sz w:val="24"/>
                <w:szCs w:val="24"/>
                <w:highlight w:val="none"/>
                <w:lang w:val="en-US" w:eastAsia="zh-CN"/>
              </w:rPr>
              <w:t>）。</w:t>
            </w:r>
          </w:p>
          <w:p>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厂界</w:t>
            </w:r>
            <w:r>
              <w:rPr>
                <w:rFonts w:hint="default" w:ascii="Times New Roman" w:hAnsi="Times New Roman" w:cs="Times New Roman"/>
                <w:sz w:val="24"/>
                <w:szCs w:val="24"/>
                <w:highlight w:val="none"/>
              </w:rPr>
              <w:t>无组织VOCs</w:t>
            </w:r>
            <w:r>
              <w:rPr>
                <w:rFonts w:hint="default" w:ascii="Times New Roman" w:hAnsi="Times New Roman" w:cs="Times New Roman"/>
                <w:sz w:val="24"/>
                <w:szCs w:val="24"/>
                <w:highlight w:val="none"/>
                <w:lang w:val="en-US" w:eastAsia="zh-CN"/>
              </w:rPr>
              <w:t>满足</w:t>
            </w:r>
            <w:r>
              <w:rPr>
                <w:rFonts w:hint="default" w:ascii="Times New Roman" w:hAnsi="Times New Roman" w:cs="Times New Roman"/>
                <w:sz w:val="24"/>
                <w:szCs w:val="24"/>
                <w:highlight w:val="none"/>
              </w:rPr>
              <w:t>《挥发性有机物排放标准 第6部分：有机化工行业》（DB37/2801.6-2018）表</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厂界监控点浓度限值要求</w:t>
            </w:r>
            <w:r>
              <w:rPr>
                <w:rFonts w:hint="default" w:ascii="Times New Roman" w:hAnsi="Times New Roman" w:cs="Times New Roman"/>
                <w:sz w:val="24"/>
                <w:szCs w:val="24"/>
                <w:highlight w:val="none"/>
                <w:lang w:eastAsia="zh-CN"/>
              </w:rPr>
              <w:t>（</w:t>
            </w:r>
            <w:r>
              <w:rPr>
                <w:rFonts w:hint="default"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sz w:val="24"/>
                <w:szCs w:val="24"/>
                <w:highlight w:val="none"/>
                <w:lang w:eastAsia="zh-CN"/>
              </w:rPr>
              <w:t>）</w:t>
            </w:r>
            <w:r>
              <w:rPr>
                <w:rFonts w:hint="eastAsia" w:cs="Times New Roman"/>
                <w:sz w:val="24"/>
                <w:szCs w:val="24"/>
                <w:highlight w:val="none"/>
                <w:lang w:eastAsia="zh-CN"/>
              </w:rPr>
              <w:t>。</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综上所述，本项目产生的废气经有效处理后对外环境影响较小。</w:t>
            </w:r>
          </w:p>
          <w:p>
            <w:pPr>
              <w:snapToGrid w:val="0"/>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2 废水</w:t>
            </w:r>
          </w:p>
          <w:p>
            <w:pPr>
              <w:spacing w:line="360" w:lineRule="auto"/>
              <w:ind w:firstLine="480" w:firstLineChars="200"/>
              <w:rPr>
                <w:rFonts w:hint="default" w:ascii="Times New Roman" w:hAnsi="Times New Roman" w:cs="Times New Roman"/>
                <w:color w:val="auto"/>
                <w:kern w:val="24"/>
                <w:sz w:val="24"/>
                <w:szCs w:val="24"/>
                <w:highlight w:val="none"/>
              </w:rPr>
            </w:pPr>
            <w:r>
              <w:rPr>
                <w:rFonts w:hint="eastAsia" w:cs="Times New Roman"/>
                <w:color w:val="auto"/>
                <w:sz w:val="24"/>
                <w:szCs w:val="24"/>
                <w:highlight w:val="none"/>
                <w:lang w:eastAsia="zh-CN"/>
              </w:rPr>
              <w:t>本项目生产过程中不用水，</w:t>
            </w:r>
            <w:r>
              <w:rPr>
                <w:rFonts w:hint="default" w:ascii="Times New Roman" w:hAnsi="Times New Roman" w:cs="Times New Roman"/>
                <w:color w:val="auto"/>
                <w:sz w:val="24"/>
                <w:szCs w:val="24"/>
                <w:highlight w:val="none"/>
                <w:lang w:eastAsia="zh-CN"/>
              </w:rPr>
              <w:t>废水主要为</w:t>
            </w:r>
            <w:r>
              <w:rPr>
                <w:rFonts w:hint="default" w:ascii="Times New Roman" w:hAnsi="Times New Roman" w:cs="Times New Roman"/>
                <w:color w:val="auto"/>
                <w:kern w:val="24"/>
                <w:sz w:val="24"/>
                <w:szCs w:val="24"/>
                <w:highlight w:val="none"/>
              </w:rPr>
              <w:t>生活污水</w:t>
            </w:r>
            <w:r>
              <w:rPr>
                <w:rFonts w:hint="default" w:ascii="Times New Roman" w:hAnsi="Times New Roman" w:cs="Times New Roman"/>
                <w:color w:val="auto"/>
                <w:kern w:val="24"/>
                <w:sz w:val="24"/>
                <w:szCs w:val="24"/>
                <w:highlight w:val="none"/>
                <w:lang w:eastAsia="zh-CN"/>
              </w:rPr>
              <w:t>，</w:t>
            </w:r>
            <w:r>
              <w:rPr>
                <w:rFonts w:hint="default" w:ascii="Times New Roman" w:hAnsi="Times New Roman" w:cs="Times New Roman"/>
                <w:color w:val="auto"/>
                <w:kern w:val="24"/>
                <w:sz w:val="24"/>
                <w:szCs w:val="24"/>
                <w:highlight w:val="none"/>
              </w:rPr>
              <w:t>产生量按给水量的80%计，约为</w:t>
            </w:r>
            <w:r>
              <w:rPr>
                <w:rFonts w:hint="eastAsia" w:cs="Times New Roman"/>
                <w:color w:val="auto"/>
                <w:kern w:val="24"/>
                <w:sz w:val="24"/>
                <w:szCs w:val="24"/>
                <w:highlight w:val="none"/>
                <w:lang w:val="en-US" w:eastAsia="zh-CN"/>
              </w:rPr>
              <w:t>72</w:t>
            </w:r>
            <w:r>
              <w:rPr>
                <w:rFonts w:hint="default" w:ascii="Times New Roman" w:hAnsi="Times New Roman" w:cs="Times New Roman"/>
                <w:color w:val="auto"/>
                <w:kern w:val="24"/>
                <w:sz w:val="24"/>
                <w:szCs w:val="24"/>
                <w:highlight w:val="none"/>
              </w:rPr>
              <w:t>m</w:t>
            </w:r>
            <w:r>
              <w:rPr>
                <w:rFonts w:hint="default" w:ascii="Times New Roman" w:hAnsi="Times New Roman" w:cs="Times New Roman"/>
                <w:color w:val="auto"/>
                <w:kern w:val="24"/>
                <w:sz w:val="24"/>
                <w:szCs w:val="24"/>
                <w:highlight w:val="none"/>
                <w:vertAlign w:val="superscript"/>
              </w:rPr>
              <w:t>3</w:t>
            </w:r>
            <w:r>
              <w:rPr>
                <w:rFonts w:hint="default" w:ascii="Times New Roman" w:hAnsi="Times New Roman" w:cs="Times New Roman"/>
                <w:color w:val="auto"/>
                <w:kern w:val="24"/>
                <w:sz w:val="24"/>
                <w:szCs w:val="24"/>
                <w:highlight w:val="none"/>
              </w:rPr>
              <w:t>/a</w:t>
            </w:r>
            <w:r>
              <w:rPr>
                <w:rFonts w:hint="default" w:ascii="Times New Roman" w:hAnsi="Times New Roman" w:cs="Times New Roman"/>
                <w:color w:val="auto"/>
                <w:kern w:val="24"/>
                <w:sz w:val="24"/>
                <w:szCs w:val="24"/>
                <w:highlight w:val="none"/>
                <w:lang w:eastAsia="zh-CN"/>
              </w:rPr>
              <w:t>；经化粪池处理由环卫部门定期清运。</w:t>
            </w:r>
          </w:p>
          <w:p>
            <w:pPr>
              <w:pageBreakBefore/>
              <w:widowControl/>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3 噪声</w:t>
            </w:r>
          </w:p>
          <w:p>
            <w:pPr>
              <w:pageBreakBefore/>
              <w:widowControl/>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3.1 噪声源及降噪措施</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本项目产生的噪声主要为</w:t>
            </w:r>
            <w:r>
              <w:rPr>
                <w:rFonts w:hint="default" w:ascii="Times New Roman" w:hAnsi="Times New Roman" w:cs="Times New Roman"/>
                <w:color w:val="auto"/>
                <w:sz w:val="24"/>
                <w:szCs w:val="24"/>
                <w:highlight w:val="none"/>
                <w:lang w:eastAsia="zh-CN"/>
              </w:rPr>
              <w:t>吹膜机、</w:t>
            </w:r>
            <w:r>
              <w:rPr>
                <w:rFonts w:hint="eastAsia" w:cs="Times New Roman"/>
                <w:color w:val="auto"/>
                <w:sz w:val="24"/>
                <w:szCs w:val="24"/>
                <w:highlight w:val="none"/>
                <w:lang w:eastAsia="zh-CN"/>
              </w:rPr>
              <w:t>风机</w:t>
            </w:r>
            <w:r>
              <w:rPr>
                <w:rFonts w:hint="default" w:ascii="Times New Roman" w:hAnsi="Times New Roman" w:cs="Times New Roman"/>
                <w:color w:val="auto"/>
                <w:sz w:val="24"/>
                <w:szCs w:val="24"/>
                <w:highlight w:val="none"/>
              </w:rPr>
              <w:t>等机械设备运转产生的噪声，噪声强度为</w:t>
            </w:r>
            <w:r>
              <w:rPr>
                <w:rFonts w:hint="eastAsia" w:cs="Times New Roman"/>
                <w:color w:val="auto"/>
                <w:sz w:val="24"/>
                <w:szCs w:val="24"/>
                <w:highlight w:val="none"/>
                <w:lang w:val="en-US" w:eastAsia="zh-CN"/>
              </w:rPr>
              <w:t>75</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85</w:t>
            </w:r>
            <w:r>
              <w:rPr>
                <w:rFonts w:hint="default" w:ascii="Times New Roman" w:hAnsi="Times New Roman" w:cs="Times New Roman"/>
                <w:color w:val="auto"/>
                <w:sz w:val="24"/>
                <w:szCs w:val="24"/>
                <w:highlight w:val="none"/>
              </w:rPr>
              <w:t>dB(A)。采取的</w:t>
            </w:r>
            <w:r>
              <w:rPr>
                <w:rFonts w:hint="default" w:ascii="Times New Roman" w:hAnsi="Times New Roman" w:cs="Times New Roman"/>
                <w:color w:val="auto"/>
                <w:sz w:val="24"/>
                <w:szCs w:val="24"/>
                <w:highlight w:val="none"/>
                <w:lang w:eastAsia="zh-CN"/>
              </w:rPr>
              <w:t>噪声</w:t>
            </w:r>
            <w:r>
              <w:rPr>
                <w:rFonts w:hint="default" w:ascii="Times New Roman" w:hAnsi="Times New Roman" w:cs="Times New Roman"/>
                <w:color w:val="auto"/>
                <w:sz w:val="24"/>
                <w:szCs w:val="24"/>
                <w:highlight w:val="none"/>
              </w:rPr>
              <w:t>防治措施有：</w:t>
            </w:r>
          </w:p>
          <w:p>
            <w:pPr>
              <w:pStyle w:val="6"/>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①选用低噪声设备：在满足项目生产工艺的前提下，尽可能选择先进、噪声低的生产设备，从源头降低噪声。</w:t>
            </w:r>
          </w:p>
          <w:p>
            <w:pPr>
              <w:pStyle w:val="6"/>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车间内合理布局：将设备全部安置在车间内，在满足生产的前提下综合考虑，在车间设备布置时考虑地形、声源方向性和车间噪声强弱等因素，进行合理布局以求进一步降低厂界噪声，如将设备安置在车间中部或远离厂界的位置，充分利用厂内建筑物的隔声作用，以减轻各类声源对周围环境的影响。</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③设备在安装时，根据设备的自重及振动特性采用合适的隔振垫，以减轻由于设备自身振动引起的结构传声对周围环境产生的影响。</w:t>
            </w:r>
          </w:p>
          <w:p>
            <w:pPr>
              <w:pageBreakBefore/>
              <w:widowControl/>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④加强设备的维护，确保设备处于良好的运转状态，杜绝因设备不正常运转时产生的高噪声现象。</w:t>
            </w:r>
          </w:p>
          <w:p>
            <w:pPr>
              <w:adjustRightIn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rPr>
              <w:t xml:space="preserve">  主要设备噪声源强及治理措施一览表(单位：dB(A))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62"/>
              <w:gridCol w:w="1325"/>
              <w:gridCol w:w="1413"/>
              <w:gridCol w:w="221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4"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829"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主要噪声源</w:t>
                  </w:r>
                </w:p>
              </w:tc>
              <w:tc>
                <w:tcPr>
                  <w:tcW w:w="751"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数量（台/套）</w:t>
                  </w:r>
                </w:p>
              </w:tc>
              <w:tc>
                <w:tcPr>
                  <w:tcW w:w="801"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降噪前噪声级dB(A)</w:t>
                  </w:r>
                </w:p>
              </w:tc>
              <w:tc>
                <w:tcPr>
                  <w:tcW w:w="1257"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降噪措施</w:t>
                  </w:r>
                </w:p>
              </w:tc>
              <w:tc>
                <w:tcPr>
                  <w:tcW w:w="866" w:type="pct"/>
                  <w:vMerge w:val="restart"/>
                  <w:noWrap w:val="0"/>
                  <w:vAlign w:val="center"/>
                </w:tcPr>
                <w:p>
                  <w:pPr>
                    <w:tabs>
                      <w:tab w:val="left" w:pos="1128"/>
                    </w:tabs>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降噪后噪声级dB(A)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29"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751"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01"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1257"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66"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restart"/>
                  <w:noWrap w:val="0"/>
                  <w:vAlign w:val="center"/>
                </w:tcPr>
                <w:p>
                  <w:pPr>
                    <w:tabs>
                      <w:tab w:val="left" w:pos="1128"/>
                    </w:tabs>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生产</w:t>
                  </w:r>
                </w:p>
                <w:p>
                  <w:pPr>
                    <w:tabs>
                      <w:tab w:val="left" w:pos="1128"/>
                    </w:tabs>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车间</w:t>
                  </w:r>
                </w:p>
              </w:tc>
              <w:tc>
                <w:tcPr>
                  <w:tcW w:w="829"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吹膜机</w:t>
                  </w:r>
                </w:p>
              </w:tc>
              <w:tc>
                <w:tcPr>
                  <w:tcW w:w="751"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w:t>
                  </w:r>
                </w:p>
              </w:tc>
              <w:tc>
                <w:tcPr>
                  <w:tcW w:w="801" w:type="pct"/>
                  <w:noWrap w:val="0"/>
                  <w:vAlign w:val="center"/>
                </w:tcPr>
                <w:p>
                  <w:pPr>
                    <w:jc w:val="center"/>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75</w:t>
                  </w:r>
                </w:p>
              </w:tc>
              <w:tc>
                <w:tcPr>
                  <w:tcW w:w="1257" w:type="pct"/>
                  <w:vMerge w:val="restart"/>
                  <w:noWrap w:val="0"/>
                  <w:vAlign w:val="center"/>
                </w:tcPr>
                <w:p>
                  <w:pPr>
                    <w:tabs>
                      <w:tab w:val="left" w:pos="1128"/>
                    </w:tabs>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隔声、减振</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软连接、距离衰减</w:t>
                  </w:r>
                </w:p>
              </w:tc>
              <w:tc>
                <w:tcPr>
                  <w:tcW w:w="86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94"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29"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风冷造粒机</w:t>
                  </w:r>
                </w:p>
              </w:tc>
              <w:tc>
                <w:tcPr>
                  <w:tcW w:w="751" w:type="pct"/>
                  <w:noWrap w:val="0"/>
                  <w:vAlign w:val="center"/>
                </w:tcPr>
                <w:p>
                  <w:pPr>
                    <w:pStyle w:val="74"/>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01" w:type="pct"/>
                  <w:noWrap w:val="0"/>
                  <w:vAlign w:val="center"/>
                </w:tcPr>
                <w:p>
                  <w:pPr>
                    <w:jc w:val="center"/>
                    <w:rPr>
                      <w:rFonts w:hint="default" w:ascii="Times New Roman" w:hAnsi="Times New Roman"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75</w:t>
                  </w:r>
                </w:p>
              </w:tc>
              <w:tc>
                <w:tcPr>
                  <w:tcW w:w="1257"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66" w:type="pct"/>
                  <w:noWrap w:val="0"/>
                  <w:vAlign w:val="center"/>
                </w:tcPr>
                <w:p>
                  <w:pPr>
                    <w:jc w:val="center"/>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494"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29" w:type="pct"/>
                  <w:noWrap w:val="0"/>
                  <w:vAlign w:val="center"/>
                </w:tcPr>
                <w:p>
                  <w:pPr>
                    <w:pStyle w:val="74"/>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鼓风机</w:t>
                  </w:r>
                </w:p>
              </w:tc>
              <w:tc>
                <w:tcPr>
                  <w:tcW w:w="751" w:type="pct"/>
                  <w:noWrap w:val="0"/>
                  <w:vAlign w:val="center"/>
                </w:tcPr>
                <w:p>
                  <w:pPr>
                    <w:pStyle w:val="74"/>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01" w:type="pct"/>
                  <w:noWrap w:val="0"/>
                  <w:vAlign w:val="center"/>
                </w:tcPr>
                <w:p>
                  <w:pPr>
                    <w:jc w:val="center"/>
                    <w:rPr>
                      <w:rFonts w:hint="eastAsia" w:ascii="Times New Roman" w:hAnsi="Times New Roman" w:eastAsia="宋体" w:cs="Times New Roman"/>
                      <w:bCs/>
                      <w:color w:val="auto"/>
                      <w:kern w:val="0"/>
                      <w:sz w:val="21"/>
                      <w:szCs w:val="21"/>
                      <w:highlight w:val="none"/>
                      <w:lang w:val="en-US" w:eastAsia="zh-CN" w:bidi="ar-SA"/>
                    </w:rPr>
                  </w:pPr>
                  <w:r>
                    <w:rPr>
                      <w:rFonts w:hint="eastAsia" w:cs="Times New Roman"/>
                      <w:bCs/>
                      <w:color w:val="auto"/>
                      <w:kern w:val="0"/>
                      <w:sz w:val="21"/>
                      <w:szCs w:val="21"/>
                      <w:highlight w:val="none"/>
                      <w:lang w:val="en-US" w:eastAsia="zh-CN"/>
                    </w:rPr>
                    <w:t>85</w:t>
                  </w:r>
                </w:p>
              </w:tc>
              <w:tc>
                <w:tcPr>
                  <w:tcW w:w="1257" w:type="pct"/>
                  <w:vMerge w:val="restart"/>
                  <w:noWrap w:val="0"/>
                  <w:vAlign w:val="center"/>
                </w:tcPr>
                <w:p>
                  <w:pPr>
                    <w:tabs>
                      <w:tab w:val="left" w:pos="1128"/>
                    </w:tabs>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隔声、减振</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软连接、消声、距离衰减</w:t>
                  </w:r>
                </w:p>
              </w:tc>
              <w:tc>
                <w:tcPr>
                  <w:tcW w:w="866" w:type="pct"/>
                  <w:noWrap w:val="0"/>
                  <w:vAlign w:val="center"/>
                </w:tcPr>
                <w:p>
                  <w:pPr>
                    <w:jc w:val="center"/>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494"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29" w:type="pct"/>
                  <w:noWrap w:val="0"/>
                  <w:vAlign w:val="center"/>
                </w:tcPr>
                <w:p>
                  <w:pPr>
                    <w:pStyle w:val="74"/>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风机</w:t>
                  </w:r>
                </w:p>
              </w:tc>
              <w:tc>
                <w:tcPr>
                  <w:tcW w:w="751" w:type="pct"/>
                  <w:noWrap w:val="0"/>
                  <w:vAlign w:val="center"/>
                </w:tcPr>
                <w:p>
                  <w:pPr>
                    <w:pStyle w:val="74"/>
                    <w:spacing w:line="240" w:lineRule="auto"/>
                    <w:ind w:firstLine="0" w:firstLineChars="0"/>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01" w:type="pct"/>
                  <w:noWrap w:val="0"/>
                  <w:vAlign w:val="center"/>
                </w:tcPr>
                <w:p>
                  <w:pPr>
                    <w:jc w:val="center"/>
                    <w:rPr>
                      <w:rFonts w:hint="eastAsia"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85</w:t>
                  </w:r>
                </w:p>
              </w:tc>
              <w:tc>
                <w:tcPr>
                  <w:tcW w:w="1257" w:type="pct"/>
                  <w:vMerge w:val="continue"/>
                  <w:noWrap w:val="0"/>
                  <w:vAlign w:val="center"/>
                </w:tcPr>
                <w:p>
                  <w:pPr>
                    <w:tabs>
                      <w:tab w:val="left" w:pos="1128"/>
                    </w:tabs>
                    <w:snapToGrid w:val="0"/>
                    <w:jc w:val="center"/>
                    <w:rPr>
                      <w:rFonts w:hint="default" w:ascii="Times New Roman" w:hAnsi="Times New Roman" w:cs="Times New Roman"/>
                      <w:color w:val="auto"/>
                      <w:sz w:val="21"/>
                      <w:szCs w:val="21"/>
                      <w:highlight w:val="none"/>
                    </w:rPr>
                  </w:pPr>
                </w:p>
              </w:tc>
              <w:tc>
                <w:tcPr>
                  <w:tcW w:w="866" w:type="pct"/>
                  <w:noWrap w:val="0"/>
                  <w:vAlign w:val="center"/>
                </w:tcPr>
                <w:p>
                  <w:pPr>
                    <w:jc w:val="center"/>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50</w:t>
                  </w:r>
                </w:p>
              </w:tc>
            </w:tr>
          </w:tbl>
          <w:p>
            <w:pPr>
              <w:pageBreakBefore/>
              <w:widowControl/>
              <w:spacing w:line="360" w:lineRule="auto"/>
              <w:rPr>
                <w:rFonts w:hint="default" w:ascii="Times New Roman" w:hAnsi="Times New Roman" w:cs="Times New Roman"/>
                <w:bCs/>
                <w:color w:val="auto"/>
                <w:spacing w:val="-10"/>
                <w:sz w:val="24"/>
                <w:szCs w:val="24"/>
                <w:highlight w:val="none"/>
              </w:rPr>
            </w:pPr>
            <w:r>
              <w:rPr>
                <w:rFonts w:hint="default" w:ascii="Times New Roman" w:hAnsi="Times New Roman" w:cs="Times New Roman"/>
                <w:b/>
                <w:bCs/>
                <w:color w:val="auto"/>
                <w:spacing w:val="-10"/>
                <w:sz w:val="24"/>
                <w:szCs w:val="24"/>
                <w:highlight w:val="none"/>
              </w:rPr>
              <w:t>3.2 声环境影响分析</w:t>
            </w:r>
          </w:p>
          <w:p>
            <w:pPr>
              <w:snapToGrid w:val="0"/>
              <w:spacing w:line="360" w:lineRule="auto"/>
              <w:rPr>
                <w:b/>
                <w:bCs/>
                <w:color w:val="auto"/>
                <w:spacing w:val="-10"/>
                <w:szCs w:val="21"/>
                <w:highlight w:val="none"/>
              </w:rPr>
            </w:pPr>
            <w:r>
              <w:rPr>
                <w:b/>
                <w:bCs/>
                <w:color w:val="auto"/>
                <w:spacing w:val="-10"/>
                <w:szCs w:val="21"/>
                <w:highlight w:val="none"/>
              </w:rPr>
              <w:t>3.2 声环境影响分析</w:t>
            </w:r>
          </w:p>
          <w:p>
            <w:pPr>
              <w:pStyle w:val="10"/>
              <w:adjustRightInd w:val="0"/>
              <w:snapToGrid w:val="0"/>
              <w:spacing w:after="0" w:line="360" w:lineRule="auto"/>
              <w:ind w:left="0" w:leftChars="0"/>
              <w:rPr>
                <w:color w:val="auto"/>
                <w:sz w:val="24"/>
                <w:szCs w:val="24"/>
                <w:highlight w:val="none"/>
              </w:rPr>
            </w:pPr>
            <w:r>
              <w:rPr>
                <w:color w:val="auto"/>
                <w:sz w:val="24"/>
                <w:szCs w:val="24"/>
                <w:highlight w:val="none"/>
              </w:rPr>
              <w:t>按照《环境影响评价技术导则声环境》（HJ2.4-2021）中推荐的模式进行预测，用A声级计算，预测模式如下：</w:t>
            </w:r>
          </w:p>
          <w:p>
            <w:pPr>
              <w:adjustRightInd w:val="0"/>
              <w:snapToGrid w:val="0"/>
              <w:spacing w:line="360" w:lineRule="auto"/>
              <w:ind w:firstLine="480" w:firstLineChars="200"/>
              <w:rPr>
                <w:color w:val="auto"/>
                <w:sz w:val="24"/>
                <w:szCs w:val="24"/>
                <w:highlight w:val="none"/>
              </w:rPr>
            </w:pPr>
            <w:r>
              <w:rPr>
                <w:rFonts w:hint="eastAsia" w:cs="宋体"/>
                <w:color w:val="auto"/>
                <w:sz w:val="24"/>
                <w:szCs w:val="24"/>
                <w:highlight w:val="none"/>
              </w:rPr>
              <w:t>①</w:t>
            </w:r>
            <w:r>
              <w:rPr>
                <w:color w:val="auto"/>
                <w:sz w:val="24"/>
                <w:szCs w:val="24"/>
                <w:highlight w:val="none"/>
              </w:rPr>
              <w:t>室外声源在预测点的声压级计算：</w:t>
            </w:r>
          </w:p>
          <w:p>
            <w:pPr>
              <w:adjustRightInd w:val="0"/>
              <w:snapToGrid w:val="0"/>
              <w:spacing w:line="360" w:lineRule="auto"/>
              <w:jc w:val="center"/>
              <w:rPr>
                <w:color w:val="auto"/>
                <w:sz w:val="24"/>
                <w:szCs w:val="24"/>
                <w:highlight w:val="none"/>
              </w:rPr>
            </w:pPr>
            <w:r>
              <w:rPr>
                <w:color w:val="auto"/>
                <w:sz w:val="24"/>
                <w:szCs w:val="24"/>
                <w:highlight w:val="none"/>
              </w:rPr>
              <w:t>L</w:t>
            </w:r>
            <w:r>
              <w:rPr>
                <w:color w:val="auto"/>
                <w:sz w:val="24"/>
                <w:szCs w:val="24"/>
                <w:highlight w:val="none"/>
                <w:vertAlign w:val="subscript"/>
              </w:rPr>
              <w:t>p</w:t>
            </w:r>
            <w:r>
              <w:rPr>
                <w:color w:val="auto"/>
                <w:sz w:val="24"/>
                <w:szCs w:val="24"/>
                <w:highlight w:val="none"/>
              </w:rPr>
              <w:t>(r)=L</w:t>
            </w:r>
            <w:r>
              <w:rPr>
                <w:color w:val="auto"/>
                <w:sz w:val="24"/>
                <w:szCs w:val="24"/>
                <w:highlight w:val="none"/>
                <w:vertAlign w:val="subscript"/>
              </w:rPr>
              <w:t>p(ro)</w:t>
            </w:r>
            <w:r>
              <w:rPr>
                <w:color w:val="auto"/>
                <w:sz w:val="24"/>
                <w:szCs w:val="24"/>
                <w:highlight w:val="none"/>
              </w:rPr>
              <w:t>+D</w:t>
            </w:r>
            <w:r>
              <w:rPr>
                <w:color w:val="auto"/>
                <w:sz w:val="24"/>
                <w:szCs w:val="24"/>
                <w:highlight w:val="none"/>
                <w:vertAlign w:val="subscript"/>
              </w:rPr>
              <w:t>c</w:t>
            </w:r>
            <w:r>
              <w:rPr>
                <w:color w:val="auto"/>
                <w:sz w:val="24"/>
                <w:szCs w:val="24"/>
                <w:highlight w:val="none"/>
              </w:rPr>
              <w:t>–(A</w:t>
            </w:r>
            <w:r>
              <w:rPr>
                <w:color w:val="auto"/>
                <w:sz w:val="24"/>
                <w:szCs w:val="24"/>
                <w:highlight w:val="none"/>
                <w:vertAlign w:val="subscript"/>
              </w:rPr>
              <w:t>div</w:t>
            </w:r>
            <w:r>
              <w:rPr>
                <w:color w:val="auto"/>
                <w:sz w:val="24"/>
                <w:szCs w:val="24"/>
                <w:highlight w:val="none"/>
              </w:rPr>
              <w:t>+A</w:t>
            </w:r>
            <w:r>
              <w:rPr>
                <w:color w:val="auto"/>
                <w:sz w:val="24"/>
                <w:szCs w:val="24"/>
                <w:highlight w:val="none"/>
                <w:vertAlign w:val="subscript"/>
              </w:rPr>
              <w:t>bar</w:t>
            </w:r>
            <w:r>
              <w:rPr>
                <w:color w:val="auto"/>
                <w:sz w:val="24"/>
                <w:szCs w:val="24"/>
                <w:highlight w:val="none"/>
              </w:rPr>
              <w:t>+A</w:t>
            </w:r>
            <w:r>
              <w:rPr>
                <w:color w:val="auto"/>
                <w:sz w:val="24"/>
                <w:szCs w:val="24"/>
                <w:highlight w:val="none"/>
                <w:vertAlign w:val="subscript"/>
              </w:rPr>
              <w:t>atm</w:t>
            </w:r>
            <w:r>
              <w:rPr>
                <w:color w:val="auto"/>
                <w:sz w:val="24"/>
                <w:szCs w:val="24"/>
                <w:highlight w:val="none"/>
              </w:rPr>
              <w:t>+A</w:t>
            </w:r>
            <w:r>
              <w:rPr>
                <w:color w:val="auto"/>
                <w:sz w:val="24"/>
                <w:szCs w:val="24"/>
                <w:highlight w:val="none"/>
                <w:vertAlign w:val="subscript"/>
              </w:rPr>
              <w:t>gr</w:t>
            </w:r>
            <w:r>
              <w:rPr>
                <w:color w:val="auto"/>
                <w:sz w:val="24"/>
                <w:szCs w:val="24"/>
                <w:highlight w:val="none"/>
              </w:rPr>
              <w:t>+A</w:t>
            </w:r>
            <w:r>
              <w:rPr>
                <w:color w:val="auto"/>
                <w:sz w:val="24"/>
                <w:szCs w:val="24"/>
                <w:highlight w:val="none"/>
                <w:vertAlign w:val="subscript"/>
              </w:rPr>
              <w:t>misc</w:t>
            </w:r>
            <w:r>
              <w:rPr>
                <w:color w:val="auto"/>
                <w:sz w:val="24"/>
                <w:szCs w:val="24"/>
                <w:highlight w:val="none"/>
              </w:rPr>
              <w:t>)</w:t>
            </w:r>
          </w:p>
          <w:p>
            <w:pPr>
              <w:adjustRightInd w:val="0"/>
              <w:snapToGrid w:val="0"/>
              <w:spacing w:line="360" w:lineRule="auto"/>
              <w:ind w:firstLine="480" w:firstLineChars="200"/>
              <w:rPr>
                <w:color w:val="auto"/>
                <w:sz w:val="24"/>
                <w:szCs w:val="24"/>
                <w:highlight w:val="none"/>
              </w:rPr>
            </w:pPr>
            <w:r>
              <w:rPr>
                <w:color w:val="auto"/>
                <w:sz w:val="24"/>
                <w:szCs w:val="24"/>
                <w:highlight w:val="none"/>
              </w:rPr>
              <w:t>式中：</w:t>
            </w:r>
            <w:r>
              <w:rPr>
                <w:i/>
                <w:iCs/>
                <w:color w:val="auto"/>
                <w:sz w:val="24"/>
                <w:szCs w:val="24"/>
                <w:highlight w:val="none"/>
              </w:rPr>
              <w:t>L</w:t>
            </w:r>
            <w:r>
              <w:rPr>
                <w:color w:val="auto"/>
                <w:sz w:val="24"/>
                <w:szCs w:val="24"/>
                <w:highlight w:val="none"/>
                <w:vertAlign w:val="subscript"/>
              </w:rPr>
              <w:t>p</w:t>
            </w:r>
            <w:r>
              <w:rPr>
                <w:color w:val="auto"/>
                <w:sz w:val="24"/>
                <w:szCs w:val="24"/>
                <w:highlight w:val="none"/>
              </w:rPr>
              <w:t>（r）—预测点处的声压级，dB；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L</w:t>
            </w:r>
            <w:r>
              <w:rPr>
                <w:color w:val="auto"/>
                <w:sz w:val="24"/>
                <w:szCs w:val="24"/>
                <w:highlight w:val="none"/>
                <w:vertAlign w:val="subscript"/>
              </w:rPr>
              <w:t>p（ro）</w:t>
            </w:r>
            <w:r>
              <w:rPr>
                <w:color w:val="auto"/>
                <w:sz w:val="24"/>
                <w:szCs w:val="24"/>
                <w:highlight w:val="none"/>
              </w:rPr>
              <w:t>—参考位置r</w:t>
            </w:r>
            <w:r>
              <w:rPr>
                <w:color w:val="auto"/>
                <w:sz w:val="24"/>
                <w:szCs w:val="24"/>
                <w:highlight w:val="none"/>
                <w:vertAlign w:val="subscript"/>
              </w:rPr>
              <w:t>o</w:t>
            </w:r>
            <w:r>
              <w:rPr>
                <w:color w:val="auto"/>
                <w:sz w:val="24"/>
                <w:szCs w:val="24"/>
                <w:highlight w:val="none"/>
              </w:rPr>
              <w:t>处声压级，dB；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A</w:t>
            </w:r>
            <w:r>
              <w:rPr>
                <w:color w:val="auto"/>
                <w:sz w:val="24"/>
                <w:szCs w:val="24"/>
                <w:highlight w:val="none"/>
                <w:vertAlign w:val="subscript"/>
              </w:rPr>
              <w:t>div</w:t>
            </w:r>
            <w:r>
              <w:rPr>
                <w:color w:val="auto"/>
                <w:sz w:val="24"/>
                <w:szCs w:val="24"/>
                <w:highlight w:val="none"/>
              </w:rPr>
              <w:t>—几何发散引起的衰减，dB；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A</w:t>
            </w:r>
            <w:r>
              <w:rPr>
                <w:color w:val="auto"/>
                <w:sz w:val="24"/>
                <w:szCs w:val="24"/>
                <w:highlight w:val="none"/>
                <w:vertAlign w:val="subscript"/>
              </w:rPr>
              <w:t>bar</w:t>
            </w:r>
            <w:r>
              <w:rPr>
                <w:color w:val="auto"/>
                <w:sz w:val="24"/>
                <w:szCs w:val="24"/>
                <w:highlight w:val="none"/>
              </w:rPr>
              <w:t>—障碍物屏蔽引起的衰减，dB；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A</w:t>
            </w:r>
            <w:r>
              <w:rPr>
                <w:color w:val="auto"/>
                <w:sz w:val="24"/>
                <w:szCs w:val="24"/>
                <w:highlight w:val="none"/>
                <w:vertAlign w:val="subscript"/>
              </w:rPr>
              <w:t>atm</w:t>
            </w:r>
            <w:r>
              <w:rPr>
                <w:color w:val="auto"/>
                <w:sz w:val="24"/>
                <w:szCs w:val="24"/>
                <w:highlight w:val="none"/>
              </w:rPr>
              <w:t>—大气吸收引起的衰减，dB；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A</w:t>
            </w:r>
            <w:r>
              <w:rPr>
                <w:color w:val="auto"/>
                <w:sz w:val="24"/>
                <w:szCs w:val="24"/>
                <w:highlight w:val="none"/>
                <w:vertAlign w:val="subscript"/>
              </w:rPr>
              <w:t>gr</w:t>
            </w:r>
            <w:r>
              <w:rPr>
                <w:color w:val="auto"/>
                <w:sz w:val="24"/>
                <w:szCs w:val="24"/>
                <w:highlight w:val="none"/>
              </w:rPr>
              <w:t>—地面效应引起的衰减，dB；</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A</w:t>
            </w:r>
            <w:r>
              <w:rPr>
                <w:color w:val="auto"/>
                <w:sz w:val="24"/>
                <w:szCs w:val="24"/>
                <w:highlight w:val="none"/>
                <w:vertAlign w:val="subscript"/>
              </w:rPr>
              <w:t>misc</w:t>
            </w:r>
            <w:r>
              <w:rPr>
                <w:color w:val="auto"/>
                <w:sz w:val="24"/>
                <w:szCs w:val="24"/>
                <w:highlight w:val="none"/>
              </w:rPr>
              <w:t>—其他多方面效应引起的衰减，dB。</w:t>
            </w:r>
          </w:p>
          <w:p>
            <w:pPr>
              <w:adjustRightInd w:val="0"/>
              <w:snapToGrid w:val="0"/>
              <w:spacing w:line="360" w:lineRule="auto"/>
              <w:ind w:firstLine="480" w:firstLineChars="200"/>
              <w:rPr>
                <w:color w:val="auto"/>
                <w:sz w:val="24"/>
                <w:szCs w:val="24"/>
                <w:highlight w:val="none"/>
              </w:rPr>
            </w:pPr>
            <w:r>
              <w:rPr>
                <w:rFonts w:hint="eastAsia" w:cs="宋体"/>
                <w:color w:val="auto"/>
                <w:sz w:val="24"/>
                <w:szCs w:val="24"/>
                <w:highlight w:val="none"/>
              </w:rPr>
              <w:t>②</w:t>
            </w:r>
            <w:r>
              <w:rPr>
                <w:color w:val="auto"/>
                <w:sz w:val="24"/>
                <w:szCs w:val="24"/>
                <w:highlight w:val="none"/>
              </w:rPr>
              <w:t>室内声源在预测点的声压级计算：</w:t>
            </w:r>
          </w:p>
          <w:p>
            <w:pPr>
              <w:adjustRightInd w:val="0"/>
              <w:snapToGrid w:val="0"/>
              <w:spacing w:line="360" w:lineRule="auto"/>
              <w:ind w:firstLine="480" w:firstLineChars="200"/>
              <w:rPr>
                <w:color w:val="auto"/>
                <w:sz w:val="24"/>
                <w:szCs w:val="24"/>
                <w:highlight w:val="none"/>
              </w:rPr>
            </w:pPr>
            <w:r>
              <w:rPr>
                <w:color w:val="auto"/>
                <w:sz w:val="24"/>
                <w:szCs w:val="24"/>
                <w:highlight w:val="none"/>
              </w:rPr>
              <w:t>a、首先计算某个室内声源在靠近围护结构处的声压级：</w:t>
            </w:r>
          </w:p>
          <w:p>
            <w:pPr>
              <w:adjustRightInd w:val="0"/>
              <w:snapToGrid w:val="0"/>
              <w:spacing w:line="360" w:lineRule="auto"/>
              <w:ind w:left="-1" w:leftChars="-13" w:hanging="26" w:hangingChars="11"/>
              <w:jc w:val="center"/>
              <w:rPr>
                <w:color w:val="auto"/>
                <w:sz w:val="24"/>
                <w:szCs w:val="24"/>
                <w:highlight w:val="none"/>
              </w:rPr>
            </w:pPr>
            <w:r>
              <w:rPr>
                <w:i/>
                <w:iCs/>
                <w:color w:val="auto"/>
                <w:sz w:val="24"/>
                <w:szCs w:val="24"/>
                <w:highlight w:val="none"/>
              </w:rPr>
              <w:t>L</w:t>
            </w:r>
            <w:r>
              <w:rPr>
                <w:color w:val="auto"/>
                <w:sz w:val="24"/>
                <w:szCs w:val="24"/>
                <w:highlight w:val="none"/>
                <w:vertAlign w:val="subscript"/>
              </w:rPr>
              <w:t>p1</w:t>
            </w:r>
            <w:r>
              <w:rPr>
                <w:color w:val="auto"/>
                <w:sz w:val="24"/>
                <w:szCs w:val="24"/>
                <w:highlight w:val="none"/>
              </w:rPr>
              <w:t>＝</w:t>
            </w:r>
            <w:r>
              <w:rPr>
                <w:i/>
                <w:iCs/>
                <w:color w:val="auto"/>
                <w:sz w:val="24"/>
                <w:szCs w:val="24"/>
                <w:highlight w:val="none"/>
              </w:rPr>
              <w:t>L</w:t>
            </w:r>
            <w:r>
              <w:rPr>
                <w:color w:val="auto"/>
                <w:sz w:val="24"/>
                <w:szCs w:val="24"/>
                <w:highlight w:val="none"/>
                <w:vertAlign w:val="subscript"/>
              </w:rPr>
              <w:t>w</w:t>
            </w:r>
            <w:r>
              <w:rPr>
                <w:color w:val="auto"/>
                <w:sz w:val="24"/>
                <w:szCs w:val="24"/>
                <w:highlight w:val="none"/>
              </w:rPr>
              <w:t>+10lg（Q/4πr</w:t>
            </w:r>
            <w:r>
              <w:rPr>
                <w:color w:val="auto"/>
                <w:sz w:val="24"/>
                <w:szCs w:val="24"/>
                <w:highlight w:val="none"/>
                <w:vertAlign w:val="superscript"/>
              </w:rPr>
              <w:t>2</w:t>
            </w:r>
            <w:r>
              <w:rPr>
                <w:color w:val="auto"/>
                <w:sz w:val="24"/>
                <w:szCs w:val="24"/>
                <w:highlight w:val="none"/>
              </w:rPr>
              <w:t>+4/R）</w:t>
            </w:r>
          </w:p>
          <w:p>
            <w:pPr>
              <w:adjustRightInd w:val="0"/>
              <w:snapToGrid w:val="0"/>
              <w:spacing w:line="360" w:lineRule="auto"/>
              <w:ind w:firstLine="480" w:firstLineChars="200"/>
              <w:rPr>
                <w:color w:val="auto"/>
                <w:sz w:val="24"/>
                <w:szCs w:val="24"/>
                <w:highlight w:val="none"/>
              </w:rPr>
            </w:pPr>
            <w:r>
              <w:rPr>
                <w:color w:val="auto"/>
                <w:sz w:val="24"/>
                <w:szCs w:val="24"/>
                <w:highlight w:val="none"/>
              </w:rPr>
              <w:t>式中：</w:t>
            </w:r>
            <w:r>
              <w:rPr>
                <w:i/>
                <w:iCs/>
                <w:color w:val="auto"/>
                <w:sz w:val="24"/>
                <w:szCs w:val="24"/>
                <w:highlight w:val="none"/>
              </w:rPr>
              <w:t>L</w:t>
            </w:r>
            <w:r>
              <w:rPr>
                <w:color w:val="auto"/>
                <w:sz w:val="24"/>
                <w:szCs w:val="24"/>
                <w:highlight w:val="none"/>
                <w:vertAlign w:val="subscript"/>
              </w:rPr>
              <w:t>p1</w:t>
            </w:r>
            <w:r>
              <w:rPr>
                <w:color w:val="auto"/>
                <w:sz w:val="24"/>
                <w:szCs w:val="24"/>
                <w:highlight w:val="none"/>
              </w:rPr>
              <w:t>—靠近开口处（或窗户）室内某倍频带的声压级或A声级；</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L</w:t>
            </w:r>
            <w:r>
              <w:rPr>
                <w:color w:val="auto"/>
                <w:sz w:val="24"/>
                <w:szCs w:val="24"/>
                <w:highlight w:val="none"/>
                <w:vertAlign w:val="subscript"/>
              </w:rPr>
              <w:t>w</w:t>
            </w:r>
            <w:r>
              <w:rPr>
                <w:color w:val="auto"/>
                <w:sz w:val="24"/>
                <w:szCs w:val="24"/>
                <w:highlight w:val="none"/>
              </w:rPr>
              <w:t>—点声源声功率级（A计权或倍频带），dB；</w:t>
            </w:r>
          </w:p>
          <w:p>
            <w:pPr>
              <w:adjustRightInd w:val="0"/>
              <w:snapToGrid w:val="0"/>
              <w:spacing w:line="360" w:lineRule="auto"/>
              <w:ind w:firstLine="480" w:firstLineChars="200"/>
              <w:rPr>
                <w:color w:val="auto"/>
                <w:sz w:val="24"/>
                <w:szCs w:val="24"/>
                <w:highlight w:val="none"/>
              </w:rPr>
            </w:pPr>
            <w:r>
              <w:rPr>
                <w:color w:val="auto"/>
                <w:sz w:val="24"/>
                <w:szCs w:val="24"/>
                <w:highlight w:val="none"/>
              </w:rPr>
              <w:t>r—声源与靠近围护结构某点处的距离，m；</w:t>
            </w:r>
          </w:p>
          <w:p>
            <w:pPr>
              <w:adjustRightInd w:val="0"/>
              <w:snapToGrid w:val="0"/>
              <w:spacing w:line="360" w:lineRule="auto"/>
              <w:ind w:firstLine="480" w:firstLineChars="200"/>
              <w:rPr>
                <w:color w:val="auto"/>
                <w:sz w:val="24"/>
                <w:szCs w:val="24"/>
                <w:highlight w:val="none"/>
              </w:rPr>
            </w:pPr>
            <w:r>
              <w:rPr>
                <w:color w:val="auto"/>
                <w:sz w:val="24"/>
                <w:szCs w:val="24"/>
                <w:highlight w:val="none"/>
              </w:rPr>
              <w:t>R—房间常数；R=Sa/（1-a），S为房间内表面积，m</w:t>
            </w:r>
            <w:r>
              <w:rPr>
                <w:color w:val="auto"/>
                <w:sz w:val="24"/>
                <w:szCs w:val="24"/>
                <w:highlight w:val="none"/>
                <w:vertAlign w:val="superscript"/>
              </w:rPr>
              <w:t>2</w:t>
            </w:r>
            <w:r>
              <w:rPr>
                <w:color w:val="auto"/>
                <w:sz w:val="24"/>
                <w:szCs w:val="24"/>
                <w:highlight w:val="none"/>
              </w:rPr>
              <w:t>，a为平均吸声系数；</w:t>
            </w:r>
          </w:p>
          <w:p>
            <w:pPr>
              <w:adjustRightInd w:val="0"/>
              <w:snapToGrid w:val="0"/>
              <w:spacing w:line="360" w:lineRule="auto"/>
              <w:ind w:firstLine="480" w:firstLineChars="200"/>
              <w:rPr>
                <w:color w:val="auto"/>
                <w:sz w:val="24"/>
                <w:szCs w:val="24"/>
                <w:highlight w:val="none"/>
              </w:rPr>
            </w:pPr>
            <w:r>
              <w:rPr>
                <w:color w:val="auto"/>
                <w:sz w:val="24"/>
                <w:szCs w:val="24"/>
                <w:highlight w:val="none"/>
              </w:rPr>
              <w:t>Q—指向性因数；通常对无指向性声源，当声源放在房间中心时，Q=1；当放在一面墙的中心时，Q=2；当放在两面墙夹角处时，Q=4；当放在三面墙夹角处时，Q=8。</w:t>
            </w:r>
          </w:p>
          <w:p>
            <w:pPr>
              <w:adjustRightInd w:val="0"/>
              <w:snapToGrid w:val="0"/>
              <w:spacing w:line="360" w:lineRule="auto"/>
              <w:ind w:firstLine="480" w:firstLineChars="200"/>
              <w:rPr>
                <w:color w:val="auto"/>
                <w:sz w:val="24"/>
                <w:szCs w:val="24"/>
                <w:highlight w:val="none"/>
              </w:rPr>
            </w:pPr>
            <w:r>
              <w:rPr>
                <w:color w:val="auto"/>
                <w:sz w:val="24"/>
                <w:szCs w:val="24"/>
                <w:highlight w:val="none"/>
              </w:rPr>
              <w:t>b、计算所有室内声源在围护结构处产生的i倍频带叠加声压级：</w:t>
            </w:r>
          </w:p>
          <w:p>
            <w:pPr>
              <w:adjustRightInd w:val="0"/>
              <w:snapToGrid w:val="0"/>
              <w:spacing w:line="360" w:lineRule="auto"/>
              <w:ind w:left="-1" w:leftChars="-13" w:hanging="26" w:hangingChars="11"/>
              <w:jc w:val="center"/>
              <w:rPr>
                <w:color w:val="auto"/>
                <w:sz w:val="24"/>
                <w:szCs w:val="24"/>
                <w:highlight w:val="none"/>
              </w:rPr>
            </w:pPr>
            <w:r>
              <w:rPr>
                <w:color w:val="auto"/>
                <w:sz w:val="24"/>
                <w:szCs w:val="24"/>
                <w:highlight w:val="none"/>
              </w:rPr>
              <w:drawing>
                <wp:inline distT="0" distB="0" distL="0" distR="0">
                  <wp:extent cx="1477645" cy="43434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77645" cy="434340"/>
                          </a:xfrm>
                          <a:prstGeom prst="rect">
                            <a:avLst/>
                          </a:prstGeom>
                          <a:noFill/>
                          <a:ln>
                            <a:noFill/>
                          </a:ln>
                        </pic:spPr>
                      </pic:pic>
                    </a:graphicData>
                  </a:graphic>
                </wp:inline>
              </w:drawing>
            </w:r>
          </w:p>
          <w:p>
            <w:pPr>
              <w:pStyle w:val="10"/>
              <w:adjustRightInd w:val="0"/>
              <w:snapToGrid w:val="0"/>
              <w:spacing w:after="0" w:line="360" w:lineRule="auto"/>
              <w:ind w:left="0" w:leftChars="0"/>
              <w:rPr>
                <w:color w:val="auto"/>
                <w:sz w:val="24"/>
                <w:szCs w:val="24"/>
                <w:highlight w:val="none"/>
              </w:rPr>
            </w:pPr>
            <w:r>
              <w:rPr>
                <w:color w:val="auto"/>
                <w:sz w:val="24"/>
                <w:szCs w:val="24"/>
                <w:highlight w:val="none"/>
              </w:rPr>
              <w:t>式中：L</w:t>
            </w:r>
            <w:r>
              <w:rPr>
                <w:color w:val="auto"/>
                <w:sz w:val="24"/>
                <w:szCs w:val="24"/>
                <w:highlight w:val="none"/>
                <w:vertAlign w:val="subscript"/>
              </w:rPr>
              <w:t>pli</w:t>
            </w:r>
            <w:r>
              <w:rPr>
                <w:color w:val="auto"/>
                <w:sz w:val="24"/>
                <w:szCs w:val="24"/>
                <w:highlight w:val="none"/>
              </w:rPr>
              <w:t>（T）—靠近围护结构处室外N个声源i倍频带的叠加声压级，dB;</w:t>
            </w:r>
          </w:p>
          <w:p>
            <w:pPr>
              <w:adjustRightInd w:val="0"/>
              <w:snapToGrid w:val="0"/>
              <w:spacing w:line="360" w:lineRule="auto"/>
              <w:ind w:firstLine="480" w:firstLineChars="200"/>
              <w:rPr>
                <w:color w:val="auto"/>
                <w:sz w:val="24"/>
                <w:szCs w:val="24"/>
                <w:highlight w:val="none"/>
              </w:rPr>
            </w:pPr>
            <w:r>
              <w:rPr>
                <w:color w:val="auto"/>
                <w:sz w:val="24"/>
                <w:szCs w:val="24"/>
                <w:highlight w:val="none"/>
              </w:rPr>
              <w:t>L</w:t>
            </w:r>
            <w:r>
              <w:rPr>
                <w:color w:val="auto"/>
                <w:sz w:val="24"/>
                <w:szCs w:val="24"/>
                <w:highlight w:val="none"/>
                <w:vertAlign w:val="subscript"/>
              </w:rPr>
              <w:t>1ij</w:t>
            </w:r>
            <w:r>
              <w:rPr>
                <w:color w:val="auto"/>
                <w:sz w:val="24"/>
                <w:szCs w:val="24"/>
                <w:highlight w:val="none"/>
              </w:rPr>
              <w:t>—室内声源i倍频带的声压级，dB；</w:t>
            </w:r>
          </w:p>
          <w:p>
            <w:pPr>
              <w:pStyle w:val="10"/>
              <w:adjustRightInd w:val="0"/>
              <w:snapToGrid w:val="0"/>
              <w:spacing w:after="0" w:line="360" w:lineRule="auto"/>
              <w:ind w:left="0" w:leftChars="0"/>
              <w:rPr>
                <w:color w:val="auto"/>
                <w:sz w:val="24"/>
                <w:szCs w:val="24"/>
                <w:highlight w:val="none"/>
              </w:rPr>
            </w:pPr>
            <w:r>
              <w:rPr>
                <w:color w:val="auto"/>
                <w:sz w:val="24"/>
                <w:szCs w:val="24"/>
                <w:highlight w:val="none"/>
              </w:rPr>
              <w:t>N—室内声源总数。</w:t>
            </w:r>
          </w:p>
          <w:p>
            <w:pPr>
              <w:adjustRightInd w:val="0"/>
              <w:snapToGrid w:val="0"/>
              <w:spacing w:line="360" w:lineRule="auto"/>
              <w:ind w:firstLine="480" w:firstLineChars="200"/>
              <w:rPr>
                <w:color w:val="auto"/>
                <w:sz w:val="24"/>
                <w:szCs w:val="24"/>
                <w:highlight w:val="none"/>
              </w:rPr>
            </w:pPr>
            <w:r>
              <w:rPr>
                <w:color w:val="auto"/>
                <w:sz w:val="24"/>
                <w:szCs w:val="24"/>
                <w:highlight w:val="none"/>
              </w:rPr>
              <w:t>c、将室外声源的声压级和透过面积换算成等效的室外声源，计算出中心位置位于透声面积（S）处的等效声源的倍频带声功率级。</w:t>
            </w:r>
          </w:p>
          <w:p>
            <w:pPr>
              <w:adjustRightInd w:val="0"/>
              <w:snapToGrid w:val="0"/>
              <w:spacing w:line="360" w:lineRule="auto"/>
              <w:ind w:firstLine="480" w:firstLineChars="200"/>
              <w:rPr>
                <w:color w:val="auto"/>
                <w:sz w:val="24"/>
                <w:szCs w:val="24"/>
                <w:highlight w:val="none"/>
              </w:rPr>
            </w:pPr>
            <w:r>
              <w:rPr>
                <w:i/>
                <w:iCs/>
                <w:color w:val="auto"/>
                <w:sz w:val="24"/>
                <w:szCs w:val="24"/>
                <w:highlight w:val="none"/>
              </w:rPr>
              <w:t>L</w:t>
            </w:r>
            <w:r>
              <w:rPr>
                <w:color w:val="auto"/>
                <w:sz w:val="24"/>
                <w:szCs w:val="24"/>
                <w:highlight w:val="none"/>
                <w:vertAlign w:val="subscript"/>
              </w:rPr>
              <w:t>w</w:t>
            </w:r>
            <w:r>
              <w:rPr>
                <w:color w:val="auto"/>
                <w:sz w:val="24"/>
                <w:szCs w:val="24"/>
                <w:highlight w:val="none"/>
              </w:rPr>
              <w:t>＝</w:t>
            </w:r>
            <w:r>
              <w:rPr>
                <w:i/>
                <w:iCs/>
                <w:color w:val="auto"/>
                <w:sz w:val="24"/>
                <w:szCs w:val="24"/>
                <w:highlight w:val="none"/>
              </w:rPr>
              <w:t>L</w:t>
            </w:r>
            <w:r>
              <w:rPr>
                <w:i/>
                <w:iCs/>
                <w:color w:val="auto"/>
                <w:sz w:val="24"/>
                <w:szCs w:val="24"/>
                <w:highlight w:val="none"/>
                <w:vertAlign w:val="subscript"/>
              </w:rPr>
              <w:t>p</w:t>
            </w:r>
            <w:r>
              <w:rPr>
                <w:color w:val="auto"/>
                <w:sz w:val="24"/>
                <w:szCs w:val="24"/>
                <w:highlight w:val="none"/>
                <w:vertAlign w:val="subscript"/>
              </w:rPr>
              <w:t>2</w:t>
            </w:r>
            <w:r>
              <w:rPr>
                <w:color w:val="auto"/>
                <w:sz w:val="24"/>
                <w:szCs w:val="24"/>
                <w:highlight w:val="none"/>
              </w:rPr>
              <w:t>（T）+10lgS</w:t>
            </w:r>
          </w:p>
          <w:p>
            <w:pPr>
              <w:adjustRightInd w:val="0"/>
              <w:snapToGrid w:val="0"/>
              <w:spacing w:line="360" w:lineRule="auto"/>
              <w:ind w:firstLine="480" w:firstLineChars="200"/>
              <w:rPr>
                <w:color w:val="auto"/>
                <w:sz w:val="24"/>
                <w:szCs w:val="24"/>
                <w:highlight w:val="none"/>
              </w:rPr>
            </w:pPr>
            <w:r>
              <w:rPr>
                <w:color w:val="auto"/>
                <w:sz w:val="24"/>
                <w:szCs w:val="24"/>
                <w:highlight w:val="none"/>
              </w:rPr>
              <w:t>式中：Lw—中心位置位于透声面积（S）处的等效声源的倍频带声功率级，dB;</w:t>
            </w:r>
          </w:p>
          <w:p>
            <w:pPr>
              <w:pStyle w:val="10"/>
              <w:adjustRightInd w:val="0"/>
              <w:snapToGrid w:val="0"/>
              <w:spacing w:after="0" w:line="360" w:lineRule="auto"/>
              <w:ind w:left="0" w:leftChars="0"/>
              <w:rPr>
                <w:color w:val="auto"/>
                <w:sz w:val="24"/>
                <w:szCs w:val="24"/>
                <w:highlight w:val="none"/>
              </w:rPr>
            </w:pPr>
            <w:r>
              <w:rPr>
                <w:color w:val="auto"/>
                <w:sz w:val="24"/>
                <w:szCs w:val="24"/>
                <w:highlight w:val="none"/>
              </w:rPr>
              <w:t>L</w:t>
            </w:r>
            <w:r>
              <w:rPr>
                <w:color w:val="auto"/>
                <w:sz w:val="24"/>
                <w:szCs w:val="24"/>
                <w:highlight w:val="none"/>
                <w:vertAlign w:val="subscript"/>
              </w:rPr>
              <w:t>p2</w:t>
            </w:r>
            <w:r>
              <w:rPr>
                <w:color w:val="auto"/>
                <w:sz w:val="24"/>
                <w:szCs w:val="24"/>
                <w:highlight w:val="none"/>
              </w:rPr>
              <w:t>（T）—靠近围护结构处室外声源的声压级，dB</w:t>
            </w:r>
          </w:p>
          <w:p>
            <w:pPr>
              <w:adjustRightInd w:val="0"/>
              <w:snapToGrid w:val="0"/>
              <w:spacing w:line="360" w:lineRule="auto"/>
              <w:ind w:firstLine="480" w:firstLineChars="200"/>
              <w:rPr>
                <w:color w:val="auto"/>
                <w:sz w:val="24"/>
                <w:szCs w:val="24"/>
                <w:highlight w:val="none"/>
              </w:rPr>
            </w:pPr>
            <w:r>
              <w:rPr>
                <w:color w:val="auto"/>
                <w:sz w:val="24"/>
                <w:szCs w:val="24"/>
                <w:highlight w:val="none"/>
              </w:rPr>
              <w:t>S—透声面积，m</w:t>
            </w:r>
            <w:r>
              <w:rPr>
                <w:color w:val="auto"/>
                <w:sz w:val="24"/>
                <w:szCs w:val="24"/>
                <w:highlight w:val="none"/>
                <w:vertAlign w:val="superscript"/>
              </w:rPr>
              <w:t>2</w:t>
            </w:r>
            <w:r>
              <w:rPr>
                <w:color w:val="auto"/>
                <w:sz w:val="24"/>
                <w:szCs w:val="24"/>
                <w:highlight w:val="none"/>
              </w:rPr>
              <w:t>；</w:t>
            </w:r>
          </w:p>
          <w:p>
            <w:pPr>
              <w:adjustRightInd w:val="0"/>
              <w:snapToGrid w:val="0"/>
              <w:spacing w:line="360" w:lineRule="auto"/>
              <w:ind w:firstLine="480" w:firstLineChars="200"/>
              <w:rPr>
                <w:color w:val="auto"/>
                <w:sz w:val="24"/>
                <w:szCs w:val="24"/>
                <w:highlight w:val="none"/>
              </w:rPr>
            </w:pPr>
            <w:r>
              <w:rPr>
                <w:rFonts w:hint="eastAsia" w:cs="宋体"/>
                <w:color w:val="auto"/>
                <w:sz w:val="24"/>
                <w:szCs w:val="24"/>
                <w:highlight w:val="none"/>
              </w:rPr>
              <w:t>③</w:t>
            </w:r>
            <w:r>
              <w:rPr>
                <w:color w:val="auto"/>
                <w:sz w:val="24"/>
                <w:szCs w:val="24"/>
                <w:highlight w:val="none"/>
              </w:rPr>
              <w:t>总声级的计算</w:t>
            </w:r>
          </w:p>
          <w:p>
            <w:pPr>
              <w:adjustRightInd w:val="0"/>
              <w:snapToGrid w:val="0"/>
              <w:spacing w:line="360" w:lineRule="auto"/>
              <w:ind w:firstLine="480" w:firstLineChars="200"/>
              <w:rPr>
                <w:color w:val="auto"/>
                <w:sz w:val="24"/>
                <w:szCs w:val="24"/>
                <w:highlight w:val="none"/>
              </w:rPr>
            </w:pPr>
            <w:r>
              <w:rPr>
                <w:color w:val="auto"/>
                <w:sz w:val="24"/>
                <w:szCs w:val="24"/>
                <w:highlight w:val="none"/>
              </w:rPr>
              <w:t>设第i个室外声源在预测点产生的A声级为</w:t>
            </w:r>
            <w:r>
              <w:rPr>
                <w:i/>
                <w:iCs/>
                <w:color w:val="auto"/>
                <w:sz w:val="24"/>
                <w:szCs w:val="24"/>
                <w:highlight w:val="none"/>
              </w:rPr>
              <w:t>L</w:t>
            </w:r>
            <w:r>
              <w:rPr>
                <w:color w:val="auto"/>
                <w:sz w:val="24"/>
                <w:szCs w:val="24"/>
                <w:highlight w:val="none"/>
                <w:vertAlign w:val="subscript"/>
              </w:rPr>
              <w:t>Ai</w:t>
            </w:r>
            <w:r>
              <w:rPr>
                <w:color w:val="auto"/>
                <w:sz w:val="24"/>
                <w:szCs w:val="24"/>
                <w:highlight w:val="none"/>
              </w:rPr>
              <w:t>，在T时间内该声源工作时间为t</w:t>
            </w:r>
            <w:r>
              <w:rPr>
                <w:color w:val="auto"/>
                <w:sz w:val="24"/>
                <w:szCs w:val="24"/>
                <w:highlight w:val="none"/>
                <w:vertAlign w:val="subscript"/>
              </w:rPr>
              <w:t>i</w:t>
            </w:r>
            <w:r>
              <w:rPr>
                <w:color w:val="auto"/>
                <w:sz w:val="24"/>
                <w:szCs w:val="24"/>
                <w:highlight w:val="none"/>
              </w:rPr>
              <w:t>；第j个等效室外声源在预测点产生的A声级为L</w:t>
            </w:r>
            <w:r>
              <w:rPr>
                <w:color w:val="auto"/>
                <w:sz w:val="24"/>
                <w:szCs w:val="24"/>
                <w:highlight w:val="none"/>
                <w:vertAlign w:val="subscript"/>
              </w:rPr>
              <w:t>Aj</w:t>
            </w:r>
            <w:r>
              <w:rPr>
                <w:color w:val="auto"/>
                <w:sz w:val="24"/>
                <w:szCs w:val="24"/>
                <w:highlight w:val="none"/>
              </w:rPr>
              <w:t>，在T时间内该声源工作时间为t</w:t>
            </w:r>
            <w:r>
              <w:rPr>
                <w:color w:val="auto"/>
                <w:sz w:val="24"/>
                <w:szCs w:val="24"/>
                <w:highlight w:val="none"/>
                <w:vertAlign w:val="subscript"/>
              </w:rPr>
              <w:t>j</w:t>
            </w:r>
            <w:r>
              <w:rPr>
                <w:color w:val="auto"/>
                <w:sz w:val="24"/>
                <w:szCs w:val="24"/>
                <w:highlight w:val="none"/>
              </w:rPr>
              <w:t>，则预测点的总有效声级为：</w:t>
            </w:r>
          </w:p>
          <w:p>
            <w:pPr>
              <w:adjustRightInd w:val="0"/>
              <w:snapToGrid w:val="0"/>
              <w:spacing w:line="360" w:lineRule="auto"/>
              <w:jc w:val="center"/>
              <w:rPr>
                <w:color w:val="auto"/>
                <w:sz w:val="24"/>
                <w:szCs w:val="24"/>
                <w:highlight w:val="none"/>
              </w:rPr>
            </w:pPr>
            <w:r>
              <w:rPr>
                <w:color w:val="auto"/>
                <w:position w:val="-30"/>
                <w:sz w:val="24"/>
                <w:szCs w:val="24"/>
                <w:highlight w:val="none"/>
              </w:rPr>
              <w:object>
                <v:shape id="_x0000_i1025" o:spt="75" type="#_x0000_t75" style="height:34.65pt;width:217.3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adjustRightInd w:val="0"/>
              <w:snapToGrid w:val="0"/>
              <w:spacing w:line="360" w:lineRule="auto"/>
              <w:ind w:firstLine="480" w:firstLineChars="200"/>
              <w:rPr>
                <w:color w:val="auto"/>
                <w:sz w:val="24"/>
                <w:szCs w:val="24"/>
                <w:highlight w:val="none"/>
              </w:rPr>
            </w:pPr>
            <w:r>
              <w:rPr>
                <w:color w:val="auto"/>
                <w:sz w:val="24"/>
                <w:szCs w:val="24"/>
                <w:highlight w:val="none"/>
              </w:rPr>
              <w:t>式中：T—计算等效声级的时间，s；</w:t>
            </w:r>
          </w:p>
          <w:p>
            <w:pPr>
              <w:adjustRightInd w:val="0"/>
              <w:snapToGrid w:val="0"/>
              <w:spacing w:line="360" w:lineRule="auto"/>
              <w:ind w:firstLine="480" w:firstLineChars="200"/>
              <w:rPr>
                <w:color w:val="auto"/>
                <w:sz w:val="24"/>
                <w:szCs w:val="24"/>
                <w:highlight w:val="none"/>
              </w:rPr>
            </w:pPr>
            <w:r>
              <w:rPr>
                <w:color w:val="auto"/>
                <w:sz w:val="24"/>
                <w:szCs w:val="24"/>
                <w:highlight w:val="none"/>
              </w:rPr>
              <w:t>N—室外声源个数；</w:t>
            </w:r>
          </w:p>
          <w:p>
            <w:pPr>
              <w:adjustRightInd w:val="0"/>
              <w:snapToGrid w:val="0"/>
              <w:spacing w:line="360" w:lineRule="auto"/>
              <w:ind w:firstLine="480" w:firstLineChars="200"/>
              <w:rPr>
                <w:color w:val="auto"/>
                <w:sz w:val="24"/>
                <w:szCs w:val="24"/>
                <w:highlight w:val="none"/>
              </w:rPr>
            </w:pPr>
            <w:r>
              <w:rPr>
                <w:color w:val="auto"/>
                <w:sz w:val="24"/>
                <w:szCs w:val="24"/>
                <w:highlight w:val="none"/>
              </w:rPr>
              <w:t>M—等效室外声源个数；</w:t>
            </w:r>
          </w:p>
          <w:p>
            <w:pPr>
              <w:pStyle w:val="6"/>
              <w:adjustRightInd w:val="0"/>
              <w:spacing w:line="360" w:lineRule="auto"/>
              <w:rPr>
                <w:color w:val="auto"/>
                <w:sz w:val="24"/>
                <w:szCs w:val="24"/>
                <w:highlight w:val="none"/>
              </w:rPr>
            </w:pPr>
            <w:r>
              <w:rPr>
                <w:color w:val="auto"/>
                <w:sz w:val="24"/>
                <w:szCs w:val="24"/>
                <w:highlight w:val="none"/>
              </w:rPr>
              <w:t>Leqg—建设项目声源在预测点产生的噪声贡献值，dB；</w:t>
            </w:r>
          </w:p>
          <w:p>
            <w:pPr>
              <w:pStyle w:val="6"/>
              <w:adjustRightInd w:val="0"/>
              <w:spacing w:line="360" w:lineRule="auto"/>
              <w:rPr>
                <w:color w:val="auto"/>
                <w:sz w:val="24"/>
                <w:szCs w:val="24"/>
                <w:highlight w:val="none"/>
              </w:rPr>
            </w:pPr>
            <w:r>
              <w:rPr>
                <w:color w:val="auto"/>
                <w:sz w:val="24"/>
                <w:szCs w:val="24"/>
                <w:highlight w:val="none"/>
              </w:rPr>
              <w:t>根据噪声预测，达产后项目各厂界噪声预测结果见下表：</w:t>
            </w:r>
          </w:p>
          <w:p>
            <w:pPr>
              <w:snapToGrid w:val="0"/>
              <w:spacing w:line="360" w:lineRule="auto"/>
              <w:jc w:val="center"/>
              <w:rPr>
                <w:b/>
                <w:snapToGrid w:val="0"/>
                <w:color w:val="auto"/>
                <w:szCs w:val="21"/>
                <w:highlight w:val="none"/>
              </w:rPr>
            </w:pPr>
            <w:r>
              <w:rPr>
                <w:b/>
                <w:snapToGrid w:val="0"/>
                <w:color w:val="auto"/>
                <w:szCs w:val="21"/>
                <w:highlight w:val="none"/>
              </w:rPr>
              <w:t>表4-</w:t>
            </w:r>
            <w:r>
              <w:rPr>
                <w:rFonts w:hint="eastAsia"/>
                <w:b/>
                <w:snapToGrid w:val="0"/>
                <w:color w:val="auto"/>
                <w:szCs w:val="21"/>
                <w:highlight w:val="none"/>
                <w:lang w:val="en-US" w:eastAsia="zh-CN"/>
              </w:rPr>
              <w:t>8</w:t>
            </w:r>
            <w:r>
              <w:rPr>
                <w:b/>
                <w:snapToGrid w:val="0"/>
                <w:color w:val="auto"/>
                <w:szCs w:val="21"/>
                <w:highlight w:val="none"/>
              </w:rPr>
              <w:t xml:space="preserve">  各噪声源到预测点位的距离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98"/>
              <w:gridCol w:w="1617"/>
              <w:gridCol w:w="1996"/>
              <w:gridCol w:w="1145"/>
              <w:gridCol w:w="767"/>
              <w:gridCol w:w="1145"/>
              <w:gridCol w:w="114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vMerge w:val="restart"/>
                  <w:tcMar>
                    <w:left w:w="0" w:type="dxa"/>
                    <w:right w:w="0" w:type="dxa"/>
                  </w:tcMar>
                  <w:vAlign w:val="center"/>
                </w:tcPr>
                <w:p>
                  <w:pPr>
                    <w:jc w:val="center"/>
                    <w:rPr>
                      <w:b/>
                      <w:bCs/>
                      <w:color w:val="auto"/>
                      <w:sz w:val="21"/>
                      <w:szCs w:val="21"/>
                      <w:highlight w:val="none"/>
                    </w:rPr>
                  </w:pPr>
                  <w:r>
                    <w:rPr>
                      <w:b/>
                      <w:bCs/>
                      <w:color w:val="auto"/>
                      <w:sz w:val="21"/>
                      <w:szCs w:val="21"/>
                      <w:highlight w:val="none"/>
                    </w:rPr>
                    <w:t>序号</w:t>
                  </w:r>
                </w:p>
              </w:tc>
              <w:tc>
                <w:tcPr>
                  <w:tcW w:w="917" w:type="pct"/>
                  <w:vMerge w:val="restart"/>
                  <w:tcMar>
                    <w:left w:w="0" w:type="dxa"/>
                    <w:right w:w="0" w:type="dxa"/>
                  </w:tcMar>
                  <w:vAlign w:val="center"/>
                </w:tcPr>
                <w:p>
                  <w:pPr>
                    <w:jc w:val="center"/>
                    <w:rPr>
                      <w:b/>
                      <w:bCs/>
                      <w:color w:val="auto"/>
                      <w:sz w:val="21"/>
                      <w:szCs w:val="21"/>
                      <w:highlight w:val="none"/>
                    </w:rPr>
                  </w:pPr>
                  <w:r>
                    <w:rPr>
                      <w:b/>
                      <w:bCs/>
                      <w:color w:val="auto"/>
                      <w:sz w:val="21"/>
                      <w:szCs w:val="21"/>
                      <w:highlight w:val="none"/>
                    </w:rPr>
                    <w:t>车间或工段</w:t>
                  </w:r>
                </w:p>
              </w:tc>
              <w:tc>
                <w:tcPr>
                  <w:tcW w:w="1132" w:type="pct"/>
                  <w:vMerge w:val="restart"/>
                  <w:tcMar>
                    <w:left w:w="0" w:type="dxa"/>
                    <w:right w:w="0" w:type="dxa"/>
                  </w:tcMar>
                  <w:vAlign w:val="center"/>
                </w:tcPr>
                <w:p>
                  <w:pPr>
                    <w:jc w:val="center"/>
                    <w:rPr>
                      <w:b/>
                      <w:bCs/>
                      <w:color w:val="auto"/>
                      <w:sz w:val="21"/>
                      <w:szCs w:val="21"/>
                      <w:highlight w:val="none"/>
                    </w:rPr>
                  </w:pPr>
                  <w:r>
                    <w:rPr>
                      <w:b/>
                      <w:bCs/>
                      <w:color w:val="auto"/>
                      <w:sz w:val="21"/>
                      <w:szCs w:val="21"/>
                      <w:highlight w:val="none"/>
                    </w:rPr>
                    <w:t>噪声源</w:t>
                  </w:r>
                </w:p>
              </w:tc>
              <w:tc>
                <w:tcPr>
                  <w:tcW w:w="2384" w:type="pct"/>
                  <w:gridSpan w:val="4"/>
                  <w:tcMar>
                    <w:left w:w="0" w:type="dxa"/>
                    <w:right w:w="0" w:type="dxa"/>
                  </w:tcMar>
                  <w:vAlign w:val="center"/>
                </w:tcPr>
                <w:p>
                  <w:pPr>
                    <w:jc w:val="center"/>
                    <w:rPr>
                      <w:b/>
                      <w:bCs/>
                      <w:color w:val="auto"/>
                      <w:sz w:val="21"/>
                      <w:szCs w:val="21"/>
                      <w:highlight w:val="none"/>
                    </w:rPr>
                  </w:pPr>
                  <w:r>
                    <w:rPr>
                      <w:b/>
                      <w:bCs/>
                      <w:color w:val="auto"/>
                      <w:sz w:val="21"/>
                      <w:szCs w:val="21"/>
                      <w:highlight w:val="none"/>
                    </w:rPr>
                    <w:t>与各测点的距离(m)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vMerge w:val="continue"/>
                  <w:shd w:val="clear" w:color="auto" w:fill="BFBFBF"/>
                  <w:tcMar>
                    <w:left w:w="0" w:type="dxa"/>
                    <w:right w:w="0" w:type="dxa"/>
                  </w:tcMar>
                  <w:vAlign w:val="center"/>
                </w:tcPr>
                <w:p>
                  <w:pPr>
                    <w:jc w:val="center"/>
                    <w:rPr>
                      <w:b/>
                      <w:bCs/>
                      <w:color w:val="auto"/>
                      <w:sz w:val="21"/>
                      <w:szCs w:val="21"/>
                      <w:highlight w:val="none"/>
                    </w:rPr>
                  </w:pPr>
                </w:p>
              </w:tc>
              <w:tc>
                <w:tcPr>
                  <w:tcW w:w="917" w:type="pct"/>
                  <w:vMerge w:val="continue"/>
                  <w:shd w:val="clear" w:color="auto" w:fill="BFBFBF"/>
                  <w:tcMar>
                    <w:left w:w="0" w:type="dxa"/>
                    <w:right w:w="0" w:type="dxa"/>
                  </w:tcMar>
                  <w:vAlign w:val="center"/>
                </w:tcPr>
                <w:p>
                  <w:pPr>
                    <w:jc w:val="center"/>
                    <w:rPr>
                      <w:b/>
                      <w:bCs/>
                      <w:color w:val="auto"/>
                      <w:sz w:val="21"/>
                      <w:szCs w:val="21"/>
                      <w:highlight w:val="none"/>
                    </w:rPr>
                  </w:pPr>
                </w:p>
              </w:tc>
              <w:tc>
                <w:tcPr>
                  <w:tcW w:w="1132" w:type="pct"/>
                  <w:vMerge w:val="continue"/>
                  <w:shd w:val="clear" w:color="auto" w:fill="BFBFBF"/>
                  <w:tcMar>
                    <w:left w:w="0" w:type="dxa"/>
                    <w:right w:w="0" w:type="dxa"/>
                  </w:tcMar>
                  <w:vAlign w:val="center"/>
                </w:tcPr>
                <w:p>
                  <w:pPr>
                    <w:jc w:val="center"/>
                    <w:rPr>
                      <w:b/>
                      <w:bCs/>
                      <w:color w:val="auto"/>
                      <w:sz w:val="21"/>
                      <w:szCs w:val="21"/>
                      <w:highlight w:val="none"/>
                    </w:rPr>
                  </w:pPr>
                </w:p>
              </w:tc>
              <w:tc>
                <w:tcPr>
                  <w:tcW w:w="649" w:type="pct"/>
                  <w:tcMar>
                    <w:left w:w="0" w:type="dxa"/>
                    <w:right w:w="0" w:type="dxa"/>
                  </w:tcMar>
                  <w:vAlign w:val="center"/>
                </w:tcPr>
                <w:p>
                  <w:pPr>
                    <w:jc w:val="center"/>
                    <w:rPr>
                      <w:b/>
                      <w:bCs/>
                      <w:color w:val="auto"/>
                      <w:sz w:val="21"/>
                      <w:szCs w:val="21"/>
                      <w:highlight w:val="none"/>
                    </w:rPr>
                  </w:pPr>
                  <w:r>
                    <w:rPr>
                      <w:b/>
                      <w:bCs/>
                      <w:color w:val="auto"/>
                      <w:sz w:val="21"/>
                      <w:szCs w:val="21"/>
                      <w:highlight w:val="none"/>
                    </w:rPr>
                    <w:t>东</w:t>
                  </w:r>
                </w:p>
              </w:tc>
              <w:tc>
                <w:tcPr>
                  <w:tcW w:w="435" w:type="pct"/>
                  <w:tcMar>
                    <w:left w:w="0" w:type="dxa"/>
                    <w:right w:w="0" w:type="dxa"/>
                  </w:tcMar>
                  <w:vAlign w:val="center"/>
                </w:tcPr>
                <w:p>
                  <w:pPr>
                    <w:jc w:val="center"/>
                    <w:rPr>
                      <w:b/>
                      <w:bCs/>
                      <w:color w:val="auto"/>
                      <w:sz w:val="21"/>
                      <w:szCs w:val="21"/>
                      <w:highlight w:val="none"/>
                    </w:rPr>
                  </w:pPr>
                  <w:r>
                    <w:rPr>
                      <w:b/>
                      <w:bCs/>
                      <w:color w:val="auto"/>
                      <w:sz w:val="21"/>
                      <w:szCs w:val="21"/>
                      <w:highlight w:val="none"/>
                    </w:rPr>
                    <w:t>南</w:t>
                  </w:r>
                </w:p>
              </w:tc>
              <w:tc>
                <w:tcPr>
                  <w:tcW w:w="649" w:type="pct"/>
                  <w:tcMar>
                    <w:left w:w="0" w:type="dxa"/>
                    <w:right w:w="0" w:type="dxa"/>
                  </w:tcMar>
                  <w:vAlign w:val="center"/>
                </w:tcPr>
                <w:p>
                  <w:pPr>
                    <w:jc w:val="center"/>
                    <w:rPr>
                      <w:b/>
                      <w:bCs/>
                      <w:color w:val="auto"/>
                      <w:sz w:val="21"/>
                      <w:szCs w:val="21"/>
                      <w:highlight w:val="none"/>
                    </w:rPr>
                  </w:pPr>
                  <w:r>
                    <w:rPr>
                      <w:b/>
                      <w:bCs/>
                      <w:color w:val="auto"/>
                      <w:sz w:val="21"/>
                      <w:szCs w:val="21"/>
                      <w:highlight w:val="none"/>
                    </w:rPr>
                    <w:t>西</w:t>
                  </w:r>
                </w:p>
              </w:tc>
              <w:tc>
                <w:tcPr>
                  <w:tcW w:w="650" w:type="pct"/>
                  <w:tcMar>
                    <w:left w:w="0" w:type="dxa"/>
                    <w:right w:w="0" w:type="dxa"/>
                  </w:tcMar>
                  <w:vAlign w:val="center"/>
                </w:tcPr>
                <w:p>
                  <w:pPr>
                    <w:jc w:val="center"/>
                    <w:rPr>
                      <w:b/>
                      <w:bCs/>
                      <w:color w:val="auto"/>
                      <w:sz w:val="21"/>
                      <w:szCs w:val="21"/>
                      <w:highlight w:val="none"/>
                    </w:rPr>
                  </w:pPr>
                  <w:r>
                    <w:rPr>
                      <w:b/>
                      <w:bCs/>
                      <w:color w:val="auto"/>
                      <w:sz w:val="21"/>
                      <w:szCs w:val="21"/>
                      <w:highlight w:val="none"/>
                    </w:rPr>
                    <w:t>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tcMar>
                    <w:left w:w="0" w:type="dxa"/>
                    <w:right w:w="0" w:type="dxa"/>
                  </w:tcMar>
                  <w:vAlign w:val="center"/>
                </w:tcPr>
                <w:p>
                  <w:pPr>
                    <w:jc w:val="center"/>
                    <w:rPr>
                      <w:color w:val="auto"/>
                      <w:sz w:val="21"/>
                      <w:szCs w:val="21"/>
                      <w:highlight w:val="none"/>
                    </w:rPr>
                  </w:pPr>
                  <w:r>
                    <w:rPr>
                      <w:color w:val="auto"/>
                      <w:sz w:val="21"/>
                      <w:szCs w:val="21"/>
                      <w:highlight w:val="none"/>
                    </w:rPr>
                    <w:t>1</w:t>
                  </w:r>
                </w:p>
              </w:tc>
              <w:tc>
                <w:tcPr>
                  <w:tcW w:w="917" w:type="pct"/>
                  <w:tcMar>
                    <w:left w:w="0" w:type="dxa"/>
                    <w:right w:w="0" w:type="dxa"/>
                  </w:tcMar>
                  <w:vAlign w:val="center"/>
                </w:tcPr>
                <w:p>
                  <w:pPr>
                    <w:pStyle w:val="74"/>
                    <w:spacing w:line="240" w:lineRule="auto"/>
                    <w:ind w:firstLine="0" w:firstLineChars="0"/>
                    <w:jc w:val="center"/>
                    <w:rPr>
                      <w:rFonts w:hint="eastAsia" w:eastAsiaTheme="minorEastAsia"/>
                      <w:color w:val="auto"/>
                      <w:sz w:val="21"/>
                      <w:szCs w:val="21"/>
                      <w:highlight w:val="none"/>
                      <w:lang w:eastAsia="zh-CN"/>
                    </w:rPr>
                  </w:pPr>
                  <w:r>
                    <w:rPr>
                      <w:rFonts w:hint="default" w:ascii="Times New Roman" w:hAnsi="Times New Roman" w:cs="Times New Roman"/>
                      <w:color w:val="auto"/>
                      <w:sz w:val="21"/>
                      <w:szCs w:val="21"/>
                      <w:highlight w:val="none"/>
                      <w:lang w:eastAsia="zh-CN"/>
                    </w:rPr>
                    <w:t>吹膜机</w:t>
                  </w:r>
                </w:p>
              </w:tc>
              <w:tc>
                <w:tcPr>
                  <w:tcW w:w="1132" w:type="pct"/>
                  <w:vMerge w:val="restart"/>
                  <w:tcMar>
                    <w:left w:w="0" w:type="dxa"/>
                    <w:right w:w="0" w:type="dxa"/>
                  </w:tcMar>
                  <w:vAlign w:val="center"/>
                </w:tcPr>
                <w:p>
                  <w:pPr>
                    <w:pStyle w:val="2"/>
                    <w:jc w:val="center"/>
                    <w:rPr>
                      <w:rFonts w:ascii="Times New Roman" w:hAnsi="Times New Roman"/>
                      <w:color w:val="auto"/>
                      <w:sz w:val="21"/>
                      <w:szCs w:val="21"/>
                      <w:highlight w:val="none"/>
                    </w:rPr>
                  </w:pPr>
                  <w:r>
                    <w:rPr>
                      <w:rFonts w:ascii="Times New Roman" w:hAnsi="Times New Roman"/>
                      <w:color w:val="auto"/>
                      <w:sz w:val="21"/>
                      <w:szCs w:val="21"/>
                      <w:highlight w:val="none"/>
                    </w:rPr>
                    <w:t>设备噪声</w:t>
                  </w:r>
                </w:p>
              </w:tc>
              <w:tc>
                <w:tcPr>
                  <w:tcW w:w="649" w:type="pct"/>
                  <w:tcMar>
                    <w:left w:w="0" w:type="dxa"/>
                    <w:right w:w="0" w:type="dxa"/>
                  </w:tcMar>
                  <w:vAlign w:val="center"/>
                </w:tcPr>
                <w:p>
                  <w:pPr>
                    <w:jc w:val="center"/>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1</w:t>
                  </w:r>
                </w:p>
              </w:tc>
              <w:tc>
                <w:tcPr>
                  <w:tcW w:w="435" w:type="pct"/>
                  <w:tcMar>
                    <w:left w:w="0" w:type="dxa"/>
                    <w:right w:w="0" w:type="dxa"/>
                  </w:tcMar>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w:t>
                  </w:r>
                  <w:bookmarkStart w:id="3" w:name="_GoBack"/>
                  <w:bookmarkEnd w:id="3"/>
                </w:p>
              </w:tc>
              <w:tc>
                <w:tcPr>
                  <w:tcW w:w="649" w:type="pct"/>
                  <w:tcMar>
                    <w:left w:w="0" w:type="dxa"/>
                    <w:right w:w="0" w:type="dxa"/>
                  </w:tcMar>
                  <w:vAlign w:val="center"/>
                </w:tcPr>
                <w:p>
                  <w:pPr>
                    <w:jc w:val="center"/>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2</w:t>
                  </w:r>
                </w:p>
              </w:tc>
              <w:tc>
                <w:tcPr>
                  <w:tcW w:w="650" w:type="pct"/>
                  <w:tcMar>
                    <w:left w:w="0" w:type="dxa"/>
                    <w:right w:w="0" w:type="dxa"/>
                  </w:tcMar>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tcMar>
                    <w:left w:w="0" w:type="dxa"/>
                    <w:right w:w="0" w:type="dxa"/>
                  </w:tcMar>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917" w:type="pct"/>
                  <w:tcMar>
                    <w:left w:w="0" w:type="dxa"/>
                    <w:right w:w="0" w:type="dxa"/>
                  </w:tcMar>
                  <w:vAlign w:val="center"/>
                </w:tcPr>
                <w:p>
                  <w:pPr>
                    <w:pStyle w:val="74"/>
                    <w:spacing w:line="240" w:lineRule="auto"/>
                    <w:ind w:firstLine="0" w:firstLineChars="0"/>
                    <w:jc w:val="center"/>
                    <w:rPr>
                      <w:rFonts w:hint="eastAsia" w:eastAsiaTheme="minorEastAsia"/>
                      <w:color w:val="auto"/>
                      <w:sz w:val="21"/>
                      <w:szCs w:val="21"/>
                      <w:highlight w:val="none"/>
                      <w:lang w:eastAsia="zh-CN"/>
                    </w:rPr>
                  </w:pPr>
                  <w:r>
                    <w:rPr>
                      <w:rFonts w:hint="eastAsia" w:cs="Times New Roman"/>
                      <w:color w:val="auto"/>
                      <w:sz w:val="21"/>
                      <w:szCs w:val="21"/>
                      <w:highlight w:val="none"/>
                      <w:lang w:val="en-US" w:eastAsia="zh-CN"/>
                    </w:rPr>
                    <w:t>风冷造粒机</w:t>
                  </w:r>
                </w:p>
              </w:tc>
              <w:tc>
                <w:tcPr>
                  <w:tcW w:w="1132" w:type="pct"/>
                  <w:vMerge w:val="continue"/>
                  <w:tcMar>
                    <w:left w:w="0" w:type="dxa"/>
                    <w:right w:w="0" w:type="dxa"/>
                  </w:tcMar>
                  <w:vAlign w:val="center"/>
                </w:tcPr>
                <w:p>
                  <w:pPr>
                    <w:pStyle w:val="2"/>
                    <w:jc w:val="center"/>
                    <w:rPr>
                      <w:rFonts w:ascii="Times New Roman" w:hAnsi="Times New Roman"/>
                      <w:color w:val="auto"/>
                      <w:sz w:val="21"/>
                      <w:szCs w:val="21"/>
                      <w:highlight w:val="none"/>
                    </w:rPr>
                  </w:pPr>
                </w:p>
              </w:tc>
              <w:tc>
                <w:tcPr>
                  <w:tcW w:w="649" w:type="pct"/>
                  <w:tcMar>
                    <w:left w:w="0" w:type="dxa"/>
                    <w:right w:w="0" w:type="dxa"/>
                  </w:tcMar>
                  <w:vAlign w:val="center"/>
                </w:tcPr>
                <w:p>
                  <w:pPr>
                    <w:jc w:val="center"/>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4</w:t>
                  </w:r>
                </w:p>
              </w:tc>
              <w:tc>
                <w:tcPr>
                  <w:tcW w:w="435" w:type="pct"/>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649" w:type="pct"/>
                  <w:tcMar>
                    <w:left w:w="0" w:type="dxa"/>
                    <w:right w:w="0" w:type="dxa"/>
                  </w:tcMar>
                  <w:vAlign w:val="center"/>
                </w:tcPr>
                <w:p>
                  <w:pPr>
                    <w:jc w:val="center"/>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3</w:t>
                  </w:r>
                </w:p>
              </w:tc>
              <w:tc>
                <w:tcPr>
                  <w:tcW w:w="650" w:type="pct"/>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tcMar>
                    <w:left w:w="0" w:type="dxa"/>
                    <w:right w:w="0" w:type="dxa"/>
                  </w:tcMar>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917" w:type="pct"/>
                  <w:tcMar>
                    <w:left w:w="0" w:type="dxa"/>
                    <w:right w:w="0" w:type="dxa"/>
                  </w:tcMar>
                  <w:vAlign w:val="center"/>
                </w:tcPr>
                <w:p>
                  <w:pPr>
                    <w:pStyle w:val="74"/>
                    <w:spacing w:line="240" w:lineRule="auto"/>
                    <w:ind w:firstLine="0" w:firstLineChars="0"/>
                    <w:jc w:val="center"/>
                    <w:rPr>
                      <w:rFonts w:hint="eastAsia" w:eastAsiaTheme="minorEastAsia"/>
                      <w:color w:val="auto"/>
                      <w:sz w:val="21"/>
                      <w:szCs w:val="21"/>
                      <w:highlight w:val="none"/>
                      <w:lang w:eastAsia="zh-CN"/>
                    </w:rPr>
                  </w:pPr>
                  <w:r>
                    <w:rPr>
                      <w:rFonts w:hint="eastAsia" w:ascii="Times New Roman" w:hAnsi="Times New Roman" w:cs="Times New Roman"/>
                      <w:color w:val="auto"/>
                      <w:kern w:val="2"/>
                      <w:sz w:val="21"/>
                      <w:szCs w:val="21"/>
                      <w:highlight w:val="none"/>
                      <w:lang w:val="en-US" w:eastAsia="zh-CN" w:bidi="ar-SA"/>
                    </w:rPr>
                    <w:t>鼓风机</w:t>
                  </w:r>
                </w:p>
              </w:tc>
              <w:tc>
                <w:tcPr>
                  <w:tcW w:w="1132" w:type="pct"/>
                  <w:vMerge w:val="continue"/>
                  <w:tcMar>
                    <w:left w:w="0" w:type="dxa"/>
                    <w:right w:w="0" w:type="dxa"/>
                  </w:tcMar>
                  <w:vAlign w:val="center"/>
                </w:tcPr>
                <w:p>
                  <w:pPr>
                    <w:pStyle w:val="2"/>
                    <w:jc w:val="center"/>
                    <w:rPr>
                      <w:rFonts w:ascii="Times New Roman" w:hAnsi="Times New Roman"/>
                      <w:color w:val="auto"/>
                      <w:sz w:val="21"/>
                      <w:szCs w:val="21"/>
                      <w:highlight w:val="none"/>
                    </w:rPr>
                  </w:pPr>
                </w:p>
              </w:tc>
              <w:tc>
                <w:tcPr>
                  <w:tcW w:w="1145" w:type="dxa"/>
                  <w:tcMar>
                    <w:left w:w="0" w:type="dxa"/>
                    <w:right w:w="0" w:type="dxa"/>
                  </w:tcMar>
                  <w:vAlign w:val="center"/>
                </w:tcPr>
                <w:p>
                  <w:pPr>
                    <w:jc w:val="center"/>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6</w:t>
                  </w:r>
                </w:p>
              </w:tc>
              <w:tc>
                <w:tcPr>
                  <w:tcW w:w="767" w:type="dxa"/>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1145" w:type="dxa"/>
                  <w:tcMar>
                    <w:left w:w="0" w:type="dxa"/>
                    <w:right w:w="0" w:type="dxa"/>
                  </w:tcMar>
                  <w:vAlign w:val="center"/>
                </w:tcPr>
                <w:p>
                  <w:pPr>
                    <w:jc w:val="center"/>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8</w:t>
                  </w:r>
                </w:p>
              </w:tc>
              <w:tc>
                <w:tcPr>
                  <w:tcW w:w="1146" w:type="dxa"/>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566" w:type="pct"/>
                  <w:tcMar>
                    <w:left w:w="0" w:type="dxa"/>
                    <w:right w:w="0" w:type="dxa"/>
                  </w:tcMar>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917" w:type="pct"/>
                  <w:tcMar>
                    <w:left w:w="0" w:type="dxa"/>
                    <w:right w:w="0" w:type="dxa"/>
                  </w:tcMar>
                  <w:vAlign w:val="center"/>
                </w:tcPr>
                <w:p>
                  <w:pPr>
                    <w:pStyle w:val="74"/>
                    <w:spacing w:line="240" w:lineRule="auto"/>
                    <w:ind w:firstLine="0" w:firstLineChars="0"/>
                    <w:jc w:val="center"/>
                    <w:rPr>
                      <w:rFonts w:hint="eastAsia" w:eastAsiaTheme="minorEastAsia"/>
                      <w:color w:val="auto"/>
                      <w:sz w:val="21"/>
                      <w:szCs w:val="21"/>
                      <w:highlight w:val="none"/>
                      <w:lang w:eastAsia="zh-CN"/>
                    </w:rPr>
                  </w:pPr>
                  <w:r>
                    <w:rPr>
                      <w:rFonts w:hint="eastAsia" w:cs="Times New Roman"/>
                      <w:color w:val="auto"/>
                      <w:sz w:val="21"/>
                      <w:szCs w:val="21"/>
                      <w:highlight w:val="none"/>
                      <w:lang w:eastAsia="zh-CN"/>
                    </w:rPr>
                    <w:t>风机</w:t>
                  </w:r>
                </w:p>
              </w:tc>
              <w:tc>
                <w:tcPr>
                  <w:tcW w:w="1132" w:type="pct"/>
                  <w:vMerge w:val="continue"/>
                  <w:tcMar>
                    <w:left w:w="0" w:type="dxa"/>
                    <w:right w:w="0" w:type="dxa"/>
                  </w:tcMar>
                  <w:vAlign w:val="center"/>
                </w:tcPr>
                <w:p>
                  <w:pPr>
                    <w:pStyle w:val="2"/>
                    <w:jc w:val="center"/>
                    <w:rPr>
                      <w:rFonts w:ascii="Times New Roman" w:hAnsi="Times New Roman"/>
                      <w:color w:val="auto"/>
                      <w:sz w:val="21"/>
                      <w:szCs w:val="21"/>
                      <w:highlight w:val="none"/>
                    </w:rPr>
                  </w:pPr>
                </w:p>
              </w:tc>
              <w:tc>
                <w:tcPr>
                  <w:tcW w:w="649" w:type="pct"/>
                  <w:tcMar>
                    <w:left w:w="0" w:type="dxa"/>
                    <w:right w:w="0" w:type="dxa"/>
                  </w:tcMar>
                  <w:vAlign w:val="center"/>
                </w:tcPr>
                <w:p>
                  <w:pPr>
                    <w:jc w:val="center"/>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8</w:t>
                  </w:r>
                </w:p>
              </w:tc>
              <w:tc>
                <w:tcPr>
                  <w:tcW w:w="767" w:type="dxa"/>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1145" w:type="dxa"/>
                  <w:tcMar>
                    <w:left w:w="0" w:type="dxa"/>
                    <w:right w:w="0" w:type="dxa"/>
                  </w:tcMar>
                  <w:vAlign w:val="center"/>
                </w:tcPr>
                <w:p>
                  <w:pPr>
                    <w:jc w:val="center"/>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7</w:t>
                  </w:r>
                </w:p>
              </w:tc>
              <w:tc>
                <w:tcPr>
                  <w:tcW w:w="1146" w:type="dxa"/>
                  <w:tcMar>
                    <w:left w:w="0" w:type="dxa"/>
                    <w:right w:w="0" w:type="dxa"/>
                  </w:tcMar>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r>
          </w:tbl>
          <w:p>
            <w:pPr>
              <w:jc w:val="center"/>
              <w:rPr>
                <w:rStyle w:val="57"/>
                <w:rFonts w:hint="eastAsia" w:ascii="Times New Roman" w:hAnsi="Times New Roman" w:eastAsia="宋体" w:cs="Times New Roman"/>
                <w:b/>
                <w:bCs/>
                <w:color w:val="auto"/>
                <w:sz w:val="21"/>
                <w:szCs w:val="21"/>
                <w:highlight w:val="none"/>
                <w:lang w:eastAsia="zh-CN" w:bidi="ar"/>
              </w:rPr>
            </w:pPr>
            <w:r>
              <w:rPr>
                <w:rStyle w:val="57"/>
                <w:rFonts w:hint="default" w:ascii="Times New Roman" w:hAnsi="Times New Roman" w:eastAsia="宋体" w:cs="Times New Roman"/>
                <w:bCs/>
                <w:color w:val="auto"/>
                <w:sz w:val="21"/>
                <w:szCs w:val="21"/>
                <w:highlight w:val="none"/>
                <w:lang w:bidi="ar"/>
              </w:rPr>
              <w:t>表4-</w:t>
            </w:r>
            <w:r>
              <w:rPr>
                <w:rStyle w:val="57"/>
                <w:rFonts w:hint="default" w:ascii="Times New Roman" w:hAnsi="Times New Roman" w:cs="Times New Roman"/>
                <w:bCs/>
                <w:color w:val="auto"/>
                <w:sz w:val="21"/>
                <w:szCs w:val="21"/>
                <w:highlight w:val="none"/>
                <w:lang w:val="en-US" w:eastAsia="zh-CN" w:bidi="ar"/>
              </w:rPr>
              <w:t>9</w:t>
            </w:r>
            <w:r>
              <w:rPr>
                <w:rStyle w:val="57"/>
                <w:rFonts w:hint="default" w:ascii="Times New Roman" w:hAnsi="Times New Roman" w:eastAsia="宋体" w:cs="Times New Roman"/>
                <w:bCs/>
                <w:color w:val="auto"/>
                <w:sz w:val="21"/>
                <w:szCs w:val="21"/>
                <w:highlight w:val="none"/>
                <w:lang w:bidi="ar"/>
              </w:rPr>
              <w:t xml:space="preserve">  各厂</w:t>
            </w:r>
            <w:r>
              <w:rPr>
                <w:rStyle w:val="57"/>
                <w:rFonts w:hint="default" w:ascii="Times New Roman" w:hAnsi="Times New Roman" w:eastAsia="宋体" w:cs="Times New Roman"/>
                <w:b/>
                <w:bCs/>
                <w:color w:val="auto"/>
                <w:sz w:val="21"/>
                <w:szCs w:val="21"/>
                <w:highlight w:val="none"/>
                <w:lang w:bidi="ar"/>
              </w:rPr>
              <w:t>界噪声预测结果一览表</w:t>
            </w:r>
            <w:r>
              <w:rPr>
                <w:rFonts w:hint="eastAsia"/>
                <w:b/>
                <w:bCs/>
                <w:lang w:val="en-US" w:eastAsia="zh-CN"/>
              </w:rPr>
              <w:t xml:space="preserve">  </w:t>
            </w:r>
            <w:r>
              <w:rPr>
                <w:rFonts w:hint="eastAsia"/>
                <w:b/>
                <w:bCs/>
                <w:lang w:eastAsia="zh-CN"/>
              </w:rPr>
              <w:t>单位：dB（A）</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35"/>
              <w:gridCol w:w="1436"/>
              <w:gridCol w:w="1410"/>
              <w:gridCol w:w="157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7" w:type="pct"/>
                  <w:vAlign w:val="center"/>
                </w:tcPr>
                <w:p>
                  <w:pPr>
                    <w:pStyle w:val="74"/>
                    <w:spacing w:line="240" w:lineRule="auto"/>
                    <w:ind w:firstLine="0" w:firstLineChars="0"/>
                    <w:jc w:val="center"/>
                    <w:rPr>
                      <w:b/>
                      <w:bCs/>
                      <w:color w:val="auto"/>
                      <w:sz w:val="21"/>
                      <w:szCs w:val="21"/>
                      <w:highlight w:val="none"/>
                    </w:rPr>
                  </w:pPr>
                  <w:r>
                    <w:rPr>
                      <w:b/>
                      <w:bCs/>
                      <w:color w:val="auto"/>
                      <w:sz w:val="21"/>
                      <w:szCs w:val="21"/>
                      <w:highlight w:val="none"/>
                    </w:rPr>
                    <w:t>序号</w:t>
                  </w:r>
                </w:p>
              </w:tc>
              <w:tc>
                <w:tcPr>
                  <w:tcW w:w="701" w:type="pct"/>
                  <w:vAlign w:val="center"/>
                </w:tcPr>
                <w:p>
                  <w:pPr>
                    <w:pStyle w:val="74"/>
                    <w:spacing w:line="240" w:lineRule="auto"/>
                    <w:ind w:firstLine="0" w:firstLineChars="0"/>
                    <w:jc w:val="center"/>
                    <w:rPr>
                      <w:b/>
                      <w:bCs/>
                      <w:color w:val="auto"/>
                      <w:sz w:val="21"/>
                      <w:szCs w:val="21"/>
                      <w:highlight w:val="none"/>
                    </w:rPr>
                  </w:pPr>
                  <w:r>
                    <w:rPr>
                      <w:b/>
                      <w:bCs/>
                      <w:color w:val="auto"/>
                      <w:sz w:val="21"/>
                      <w:szCs w:val="21"/>
                      <w:highlight w:val="none"/>
                    </w:rPr>
                    <w:t>厂界</w:t>
                  </w:r>
                </w:p>
              </w:tc>
              <w:tc>
                <w:tcPr>
                  <w:tcW w:w="815" w:type="pct"/>
                  <w:vAlign w:val="center"/>
                </w:tcPr>
                <w:p>
                  <w:pPr>
                    <w:pStyle w:val="74"/>
                    <w:spacing w:line="240" w:lineRule="auto"/>
                    <w:ind w:firstLine="0" w:firstLineChars="0"/>
                    <w:jc w:val="center"/>
                    <w:rPr>
                      <w:b/>
                      <w:bCs/>
                      <w:color w:val="auto"/>
                      <w:sz w:val="21"/>
                      <w:szCs w:val="21"/>
                      <w:highlight w:val="none"/>
                    </w:rPr>
                  </w:pPr>
                  <w:r>
                    <w:rPr>
                      <w:rFonts w:hint="eastAsia"/>
                      <w:b/>
                      <w:bCs/>
                      <w:color w:val="auto"/>
                      <w:sz w:val="21"/>
                      <w:szCs w:val="21"/>
                      <w:highlight w:val="none"/>
                    </w:rPr>
                    <w:t>昼间贡献值</w:t>
                  </w:r>
                </w:p>
              </w:tc>
              <w:tc>
                <w:tcPr>
                  <w:tcW w:w="800" w:type="pct"/>
                  <w:vAlign w:val="center"/>
                </w:tcPr>
                <w:p>
                  <w:pPr>
                    <w:pStyle w:val="74"/>
                    <w:spacing w:line="240" w:lineRule="auto"/>
                    <w:ind w:firstLine="0" w:firstLineChars="0"/>
                    <w:jc w:val="center"/>
                    <w:rPr>
                      <w:b/>
                      <w:bCs/>
                      <w:color w:val="auto"/>
                      <w:sz w:val="21"/>
                      <w:szCs w:val="21"/>
                      <w:highlight w:val="none"/>
                    </w:rPr>
                  </w:pPr>
                  <w:r>
                    <w:rPr>
                      <w:rFonts w:hint="eastAsia"/>
                      <w:b/>
                      <w:bCs/>
                      <w:color w:val="auto"/>
                      <w:sz w:val="21"/>
                      <w:szCs w:val="21"/>
                      <w:highlight w:val="none"/>
                    </w:rPr>
                    <w:t>昼间标准值</w:t>
                  </w:r>
                </w:p>
              </w:tc>
              <w:tc>
                <w:tcPr>
                  <w:tcW w:w="892" w:type="pct"/>
                  <w:vAlign w:val="center"/>
                </w:tcPr>
                <w:p>
                  <w:pPr>
                    <w:pStyle w:val="74"/>
                    <w:spacing w:line="240" w:lineRule="auto"/>
                    <w:ind w:firstLine="0" w:firstLineChars="0"/>
                    <w:jc w:val="center"/>
                    <w:rPr>
                      <w:b/>
                      <w:bCs/>
                      <w:color w:val="auto"/>
                      <w:sz w:val="21"/>
                      <w:szCs w:val="21"/>
                      <w:highlight w:val="none"/>
                    </w:rPr>
                  </w:pPr>
                  <w:r>
                    <w:rPr>
                      <w:rFonts w:hint="eastAsia"/>
                      <w:b/>
                      <w:bCs/>
                      <w:color w:val="auto"/>
                      <w:sz w:val="21"/>
                      <w:szCs w:val="21"/>
                      <w:highlight w:val="none"/>
                    </w:rPr>
                    <w:t>夜间贡献值</w:t>
                  </w:r>
                </w:p>
              </w:tc>
              <w:tc>
                <w:tcPr>
                  <w:tcW w:w="1062" w:type="pct"/>
                  <w:vAlign w:val="center"/>
                </w:tcPr>
                <w:p>
                  <w:pPr>
                    <w:pStyle w:val="74"/>
                    <w:spacing w:line="240" w:lineRule="auto"/>
                    <w:ind w:firstLine="0" w:firstLineChars="0"/>
                    <w:jc w:val="center"/>
                    <w:rPr>
                      <w:b/>
                      <w:bCs/>
                      <w:color w:val="auto"/>
                      <w:sz w:val="21"/>
                      <w:szCs w:val="21"/>
                      <w:highlight w:val="none"/>
                    </w:rPr>
                  </w:pPr>
                  <w:r>
                    <w:rPr>
                      <w:rFonts w:hint="eastAsia"/>
                      <w:b/>
                      <w:bCs/>
                      <w:color w:val="auto"/>
                      <w:sz w:val="21"/>
                      <w:szCs w:val="21"/>
                      <w:highlight w:val="none"/>
                    </w:rPr>
                    <w:t>夜间标准值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pct"/>
                  <w:vAlign w:val="center"/>
                </w:tcPr>
                <w:p>
                  <w:pPr>
                    <w:pStyle w:val="74"/>
                    <w:spacing w:line="240" w:lineRule="auto"/>
                    <w:ind w:firstLine="0" w:firstLineChars="0"/>
                    <w:jc w:val="center"/>
                    <w:rPr>
                      <w:color w:val="auto"/>
                      <w:sz w:val="21"/>
                      <w:szCs w:val="21"/>
                      <w:highlight w:val="none"/>
                    </w:rPr>
                  </w:pPr>
                  <w:r>
                    <w:rPr>
                      <w:color w:val="auto"/>
                      <w:sz w:val="21"/>
                      <w:szCs w:val="21"/>
                      <w:highlight w:val="none"/>
                    </w:rPr>
                    <w:t>1</w:t>
                  </w:r>
                </w:p>
              </w:tc>
              <w:tc>
                <w:tcPr>
                  <w:tcW w:w="701" w:type="pct"/>
                  <w:vAlign w:val="center"/>
                </w:tcPr>
                <w:p>
                  <w:pPr>
                    <w:widowControl/>
                    <w:jc w:val="center"/>
                    <w:rPr>
                      <w:color w:val="auto"/>
                      <w:kern w:val="0"/>
                      <w:sz w:val="21"/>
                      <w:szCs w:val="21"/>
                      <w:highlight w:val="none"/>
                    </w:rPr>
                  </w:pPr>
                  <w:r>
                    <w:rPr>
                      <w:color w:val="auto"/>
                      <w:sz w:val="21"/>
                      <w:szCs w:val="21"/>
                      <w:highlight w:val="none"/>
                    </w:rPr>
                    <w:t>东厂界</w:t>
                  </w:r>
                </w:p>
              </w:tc>
              <w:tc>
                <w:tcPr>
                  <w:tcW w:w="1436" w:type="dxa"/>
                  <w:vAlign w:val="center"/>
                </w:tcPr>
                <w:p>
                  <w:pPr>
                    <w:widowControl/>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48.6</w:t>
                  </w:r>
                </w:p>
              </w:tc>
              <w:tc>
                <w:tcPr>
                  <w:tcW w:w="800" w:type="pct"/>
                  <w:vAlign w:val="center"/>
                </w:tcPr>
                <w:p>
                  <w:pPr>
                    <w:widowControl/>
                    <w:jc w:val="center"/>
                    <w:rPr>
                      <w:color w:val="auto"/>
                      <w:kern w:val="0"/>
                      <w:sz w:val="21"/>
                      <w:szCs w:val="21"/>
                      <w:highlight w:val="none"/>
                    </w:rPr>
                  </w:pPr>
                  <w:r>
                    <w:rPr>
                      <w:rFonts w:hint="eastAsia"/>
                      <w:color w:val="auto"/>
                      <w:kern w:val="0"/>
                      <w:sz w:val="21"/>
                      <w:szCs w:val="21"/>
                      <w:highlight w:val="none"/>
                    </w:rPr>
                    <w:t>60</w:t>
                  </w:r>
                </w:p>
              </w:tc>
              <w:tc>
                <w:tcPr>
                  <w:tcW w:w="1511" w:type="dxa"/>
                  <w:vAlign w:val="center"/>
                </w:tcPr>
                <w:p>
                  <w:pPr>
                    <w:widowControl/>
                    <w:jc w:val="center"/>
                    <w:rPr>
                      <w:rFonts w:hint="default"/>
                      <w:color w:val="auto"/>
                      <w:kern w:val="0"/>
                      <w:sz w:val="21"/>
                      <w:szCs w:val="21"/>
                      <w:highlight w:val="none"/>
                      <w:lang w:val="en-US"/>
                    </w:rPr>
                  </w:pPr>
                  <w:r>
                    <w:rPr>
                      <w:rFonts w:hint="eastAsia"/>
                      <w:color w:val="auto"/>
                      <w:kern w:val="0"/>
                      <w:sz w:val="21"/>
                      <w:szCs w:val="21"/>
                      <w:highlight w:val="none"/>
                      <w:lang w:val="en-US" w:eastAsia="zh-CN"/>
                    </w:rPr>
                    <w:t>48.6</w:t>
                  </w:r>
                </w:p>
              </w:tc>
              <w:tc>
                <w:tcPr>
                  <w:tcW w:w="1062" w:type="pct"/>
                  <w:vAlign w:val="center"/>
                </w:tcPr>
                <w:p>
                  <w:pPr>
                    <w:widowControl/>
                    <w:jc w:val="center"/>
                    <w:rPr>
                      <w:color w:val="auto"/>
                      <w:kern w:val="0"/>
                      <w:sz w:val="21"/>
                      <w:szCs w:val="21"/>
                      <w:highlight w:val="none"/>
                    </w:rPr>
                  </w:pPr>
                  <w:r>
                    <w:rPr>
                      <w:rFonts w:hint="eastAsia"/>
                      <w:color w:val="auto"/>
                      <w:kern w:val="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pct"/>
                  <w:vAlign w:val="center"/>
                </w:tcPr>
                <w:p>
                  <w:pPr>
                    <w:pStyle w:val="74"/>
                    <w:spacing w:line="240" w:lineRule="auto"/>
                    <w:ind w:firstLine="0" w:firstLineChars="0"/>
                    <w:jc w:val="center"/>
                    <w:rPr>
                      <w:color w:val="auto"/>
                      <w:sz w:val="21"/>
                      <w:szCs w:val="21"/>
                      <w:highlight w:val="none"/>
                    </w:rPr>
                  </w:pPr>
                  <w:r>
                    <w:rPr>
                      <w:color w:val="auto"/>
                      <w:sz w:val="21"/>
                      <w:szCs w:val="21"/>
                      <w:highlight w:val="none"/>
                    </w:rPr>
                    <w:t>2</w:t>
                  </w:r>
                </w:p>
              </w:tc>
              <w:tc>
                <w:tcPr>
                  <w:tcW w:w="701" w:type="pct"/>
                  <w:vAlign w:val="center"/>
                </w:tcPr>
                <w:p>
                  <w:pPr>
                    <w:widowControl/>
                    <w:jc w:val="center"/>
                    <w:rPr>
                      <w:color w:val="auto"/>
                      <w:sz w:val="21"/>
                      <w:szCs w:val="21"/>
                      <w:highlight w:val="none"/>
                    </w:rPr>
                  </w:pPr>
                  <w:r>
                    <w:rPr>
                      <w:color w:val="auto"/>
                      <w:sz w:val="21"/>
                      <w:szCs w:val="21"/>
                      <w:highlight w:val="none"/>
                    </w:rPr>
                    <w:t>南厂界</w:t>
                  </w:r>
                </w:p>
              </w:tc>
              <w:tc>
                <w:tcPr>
                  <w:tcW w:w="1436" w:type="dxa"/>
                  <w:vAlign w:val="center"/>
                </w:tcPr>
                <w:p>
                  <w:pPr>
                    <w:widowControl/>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48.6</w:t>
                  </w:r>
                </w:p>
              </w:tc>
              <w:tc>
                <w:tcPr>
                  <w:tcW w:w="800" w:type="pct"/>
                  <w:vAlign w:val="center"/>
                </w:tcPr>
                <w:p>
                  <w:pPr>
                    <w:widowControl/>
                    <w:jc w:val="center"/>
                    <w:rPr>
                      <w:color w:val="auto"/>
                      <w:kern w:val="0"/>
                      <w:sz w:val="21"/>
                      <w:szCs w:val="21"/>
                      <w:highlight w:val="none"/>
                    </w:rPr>
                  </w:pPr>
                  <w:r>
                    <w:rPr>
                      <w:rFonts w:hint="eastAsia"/>
                      <w:color w:val="auto"/>
                      <w:kern w:val="0"/>
                      <w:sz w:val="21"/>
                      <w:szCs w:val="21"/>
                      <w:highlight w:val="none"/>
                    </w:rPr>
                    <w:t>60</w:t>
                  </w:r>
                </w:p>
              </w:tc>
              <w:tc>
                <w:tcPr>
                  <w:tcW w:w="1511" w:type="dxa"/>
                  <w:vAlign w:val="center"/>
                </w:tcPr>
                <w:p>
                  <w:pPr>
                    <w:widowControl/>
                    <w:jc w:val="center"/>
                    <w:rPr>
                      <w:rFonts w:hint="default"/>
                      <w:color w:val="auto"/>
                      <w:kern w:val="0"/>
                      <w:sz w:val="21"/>
                      <w:szCs w:val="21"/>
                      <w:highlight w:val="none"/>
                      <w:lang w:val="en-US"/>
                    </w:rPr>
                  </w:pPr>
                  <w:r>
                    <w:rPr>
                      <w:rFonts w:hint="eastAsia"/>
                      <w:color w:val="auto"/>
                      <w:kern w:val="0"/>
                      <w:sz w:val="21"/>
                      <w:szCs w:val="21"/>
                      <w:highlight w:val="none"/>
                      <w:lang w:val="en-US" w:eastAsia="zh-CN"/>
                    </w:rPr>
                    <w:t>48.6</w:t>
                  </w:r>
                </w:p>
              </w:tc>
              <w:tc>
                <w:tcPr>
                  <w:tcW w:w="1062" w:type="pct"/>
                  <w:vAlign w:val="center"/>
                </w:tcPr>
                <w:p>
                  <w:pPr>
                    <w:widowControl/>
                    <w:jc w:val="center"/>
                    <w:rPr>
                      <w:color w:val="auto"/>
                      <w:kern w:val="0"/>
                      <w:sz w:val="21"/>
                      <w:szCs w:val="21"/>
                      <w:highlight w:val="none"/>
                    </w:rPr>
                  </w:pPr>
                  <w:r>
                    <w:rPr>
                      <w:rFonts w:hint="eastAsia"/>
                      <w:color w:val="auto"/>
                      <w:kern w:val="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7" w:type="pct"/>
                  <w:vAlign w:val="center"/>
                </w:tcPr>
                <w:p>
                  <w:pPr>
                    <w:pStyle w:val="74"/>
                    <w:spacing w:line="240" w:lineRule="auto"/>
                    <w:ind w:firstLine="0" w:firstLineChars="0"/>
                    <w:jc w:val="center"/>
                    <w:rPr>
                      <w:color w:val="auto"/>
                      <w:sz w:val="21"/>
                      <w:szCs w:val="21"/>
                      <w:highlight w:val="none"/>
                    </w:rPr>
                  </w:pPr>
                  <w:r>
                    <w:rPr>
                      <w:color w:val="auto"/>
                      <w:sz w:val="21"/>
                      <w:szCs w:val="21"/>
                      <w:highlight w:val="none"/>
                    </w:rPr>
                    <w:t>3</w:t>
                  </w:r>
                </w:p>
              </w:tc>
              <w:tc>
                <w:tcPr>
                  <w:tcW w:w="701" w:type="pct"/>
                  <w:vAlign w:val="center"/>
                </w:tcPr>
                <w:p>
                  <w:pPr>
                    <w:widowControl/>
                    <w:jc w:val="center"/>
                    <w:rPr>
                      <w:color w:val="auto"/>
                      <w:sz w:val="21"/>
                      <w:szCs w:val="21"/>
                      <w:highlight w:val="none"/>
                    </w:rPr>
                  </w:pPr>
                  <w:r>
                    <w:rPr>
                      <w:color w:val="auto"/>
                      <w:sz w:val="21"/>
                      <w:szCs w:val="21"/>
                      <w:highlight w:val="none"/>
                    </w:rPr>
                    <w:t>西厂界</w:t>
                  </w:r>
                </w:p>
              </w:tc>
              <w:tc>
                <w:tcPr>
                  <w:tcW w:w="1436" w:type="dxa"/>
                  <w:vAlign w:val="center"/>
                </w:tcPr>
                <w:p>
                  <w:pPr>
                    <w:widowControl/>
                    <w:jc w:val="center"/>
                    <w:rPr>
                      <w:rFonts w:hint="default"/>
                      <w:highlight w:val="none"/>
                      <w:lang w:val="en-US" w:eastAsia="zh-CN"/>
                    </w:rPr>
                  </w:pPr>
                  <w:r>
                    <w:rPr>
                      <w:rFonts w:hint="eastAsia"/>
                      <w:color w:val="auto"/>
                      <w:kern w:val="0"/>
                      <w:sz w:val="21"/>
                      <w:szCs w:val="21"/>
                      <w:highlight w:val="none"/>
                      <w:lang w:val="en-US" w:eastAsia="zh-CN"/>
                    </w:rPr>
                    <w:t>48.6</w:t>
                  </w:r>
                </w:p>
              </w:tc>
              <w:tc>
                <w:tcPr>
                  <w:tcW w:w="800" w:type="pct"/>
                  <w:vAlign w:val="center"/>
                </w:tcPr>
                <w:p>
                  <w:pPr>
                    <w:widowControl/>
                    <w:jc w:val="center"/>
                    <w:rPr>
                      <w:color w:val="auto"/>
                      <w:kern w:val="0"/>
                      <w:sz w:val="21"/>
                      <w:szCs w:val="21"/>
                      <w:highlight w:val="none"/>
                    </w:rPr>
                  </w:pPr>
                  <w:r>
                    <w:rPr>
                      <w:rFonts w:hint="eastAsia"/>
                      <w:color w:val="auto"/>
                      <w:kern w:val="0"/>
                      <w:sz w:val="21"/>
                      <w:szCs w:val="21"/>
                      <w:highlight w:val="none"/>
                    </w:rPr>
                    <w:t>60</w:t>
                  </w:r>
                </w:p>
              </w:tc>
              <w:tc>
                <w:tcPr>
                  <w:tcW w:w="1511" w:type="dxa"/>
                  <w:vAlign w:val="center"/>
                </w:tcPr>
                <w:p>
                  <w:pPr>
                    <w:widowControl/>
                    <w:jc w:val="center"/>
                    <w:rPr>
                      <w:rFonts w:hint="default"/>
                      <w:color w:val="auto"/>
                      <w:kern w:val="0"/>
                      <w:sz w:val="21"/>
                      <w:szCs w:val="21"/>
                      <w:highlight w:val="none"/>
                      <w:lang w:val="en-US"/>
                    </w:rPr>
                  </w:pPr>
                  <w:r>
                    <w:rPr>
                      <w:rFonts w:hint="eastAsia"/>
                      <w:color w:val="auto"/>
                      <w:kern w:val="0"/>
                      <w:sz w:val="21"/>
                      <w:szCs w:val="21"/>
                      <w:highlight w:val="none"/>
                      <w:lang w:val="en-US" w:eastAsia="zh-CN"/>
                    </w:rPr>
                    <w:t>48.6</w:t>
                  </w:r>
                </w:p>
              </w:tc>
              <w:tc>
                <w:tcPr>
                  <w:tcW w:w="1062" w:type="pct"/>
                  <w:vAlign w:val="center"/>
                </w:tcPr>
                <w:p>
                  <w:pPr>
                    <w:widowControl/>
                    <w:jc w:val="center"/>
                    <w:rPr>
                      <w:color w:val="auto"/>
                      <w:kern w:val="0"/>
                      <w:sz w:val="21"/>
                      <w:szCs w:val="21"/>
                      <w:highlight w:val="none"/>
                    </w:rPr>
                  </w:pPr>
                  <w:r>
                    <w:rPr>
                      <w:rFonts w:hint="eastAsia"/>
                      <w:color w:val="auto"/>
                      <w:kern w:val="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7" w:type="pct"/>
                  <w:vAlign w:val="center"/>
                </w:tcPr>
                <w:p>
                  <w:pPr>
                    <w:pStyle w:val="74"/>
                    <w:spacing w:line="240" w:lineRule="auto"/>
                    <w:ind w:firstLine="0" w:firstLineChars="0"/>
                    <w:jc w:val="center"/>
                    <w:rPr>
                      <w:color w:val="auto"/>
                      <w:sz w:val="21"/>
                      <w:szCs w:val="21"/>
                      <w:highlight w:val="none"/>
                    </w:rPr>
                  </w:pPr>
                  <w:r>
                    <w:rPr>
                      <w:color w:val="auto"/>
                      <w:sz w:val="21"/>
                      <w:szCs w:val="21"/>
                      <w:highlight w:val="none"/>
                    </w:rPr>
                    <w:t>4</w:t>
                  </w:r>
                </w:p>
              </w:tc>
              <w:tc>
                <w:tcPr>
                  <w:tcW w:w="701" w:type="pct"/>
                  <w:vAlign w:val="center"/>
                </w:tcPr>
                <w:p>
                  <w:pPr>
                    <w:widowControl/>
                    <w:jc w:val="center"/>
                    <w:rPr>
                      <w:color w:val="auto"/>
                      <w:sz w:val="21"/>
                      <w:szCs w:val="21"/>
                      <w:highlight w:val="none"/>
                    </w:rPr>
                  </w:pPr>
                  <w:r>
                    <w:rPr>
                      <w:color w:val="auto"/>
                      <w:sz w:val="21"/>
                      <w:szCs w:val="21"/>
                      <w:highlight w:val="none"/>
                    </w:rPr>
                    <w:t>北厂界</w:t>
                  </w:r>
                </w:p>
              </w:tc>
              <w:tc>
                <w:tcPr>
                  <w:tcW w:w="1436" w:type="dxa"/>
                  <w:vAlign w:val="center"/>
                </w:tcPr>
                <w:p>
                  <w:pPr>
                    <w:widowControl/>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48.6</w:t>
                  </w:r>
                </w:p>
              </w:tc>
              <w:tc>
                <w:tcPr>
                  <w:tcW w:w="800" w:type="pct"/>
                  <w:vAlign w:val="center"/>
                </w:tcPr>
                <w:p>
                  <w:pPr>
                    <w:widowControl/>
                    <w:jc w:val="center"/>
                    <w:rPr>
                      <w:color w:val="auto"/>
                      <w:kern w:val="0"/>
                      <w:sz w:val="21"/>
                      <w:szCs w:val="21"/>
                      <w:highlight w:val="none"/>
                    </w:rPr>
                  </w:pPr>
                  <w:r>
                    <w:rPr>
                      <w:rFonts w:hint="eastAsia"/>
                      <w:color w:val="auto"/>
                      <w:kern w:val="0"/>
                      <w:sz w:val="21"/>
                      <w:szCs w:val="21"/>
                      <w:highlight w:val="none"/>
                    </w:rPr>
                    <w:t>60</w:t>
                  </w:r>
                </w:p>
              </w:tc>
              <w:tc>
                <w:tcPr>
                  <w:tcW w:w="1511" w:type="dxa"/>
                  <w:vAlign w:val="center"/>
                </w:tcPr>
                <w:p>
                  <w:pPr>
                    <w:widowControl/>
                    <w:jc w:val="center"/>
                    <w:rPr>
                      <w:rFonts w:hint="default"/>
                      <w:color w:val="auto"/>
                      <w:kern w:val="0"/>
                      <w:sz w:val="21"/>
                      <w:szCs w:val="21"/>
                      <w:highlight w:val="none"/>
                      <w:lang w:val="en-US"/>
                    </w:rPr>
                  </w:pPr>
                  <w:r>
                    <w:rPr>
                      <w:rFonts w:hint="eastAsia"/>
                      <w:color w:val="auto"/>
                      <w:kern w:val="0"/>
                      <w:sz w:val="21"/>
                      <w:szCs w:val="21"/>
                      <w:highlight w:val="none"/>
                      <w:lang w:val="en-US" w:eastAsia="zh-CN"/>
                    </w:rPr>
                    <w:t>48.6</w:t>
                  </w:r>
                </w:p>
              </w:tc>
              <w:tc>
                <w:tcPr>
                  <w:tcW w:w="1062" w:type="pct"/>
                  <w:vAlign w:val="center"/>
                </w:tcPr>
                <w:p>
                  <w:pPr>
                    <w:widowControl/>
                    <w:jc w:val="center"/>
                    <w:rPr>
                      <w:color w:val="auto"/>
                      <w:kern w:val="0"/>
                      <w:sz w:val="21"/>
                      <w:szCs w:val="21"/>
                      <w:highlight w:val="none"/>
                    </w:rPr>
                  </w:pPr>
                  <w:r>
                    <w:rPr>
                      <w:rFonts w:hint="eastAsia"/>
                      <w:color w:val="auto"/>
                      <w:kern w:val="0"/>
                      <w:sz w:val="21"/>
                      <w:szCs w:val="21"/>
                      <w:highlight w:val="none"/>
                    </w:rPr>
                    <w:t>50</w:t>
                  </w:r>
                </w:p>
              </w:tc>
            </w:tr>
          </w:tbl>
          <w:p>
            <w:pPr>
              <w:pStyle w:val="6"/>
              <w:adjustRightInd w:val="0"/>
              <w:spacing w:line="360" w:lineRule="auto"/>
              <w:rPr>
                <w:color w:val="auto"/>
                <w:sz w:val="24"/>
                <w:szCs w:val="24"/>
                <w:highlight w:val="none"/>
              </w:rPr>
            </w:pPr>
            <w:r>
              <w:rPr>
                <w:color w:val="auto"/>
                <w:sz w:val="24"/>
                <w:szCs w:val="24"/>
                <w:highlight w:val="none"/>
              </w:rPr>
              <w:t>根据预测结果，本项目</w:t>
            </w:r>
            <w:r>
              <w:rPr>
                <w:rFonts w:hint="eastAsia"/>
                <w:color w:val="auto"/>
                <w:sz w:val="24"/>
                <w:szCs w:val="24"/>
                <w:highlight w:val="none"/>
              </w:rPr>
              <w:t>噪声</w:t>
            </w:r>
            <w:r>
              <w:rPr>
                <w:color w:val="auto"/>
                <w:sz w:val="24"/>
                <w:szCs w:val="24"/>
                <w:highlight w:val="none"/>
              </w:rPr>
              <w:t>经过隔声减震和距离衰减后，预计项目建成后厂界昼</w:t>
            </w:r>
            <w:r>
              <w:rPr>
                <w:rFonts w:hint="eastAsia"/>
                <w:color w:val="auto"/>
                <w:sz w:val="24"/>
                <w:szCs w:val="24"/>
                <w:highlight w:val="none"/>
              </w:rPr>
              <w:t>夜</w:t>
            </w:r>
            <w:r>
              <w:rPr>
                <w:color w:val="auto"/>
                <w:sz w:val="24"/>
                <w:szCs w:val="24"/>
                <w:highlight w:val="none"/>
              </w:rPr>
              <w:t>间噪声</w:t>
            </w:r>
            <w:r>
              <w:rPr>
                <w:rFonts w:hint="eastAsia"/>
                <w:color w:val="auto"/>
                <w:sz w:val="24"/>
                <w:szCs w:val="24"/>
                <w:highlight w:val="none"/>
              </w:rPr>
              <w:t>均</w:t>
            </w:r>
            <w:r>
              <w:rPr>
                <w:color w:val="auto"/>
                <w:sz w:val="24"/>
                <w:szCs w:val="24"/>
                <w:highlight w:val="none"/>
              </w:rPr>
              <w:t>能满足《工业企业厂界环境噪声排放标准》（GB12348-2008）</w:t>
            </w:r>
            <w:r>
              <w:rPr>
                <w:rFonts w:hint="eastAsia"/>
                <w:color w:val="auto"/>
                <w:sz w:val="24"/>
                <w:szCs w:val="24"/>
                <w:highlight w:val="none"/>
              </w:rPr>
              <w:t>2</w:t>
            </w:r>
            <w:r>
              <w:rPr>
                <w:color w:val="auto"/>
                <w:sz w:val="24"/>
                <w:szCs w:val="24"/>
                <w:highlight w:val="none"/>
              </w:rPr>
              <w:t>类标准</w:t>
            </w:r>
            <w:r>
              <w:rPr>
                <w:rFonts w:hint="eastAsia"/>
                <w:color w:val="auto"/>
                <w:sz w:val="24"/>
                <w:szCs w:val="24"/>
                <w:highlight w:val="none"/>
              </w:rPr>
              <w:t>（昼间6</w:t>
            </w:r>
            <w:r>
              <w:rPr>
                <w:color w:val="auto"/>
                <w:sz w:val="24"/>
                <w:szCs w:val="24"/>
                <w:highlight w:val="none"/>
              </w:rPr>
              <w:t>0</w:t>
            </w:r>
            <w:r>
              <w:rPr>
                <w:rFonts w:hint="eastAsia"/>
                <w:color w:val="auto"/>
                <w:sz w:val="24"/>
                <w:szCs w:val="24"/>
                <w:highlight w:val="none"/>
              </w:rPr>
              <w:t>dB（A）、夜间</w:t>
            </w:r>
            <w:r>
              <w:rPr>
                <w:color w:val="auto"/>
                <w:sz w:val="24"/>
                <w:szCs w:val="24"/>
                <w:highlight w:val="none"/>
              </w:rPr>
              <w:t>50</w:t>
            </w:r>
            <w:r>
              <w:rPr>
                <w:rFonts w:hint="eastAsia"/>
                <w:color w:val="auto"/>
                <w:sz w:val="24"/>
                <w:szCs w:val="24"/>
                <w:highlight w:val="none"/>
              </w:rPr>
              <w:t>dB（A）），项目厂界外5</w:t>
            </w:r>
            <w:r>
              <w:rPr>
                <w:rFonts w:hint="eastAsia"/>
                <w:color w:val="auto"/>
                <w:sz w:val="24"/>
                <w:szCs w:val="24"/>
                <w:highlight w:val="none"/>
                <w:lang w:val="zh-CN"/>
              </w:rPr>
              <w:t>0米范围内无声环境保护目标，</w:t>
            </w:r>
            <w:r>
              <w:rPr>
                <w:color w:val="auto"/>
                <w:sz w:val="24"/>
                <w:szCs w:val="24"/>
                <w:highlight w:val="none"/>
              </w:rPr>
              <w:t>本项目噪声对周围环境影响较小。</w:t>
            </w:r>
          </w:p>
          <w:p>
            <w:pPr>
              <w:pageBreakBefore/>
              <w:widowControl/>
              <w:spacing w:line="360" w:lineRule="auto"/>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3.3噪声污染源监测计划</w:t>
            </w:r>
          </w:p>
          <w:p>
            <w:pPr>
              <w:jc w:val="center"/>
              <w:rPr>
                <w:rStyle w:val="57"/>
                <w:rFonts w:hint="default" w:ascii="Times New Roman" w:hAnsi="Times New Roman" w:eastAsia="宋体" w:cs="Times New Roman"/>
                <w:bCs/>
                <w:color w:val="auto"/>
                <w:sz w:val="21"/>
                <w:szCs w:val="21"/>
                <w:highlight w:val="none"/>
                <w:lang w:bidi="ar"/>
              </w:rPr>
            </w:pPr>
            <w:r>
              <w:rPr>
                <w:rStyle w:val="57"/>
                <w:rFonts w:hint="default" w:ascii="Times New Roman" w:hAnsi="Times New Roman" w:eastAsia="宋体" w:cs="Times New Roman"/>
                <w:bCs/>
                <w:color w:val="auto"/>
                <w:sz w:val="21"/>
                <w:szCs w:val="21"/>
                <w:highlight w:val="none"/>
                <w:lang w:bidi="ar"/>
              </w:rPr>
              <w:t>表4-</w:t>
            </w:r>
            <w:r>
              <w:rPr>
                <w:rStyle w:val="57"/>
                <w:rFonts w:hint="default" w:ascii="Times New Roman" w:hAnsi="Times New Roman" w:cs="Times New Roman"/>
                <w:bCs/>
                <w:color w:val="auto"/>
                <w:sz w:val="21"/>
                <w:szCs w:val="21"/>
                <w:highlight w:val="none"/>
                <w:lang w:val="en-US" w:eastAsia="zh-CN" w:bidi="ar"/>
              </w:rPr>
              <w:t>10</w:t>
            </w:r>
            <w:r>
              <w:rPr>
                <w:rStyle w:val="57"/>
                <w:rFonts w:hint="default" w:ascii="Times New Roman" w:hAnsi="Times New Roman" w:eastAsia="宋体" w:cs="Times New Roman"/>
                <w:bCs/>
                <w:color w:val="auto"/>
                <w:sz w:val="21"/>
                <w:szCs w:val="21"/>
                <w:highlight w:val="none"/>
                <w:lang w:bidi="ar"/>
              </w:rPr>
              <w:t xml:space="preserve">  监测计划一览表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279"/>
              <w:gridCol w:w="1723"/>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26" w:type="pct"/>
                  <w:noWrap w:val="0"/>
                  <w:vAlign w:val="center"/>
                </w:tcPr>
                <w:p>
                  <w:pPr>
                    <w:pStyle w:val="74"/>
                    <w:spacing w:line="24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环境要素</w:t>
                  </w:r>
                </w:p>
              </w:tc>
              <w:tc>
                <w:tcPr>
                  <w:tcW w:w="1292" w:type="pct"/>
                  <w:noWrap w:val="0"/>
                  <w:vAlign w:val="center"/>
                </w:tcPr>
                <w:p>
                  <w:pPr>
                    <w:pStyle w:val="74"/>
                    <w:spacing w:line="24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监测位置</w:t>
                  </w:r>
                </w:p>
              </w:tc>
              <w:tc>
                <w:tcPr>
                  <w:tcW w:w="977" w:type="pct"/>
                  <w:noWrap w:val="0"/>
                  <w:vAlign w:val="center"/>
                </w:tcPr>
                <w:p>
                  <w:pPr>
                    <w:pStyle w:val="74"/>
                    <w:spacing w:line="24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监测项目</w:t>
                  </w:r>
                </w:p>
              </w:tc>
              <w:tc>
                <w:tcPr>
                  <w:tcW w:w="1903" w:type="pct"/>
                  <w:noWrap w:val="0"/>
                  <w:vAlign w:val="center"/>
                </w:tcPr>
                <w:p>
                  <w:pPr>
                    <w:pStyle w:val="74"/>
                    <w:spacing w:line="24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292"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w:t>
                  </w:r>
                </w:p>
              </w:tc>
              <w:tc>
                <w:tcPr>
                  <w:tcW w:w="977"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Leq（A）</w:t>
                  </w:r>
                </w:p>
              </w:tc>
              <w:tc>
                <w:tcPr>
                  <w:tcW w:w="1903" w:type="pct"/>
                  <w:noWrap w:val="0"/>
                  <w:vAlign w:val="center"/>
                </w:tcPr>
                <w:p>
                  <w:pPr>
                    <w:pStyle w:val="74"/>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每季度监测1次，每次监测1天，昼间、</w:t>
                  </w:r>
                  <w:r>
                    <w:rPr>
                      <w:rFonts w:hint="default" w:ascii="Times New Roman" w:hAnsi="Times New Roman" w:cs="Times New Roman"/>
                      <w:color w:val="auto"/>
                      <w:sz w:val="21"/>
                      <w:szCs w:val="21"/>
                      <w:highlight w:val="none"/>
                      <w:lang w:eastAsia="zh-CN"/>
                    </w:rPr>
                    <w:t>夜间</w:t>
                  </w:r>
                  <w:r>
                    <w:rPr>
                      <w:rFonts w:hint="default" w:ascii="Times New Roman" w:hAnsi="Times New Roman" w:cs="Times New Roman"/>
                      <w:color w:val="auto"/>
                      <w:sz w:val="21"/>
                      <w:szCs w:val="21"/>
                      <w:highlight w:val="none"/>
                    </w:rPr>
                    <w:t>各采样1次</w:t>
                  </w:r>
                </w:p>
              </w:tc>
            </w:tr>
          </w:tbl>
          <w:p>
            <w:pPr>
              <w:pStyle w:val="6"/>
              <w:adjustRightInd w:val="0"/>
              <w:spacing w:line="360" w:lineRule="auto"/>
              <w:ind w:firstLine="0" w:firstLineChars="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 固废</w:t>
            </w:r>
          </w:p>
          <w:p>
            <w:pPr>
              <w:pStyle w:val="6"/>
              <w:adjustRightInd w:val="0"/>
              <w:spacing w:line="360" w:lineRule="auto"/>
              <w:ind w:firstLine="0" w:firstLineChars="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4.1 固废产生及处置情况</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本项目产生的固废主要为</w:t>
            </w:r>
            <w:r>
              <w:rPr>
                <w:rFonts w:hint="default" w:ascii="Times New Roman" w:hAnsi="Times New Roman" w:cs="Times New Roman"/>
                <w:color w:val="auto"/>
                <w:sz w:val="24"/>
                <w:szCs w:val="24"/>
                <w:highlight w:val="none"/>
                <w:lang w:eastAsia="zh-CN"/>
              </w:rPr>
              <w:t>生活垃圾</w:t>
            </w:r>
            <w:r>
              <w:rPr>
                <w:rFonts w:hint="eastAsia" w:cs="Times New Roman"/>
                <w:color w:val="auto"/>
                <w:sz w:val="24"/>
                <w:szCs w:val="24"/>
                <w:highlight w:val="none"/>
                <w:lang w:eastAsia="zh-CN"/>
              </w:rPr>
              <w:t>、废包装袋、废边角料及不合格品、废活性炭</w:t>
            </w:r>
            <w:r>
              <w:rPr>
                <w:rFonts w:hint="default" w:ascii="Times New Roman" w:hAnsi="Times New Roman" w:cs="Times New Roman"/>
                <w:color w:val="auto"/>
                <w:sz w:val="24"/>
                <w:szCs w:val="24"/>
                <w:highlight w:val="none"/>
              </w:rPr>
              <w:t>。</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（1）一般工业固废</w:t>
            </w:r>
          </w:p>
          <w:p>
            <w:pPr>
              <w:pStyle w:val="6"/>
              <w:adjustRightInd w:val="0"/>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eastAsia="zh-CN"/>
              </w:rPr>
              <w:t>生活垃圾：</w:t>
            </w:r>
            <w:r>
              <w:rPr>
                <w:rFonts w:hint="default" w:ascii="Times New Roman" w:hAnsi="Times New Roman" w:cs="Times New Roman"/>
                <w:color w:val="auto"/>
                <w:sz w:val="24"/>
                <w:szCs w:val="24"/>
                <w:highlight w:val="none"/>
              </w:rPr>
              <w:t>本项目职工人数共</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人，生活垃圾产生量按每人每天0.5kg计，工作时间为300天，生活垃圾产生总量为</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t/a，由环卫部门定期清运。</w:t>
            </w:r>
          </w:p>
          <w:p>
            <w:pPr>
              <w:pStyle w:val="6"/>
              <w:adjustRightInd w:val="0"/>
              <w:spacing w:line="360"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②</w:t>
            </w:r>
            <w:r>
              <w:rPr>
                <w:rFonts w:hint="eastAsia" w:cs="Times New Roman"/>
                <w:color w:val="auto"/>
                <w:sz w:val="24"/>
                <w:szCs w:val="24"/>
                <w:highlight w:val="none"/>
                <w:lang w:eastAsia="zh-CN"/>
              </w:rPr>
              <w:t>废包装袋</w:t>
            </w:r>
            <w:r>
              <w:rPr>
                <w:rFonts w:hint="default" w:ascii="Times New Roman" w:hAnsi="Times New Roman" w:cs="Times New Roman"/>
                <w:color w:val="auto"/>
                <w:sz w:val="24"/>
                <w:szCs w:val="24"/>
                <w:highlight w:val="none"/>
                <w:lang w:val="en-US" w:eastAsia="zh-CN"/>
              </w:rPr>
              <w:t>：</w:t>
            </w:r>
            <w:r>
              <w:rPr>
                <w:rFonts w:hint="eastAsia"/>
                <w:sz w:val="24"/>
                <w:szCs w:val="24"/>
                <w:lang w:eastAsia="zh-CN"/>
              </w:rPr>
              <w:t>聚乙烯、聚丙烯等原辅材料的包装袋，</w:t>
            </w:r>
            <w:r>
              <w:rPr>
                <w:rFonts w:hint="default" w:ascii="Times New Roman" w:hAnsi="Times New Roman" w:cs="Times New Roman"/>
                <w:color w:val="auto"/>
                <w:sz w:val="24"/>
                <w:szCs w:val="24"/>
                <w:highlight w:val="none"/>
                <w:lang w:val="en-US" w:eastAsia="zh-CN"/>
              </w:rPr>
              <w:t>年产生量为</w:t>
            </w:r>
            <w:r>
              <w:rPr>
                <w:rFonts w:hint="eastAsia" w:cs="Times New Roman"/>
                <w:color w:val="auto"/>
                <w:sz w:val="24"/>
                <w:szCs w:val="24"/>
                <w:highlight w:val="none"/>
                <w:lang w:val="en-US" w:eastAsia="zh-CN"/>
              </w:rPr>
              <w:t>0.1</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sz w:val="24"/>
                <w:szCs w:val="24"/>
                <w:highlight w:val="none"/>
                <w:lang w:val="en-US" w:eastAsia="zh-CN"/>
              </w:rPr>
              <w:t>，集中收集</w:t>
            </w:r>
            <w:r>
              <w:rPr>
                <w:rFonts w:hint="eastAsia" w:cs="Times New Roman"/>
                <w:color w:val="auto"/>
                <w:sz w:val="24"/>
                <w:szCs w:val="24"/>
                <w:highlight w:val="none"/>
                <w:lang w:val="en-US" w:eastAsia="zh-CN"/>
              </w:rPr>
              <w:t>后外售</w:t>
            </w:r>
            <w:r>
              <w:rPr>
                <w:rFonts w:hint="default" w:ascii="Times New Roman" w:hAnsi="Times New Roman" w:cs="Times New Roman"/>
                <w:color w:val="auto"/>
                <w:sz w:val="24"/>
                <w:szCs w:val="24"/>
                <w:highlight w:val="none"/>
                <w:lang w:val="en-US" w:eastAsia="zh-CN"/>
              </w:rPr>
              <w:t>。</w:t>
            </w:r>
          </w:p>
          <w:p>
            <w:pPr>
              <w:pStyle w:val="6"/>
              <w:adjustRightInd w:val="0"/>
              <w:spacing w:line="360" w:lineRule="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cs="Times New Roman"/>
                <w:color w:val="auto"/>
                <w:sz w:val="24"/>
                <w:szCs w:val="24"/>
                <w:highlight w:val="none"/>
                <w:lang w:eastAsia="zh-CN"/>
              </w:rPr>
              <w:t>废边角料及不合格品</w:t>
            </w:r>
            <w:r>
              <w:rPr>
                <w:rFonts w:hint="eastAsia" w:eastAsia="宋体" w:cs="Times New Roman"/>
                <w:color w:val="auto"/>
                <w:sz w:val="24"/>
                <w:szCs w:val="24"/>
                <w:highlight w:val="none"/>
                <w:lang w:eastAsia="zh-CN"/>
              </w:rPr>
              <w:t>：由</w:t>
            </w:r>
            <w:r>
              <w:rPr>
                <w:rFonts w:hint="eastAsia" w:cs="Times New Roman"/>
                <w:color w:val="auto"/>
                <w:sz w:val="24"/>
                <w:szCs w:val="24"/>
                <w:highlight w:val="none"/>
                <w:lang w:eastAsia="zh-CN"/>
              </w:rPr>
              <w:t>成型工序</w:t>
            </w:r>
            <w:r>
              <w:rPr>
                <w:rFonts w:hint="eastAsia" w:eastAsia="宋体" w:cs="Times New Roman"/>
                <w:color w:val="auto"/>
                <w:sz w:val="24"/>
                <w:szCs w:val="24"/>
                <w:highlight w:val="none"/>
                <w:lang w:eastAsia="zh-CN"/>
              </w:rPr>
              <w:t>产生</w:t>
            </w:r>
            <w:r>
              <w:rPr>
                <w:rFonts w:hint="eastAsia" w:cs="Times New Roman"/>
                <w:color w:val="auto"/>
                <w:sz w:val="24"/>
                <w:szCs w:val="24"/>
                <w:highlight w:val="none"/>
                <w:lang w:eastAsia="zh-CN"/>
              </w:rPr>
              <w:t>，</w:t>
            </w:r>
            <w:r>
              <w:rPr>
                <w:rFonts w:hint="eastAsia" w:eastAsia="宋体" w:cs="Times New Roman"/>
                <w:color w:val="auto"/>
                <w:sz w:val="24"/>
                <w:szCs w:val="24"/>
                <w:highlight w:val="none"/>
                <w:lang w:eastAsia="zh-CN"/>
              </w:rPr>
              <w:t>产生量约占原材料</w:t>
            </w:r>
            <w:r>
              <w:rPr>
                <w:rFonts w:hint="eastAsia" w:eastAsia="宋体" w:cs="Times New Roman"/>
                <w:color w:val="auto"/>
                <w:sz w:val="24"/>
                <w:szCs w:val="24"/>
                <w:highlight w:val="none"/>
                <w:lang w:val="en-US" w:eastAsia="zh-CN"/>
              </w:rPr>
              <w:t>5%，为150t/a，收集后</w:t>
            </w:r>
            <w:r>
              <w:rPr>
                <w:rFonts w:hint="eastAsia" w:cs="Times New Roman"/>
                <w:color w:val="auto"/>
                <w:sz w:val="24"/>
                <w:szCs w:val="24"/>
                <w:highlight w:val="none"/>
                <w:lang w:val="en-US" w:eastAsia="zh-CN"/>
              </w:rPr>
              <w:t>投入造粒机，</w:t>
            </w:r>
            <w:r>
              <w:rPr>
                <w:rFonts w:hint="eastAsia" w:eastAsia="宋体" w:cs="Times New Roman"/>
                <w:color w:val="auto"/>
                <w:sz w:val="24"/>
                <w:szCs w:val="24"/>
                <w:highlight w:val="none"/>
                <w:lang w:val="en-US" w:eastAsia="zh-CN"/>
              </w:rPr>
              <w:t>回用于生产。</w:t>
            </w:r>
          </w:p>
          <w:p>
            <w:pPr>
              <w:pStyle w:val="6"/>
              <w:adjustRightInd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（2）危险废物</w:t>
            </w:r>
          </w:p>
          <w:p>
            <w:pPr>
              <w:spacing w:line="360" w:lineRule="auto"/>
              <w:ind w:firstLine="480" w:firstLineChars="200"/>
              <w:rPr>
                <w:color w:val="auto"/>
                <w:highlight w:val="none"/>
              </w:rPr>
            </w:pPr>
            <w:r>
              <w:rPr>
                <w:rFonts w:hint="default" w:ascii="Times New Roman" w:hAnsi="Times New Roman" w:cs="Times New Roman"/>
                <w:color w:val="auto"/>
                <w:sz w:val="24"/>
                <w:szCs w:val="24"/>
                <w:highlight w:val="none"/>
              </w:rPr>
              <w:t>①</w:t>
            </w:r>
            <w:r>
              <w:rPr>
                <w:rFonts w:hint="eastAsia"/>
                <w:color w:val="auto"/>
                <w:sz w:val="24"/>
                <w:szCs w:val="24"/>
                <w:highlight w:val="none"/>
              </w:rPr>
              <w:t>废活性炭：本项目使用</w:t>
            </w:r>
            <w:r>
              <w:rPr>
                <w:rFonts w:hint="eastAsia"/>
                <w:color w:val="auto"/>
                <w:sz w:val="24"/>
                <w:szCs w:val="24"/>
                <w:highlight w:val="none"/>
                <w:lang w:eastAsia="zh-CN"/>
              </w:rPr>
              <w:t>二级</w:t>
            </w:r>
            <w:r>
              <w:rPr>
                <w:rFonts w:hint="eastAsia"/>
                <w:color w:val="auto"/>
                <w:sz w:val="24"/>
                <w:szCs w:val="24"/>
                <w:highlight w:val="none"/>
              </w:rPr>
              <w:t>活性炭吸附装置处理有机废气，</w:t>
            </w:r>
            <w:r>
              <w:rPr>
                <w:color w:val="auto"/>
                <w:sz w:val="24"/>
                <w:szCs w:val="24"/>
                <w:highlight w:val="none"/>
              </w:rPr>
              <w:t>本项目活性炭吸附有机废气的量</w:t>
            </w:r>
            <w:r>
              <w:rPr>
                <w:rFonts w:hint="eastAsia"/>
                <w:color w:val="auto"/>
                <w:sz w:val="24"/>
                <w:szCs w:val="24"/>
                <w:highlight w:val="none"/>
              </w:rPr>
              <w:t>约</w:t>
            </w:r>
            <w:r>
              <w:rPr>
                <w:color w:val="auto"/>
                <w:sz w:val="24"/>
                <w:szCs w:val="24"/>
                <w:highlight w:val="none"/>
              </w:rPr>
              <w:t>为</w:t>
            </w:r>
            <w:r>
              <w:rPr>
                <w:rFonts w:hint="eastAsia"/>
                <w:color w:val="auto"/>
                <w:sz w:val="24"/>
                <w:szCs w:val="24"/>
                <w:highlight w:val="none"/>
                <w:lang w:val="en-US" w:eastAsia="zh-CN"/>
              </w:rPr>
              <w:t>0.89</w:t>
            </w:r>
            <w:r>
              <w:rPr>
                <w:color w:val="auto"/>
                <w:sz w:val="24"/>
                <w:szCs w:val="24"/>
                <w:highlight w:val="none"/>
              </w:rPr>
              <w:t>t/a，根据废气的饱和蒸汽压、所用活性炭的比表面积等因素，吸附系数取值范围为0.20kg/kg～0.3kg/kg，本项目</w:t>
            </w:r>
            <w:r>
              <w:rPr>
                <w:rFonts w:hint="eastAsia"/>
                <w:color w:val="auto"/>
                <w:sz w:val="24"/>
                <w:szCs w:val="24"/>
                <w:highlight w:val="none"/>
              </w:rPr>
              <w:t>保守估计</w:t>
            </w:r>
            <w:r>
              <w:rPr>
                <w:color w:val="auto"/>
                <w:sz w:val="24"/>
                <w:szCs w:val="24"/>
                <w:highlight w:val="none"/>
              </w:rPr>
              <w:t>取系数0.2kg/kg，</w:t>
            </w:r>
            <w:r>
              <w:rPr>
                <w:rFonts w:hint="eastAsia"/>
                <w:color w:val="auto"/>
                <w:sz w:val="24"/>
                <w:szCs w:val="24"/>
                <w:highlight w:val="none"/>
              </w:rPr>
              <w:t>则</w:t>
            </w:r>
            <w:r>
              <w:rPr>
                <w:color w:val="auto"/>
                <w:sz w:val="24"/>
                <w:szCs w:val="24"/>
                <w:highlight w:val="none"/>
              </w:rPr>
              <w:t>活性炭用量为</w:t>
            </w:r>
            <w:r>
              <w:rPr>
                <w:rFonts w:hint="eastAsia"/>
                <w:color w:val="auto"/>
                <w:sz w:val="24"/>
                <w:szCs w:val="24"/>
                <w:highlight w:val="none"/>
                <w:lang w:val="en-US" w:eastAsia="zh-CN"/>
              </w:rPr>
              <w:t>4.45</w:t>
            </w:r>
            <w:r>
              <w:rPr>
                <w:color w:val="auto"/>
                <w:sz w:val="24"/>
                <w:szCs w:val="24"/>
                <w:highlight w:val="none"/>
              </w:rPr>
              <w:t>t/a。活性炭箱装填活性炭量为</w:t>
            </w:r>
            <w:r>
              <w:rPr>
                <w:rFonts w:hint="eastAsia"/>
                <w:color w:val="auto"/>
                <w:sz w:val="24"/>
                <w:szCs w:val="24"/>
                <w:highlight w:val="none"/>
                <w:lang w:val="en-US" w:eastAsia="zh-CN"/>
              </w:rPr>
              <w:t>0.5</w:t>
            </w:r>
            <w:r>
              <w:rPr>
                <w:color w:val="auto"/>
                <w:sz w:val="24"/>
                <w:szCs w:val="24"/>
                <w:highlight w:val="none"/>
              </w:rPr>
              <w:t>t</w:t>
            </w:r>
            <w:r>
              <w:rPr>
                <w:rFonts w:hint="eastAsia"/>
                <w:color w:val="auto"/>
                <w:sz w:val="24"/>
                <w:szCs w:val="24"/>
                <w:highlight w:val="none"/>
              </w:rPr>
              <w:t>。根据本项目产生的有机废气情况，约</w:t>
            </w:r>
            <w:r>
              <w:rPr>
                <w:rFonts w:hint="eastAsia"/>
                <w:color w:val="auto"/>
                <w:sz w:val="24"/>
                <w:szCs w:val="24"/>
                <w:highlight w:val="none"/>
                <w:lang w:val="en-US" w:eastAsia="zh-CN"/>
              </w:rPr>
              <w:t>1</w:t>
            </w:r>
            <w:r>
              <w:rPr>
                <w:color w:val="auto"/>
                <w:sz w:val="24"/>
                <w:szCs w:val="24"/>
                <w:highlight w:val="none"/>
              </w:rPr>
              <w:t>个月更换一次，活性炭</w:t>
            </w:r>
            <w:r>
              <w:rPr>
                <w:rFonts w:hint="eastAsia"/>
                <w:color w:val="auto"/>
                <w:sz w:val="24"/>
                <w:szCs w:val="24"/>
                <w:highlight w:val="none"/>
              </w:rPr>
              <w:t>使用</w:t>
            </w:r>
            <w:r>
              <w:rPr>
                <w:color w:val="auto"/>
                <w:sz w:val="24"/>
                <w:szCs w:val="24"/>
                <w:highlight w:val="none"/>
              </w:rPr>
              <w:t>量约为</w:t>
            </w:r>
            <w:r>
              <w:rPr>
                <w:rFonts w:hint="eastAsia"/>
                <w:color w:val="auto"/>
                <w:sz w:val="24"/>
                <w:szCs w:val="24"/>
                <w:highlight w:val="none"/>
                <w:lang w:val="en-US" w:eastAsia="zh-CN"/>
              </w:rPr>
              <w:t>6</w:t>
            </w:r>
            <w:r>
              <w:rPr>
                <w:color w:val="auto"/>
                <w:sz w:val="24"/>
                <w:szCs w:val="24"/>
                <w:highlight w:val="none"/>
              </w:rPr>
              <w:t>t/a，废活性炭产生量约为</w:t>
            </w:r>
            <w:r>
              <w:rPr>
                <w:rFonts w:hint="eastAsia"/>
                <w:color w:val="auto"/>
                <w:sz w:val="24"/>
                <w:szCs w:val="24"/>
                <w:highlight w:val="none"/>
                <w:lang w:val="en-US" w:eastAsia="zh-CN"/>
              </w:rPr>
              <w:t>6.89</w:t>
            </w:r>
            <w:r>
              <w:rPr>
                <w:color w:val="auto"/>
                <w:sz w:val="24"/>
                <w:szCs w:val="24"/>
                <w:highlight w:val="none"/>
              </w:rPr>
              <w:t>t/a（含被吸附的VOCs质量</w:t>
            </w:r>
            <w:r>
              <w:rPr>
                <w:rFonts w:hint="eastAsia"/>
                <w:color w:val="auto"/>
                <w:sz w:val="24"/>
                <w:szCs w:val="24"/>
                <w:highlight w:val="none"/>
                <w:lang w:val="en-US" w:eastAsia="zh-CN"/>
              </w:rPr>
              <w:t>0.89</w:t>
            </w:r>
            <w:r>
              <w:rPr>
                <w:color w:val="auto"/>
                <w:sz w:val="24"/>
                <w:szCs w:val="24"/>
                <w:highlight w:val="none"/>
              </w:rPr>
              <w:t>t/a）。根据《国家危险废物名录（2021版）》，废物类别为HW49其他废物（危废代码：900-039-49，危险特性T），暂存于危废暂存间，委托有相应资质的单位处置。</w:t>
            </w:r>
          </w:p>
          <w:p>
            <w:pPr>
              <w:pStyle w:val="6"/>
              <w:adjustRightInd w:val="0"/>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本项目固废产生及处置情况见下表所示。</w:t>
            </w:r>
          </w:p>
          <w:p>
            <w:pPr>
              <w:adjustRightIn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表4-</w:t>
            </w:r>
            <w:r>
              <w:rPr>
                <w:rFonts w:hint="default" w:ascii="Times New Roman" w:hAnsi="Times New Roman" w:cs="Times New Roman"/>
                <w:b/>
                <w:bCs/>
                <w:color w:val="auto"/>
                <w:sz w:val="21"/>
                <w:szCs w:val="21"/>
                <w:highlight w:val="none"/>
                <w:lang w:val="en-US" w:eastAsia="zh-CN"/>
              </w:rPr>
              <w:t>11</w:t>
            </w:r>
            <w:r>
              <w:rPr>
                <w:rFonts w:hint="default" w:ascii="Times New Roman" w:hAnsi="Times New Roman" w:cs="Times New Roman"/>
                <w:b/>
                <w:bCs/>
                <w:color w:val="auto"/>
                <w:sz w:val="21"/>
                <w:szCs w:val="21"/>
                <w:highlight w:val="none"/>
              </w:rPr>
              <w:t xml:space="preserve">  固体废物情况汇总表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32"/>
              <w:gridCol w:w="1227"/>
              <w:gridCol w:w="1078"/>
              <w:gridCol w:w="1063"/>
              <w:gridCol w:w="723"/>
              <w:gridCol w:w="87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9"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832"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废物</w:t>
                  </w:r>
                </w:p>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类别</w:t>
                  </w:r>
                </w:p>
              </w:tc>
              <w:tc>
                <w:tcPr>
                  <w:tcW w:w="1227"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w:t>
                  </w:r>
                </w:p>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代码</w:t>
                  </w:r>
                </w:p>
              </w:tc>
              <w:tc>
                <w:tcPr>
                  <w:tcW w:w="1078"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预测产生量（t/a）</w:t>
                  </w:r>
                </w:p>
              </w:tc>
              <w:tc>
                <w:tcPr>
                  <w:tcW w:w="1063"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w:t>
                  </w:r>
                </w:p>
              </w:tc>
              <w:tc>
                <w:tcPr>
                  <w:tcW w:w="723"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873" w:type="dxa"/>
                  <w:noWrap w:val="0"/>
                  <w:vAlign w:val="center"/>
                </w:tcPr>
                <w:p>
                  <w:pPr>
                    <w:topLinePunct/>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主要成分</w:t>
                  </w:r>
                </w:p>
              </w:tc>
              <w:tc>
                <w:tcPr>
                  <w:tcW w:w="1719" w:type="dxa"/>
                  <w:noWrap w:val="0"/>
                  <w:vAlign w:val="center"/>
                </w:tcPr>
                <w:p>
                  <w:pPr>
                    <w:pStyle w:val="76"/>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w:t>
                  </w:r>
                </w:p>
                <w:p>
                  <w:pPr>
                    <w:pStyle w:val="76"/>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9" w:type="dxa"/>
                  <w:noWrap w:val="0"/>
                  <w:vAlign w:val="center"/>
                </w:tcPr>
                <w:p>
                  <w:pPr>
                    <w:topLinePunct/>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生活垃圾</w:t>
                  </w:r>
                </w:p>
              </w:tc>
              <w:tc>
                <w:tcPr>
                  <w:tcW w:w="832" w:type="dxa"/>
                  <w:vMerge w:val="restart"/>
                  <w:noWrap w:val="0"/>
                  <w:vAlign w:val="center"/>
                </w:tcPr>
                <w:p>
                  <w:pPr>
                    <w:topLinePunct/>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一般固废</w:t>
                  </w:r>
                </w:p>
              </w:tc>
              <w:tc>
                <w:tcPr>
                  <w:tcW w:w="1227" w:type="dxa"/>
                  <w:noWrap w:val="0"/>
                  <w:vAlign w:val="center"/>
                </w:tcPr>
                <w:p>
                  <w:pPr>
                    <w:topLinePunct/>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078" w:type="dxa"/>
                  <w:noWrap w:val="0"/>
                  <w:vAlign w:val="center"/>
                </w:tcPr>
                <w:p>
                  <w:pPr>
                    <w:topLinePunct/>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.5</w:t>
                  </w:r>
                </w:p>
              </w:tc>
              <w:tc>
                <w:tcPr>
                  <w:tcW w:w="1063" w:type="dxa"/>
                  <w:noWrap w:val="0"/>
                  <w:vAlign w:val="center"/>
                </w:tcPr>
                <w:p>
                  <w:pPr>
                    <w:topLinePunct/>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员工生活</w:t>
                  </w:r>
                </w:p>
              </w:tc>
              <w:tc>
                <w:tcPr>
                  <w:tcW w:w="723" w:type="dxa"/>
                  <w:noWrap w:val="0"/>
                  <w:vAlign w:val="center"/>
                </w:tcPr>
                <w:p>
                  <w:pPr>
                    <w:pStyle w:val="76"/>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w:t>
                  </w:r>
                </w:p>
              </w:tc>
              <w:tc>
                <w:tcPr>
                  <w:tcW w:w="873" w:type="dxa"/>
                  <w:noWrap w:val="0"/>
                  <w:vAlign w:val="center"/>
                </w:tcPr>
                <w:p>
                  <w:pPr>
                    <w:pStyle w:val="76"/>
                    <w:jc w:val="center"/>
                    <w:rPr>
                      <w:rFonts w:hint="eastAsia" w:ascii="Times New Roman" w:hAnsi="Times New Roman" w:eastAsia="宋体" w:cs="Times New Roman"/>
                      <w:color w:val="auto"/>
                      <w:sz w:val="21"/>
                      <w:szCs w:val="21"/>
                      <w:highlight w:val="none"/>
                      <w:lang w:eastAsia="zh-CN"/>
                    </w:rPr>
                  </w:pPr>
                  <w:r>
                    <w:rPr>
                      <w:rFonts w:hint="eastAsia" w:ascii="Times New Roman" w:cs="Times New Roman"/>
                      <w:color w:val="auto"/>
                      <w:sz w:val="21"/>
                      <w:szCs w:val="21"/>
                      <w:highlight w:val="none"/>
                      <w:lang w:val="en-US" w:eastAsia="zh-CN"/>
                    </w:rPr>
                    <w:t>/</w:t>
                  </w:r>
                </w:p>
              </w:tc>
              <w:tc>
                <w:tcPr>
                  <w:tcW w:w="1719" w:type="dxa"/>
                  <w:noWrap w:val="0"/>
                  <w:vAlign w:val="center"/>
                </w:tcPr>
                <w:p>
                  <w:pPr>
                    <w:pStyle w:val="76"/>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auto"/>
                      <w:sz w:val="21"/>
                      <w:szCs w:val="21"/>
                      <w:highlight w:val="none"/>
                      <w:lang w:val="en-US" w:eastAsia="zh-CN"/>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9" w:type="dxa"/>
                  <w:noWrap w:val="0"/>
                  <w:vAlign w:val="center"/>
                </w:tcPr>
                <w:p>
                  <w:pPr>
                    <w:pStyle w:val="76"/>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废包装袋</w:t>
                  </w:r>
                </w:p>
              </w:tc>
              <w:tc>
                <w:tcPr>
                  <w:tcW w:w="832" w:type="dxa"/>
                  <w:vMerge w:val="continue"/>
                  <w:noWrap w:val="0"/>
                  <w:vAlign w:val="center"/>
                </w:tcPr>
                <w:p>
                  <w:pPr>
                    <w:pStyle w:val="76"/>
                    <w:jc w:val="center"/>
                    <w:rPr>
                      <w:rFonts w:hint="default" w:ascii="Times New Roman" w:hAnsi="Times New Roman" w:cs="Times New Roman"/>
                      <w:color w:val="auto"/>
                      <w:sz w:val="21"/>
                      <w:szCs w:val="21"/>
                      <w:highlight w:val="none"/>
                    </w:rPr>
                  </w:pPr>
                </w:p>
              </w:tc>
              <w:tc>
                <w:tcPr>
                  <w:tcW w:w="1227"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w:t>
                  </w:r>
                </w:p>
              </w:tc>
              <w:tc>
                <w:tcPr>
                  <w:tcW w:w="1078"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0.1</w:t>
                  </w:r>
                </w:p>
              </w:tc>
              <w:tc>
                <w:tcPr>
                  <w:tcW w:w="1063" w:type="dxa"/>
                  <w:noWrap w:val="0"/>
                  <w:vAlign w:val="center"/>
                </w:tcPr>
                <w:p>
                  <w:pPr>
                    <w:pStyle w:val="76"/>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生产过程</w:t>
                  </w:r>
                </w:p>
              </w:tc>
              <w:tc>
                <w:tcPr>
                  <w:tcW w:w="723" w:type="dxa"/>
                  <w:noWrap w:val="0"/>
                  <w:vAlign w:val="center"/>
                </w:tcPr>
                <w:p>
                  <w:pPr>
                    <w:pStyle w:val="76"/>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w:t>
                  </w:r>
                </w:p>
              </w:tc>
              <w:tc>
                <w:tcPr>
                  <w:tcW w:w="873"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w:t>
                  </w:r>
                </w:p>
              </w:tc>
              <w:tc>
                <w:tcPr>
                  <w:tcW w:w="1719" w:type="dxa"/>
                  <w:noWrap w:val="0"/>
                  <w:vAlign w:val="center"/>
                </w:tcPr>
                <w:p>
                  <w:pPr>
                    <w:pStyle w:val="76"/>
                    <w:jc w:val="center"/>
                    <w:rPr>
                      <w:rFonts w:hint="eastAsia" w:ascii="Times New Roman" w:hAnsi="Times New Roman" w:eastAsia="宋体" w:cs="Times New Roman"/>
                      <w:color w:val="FF0000"/>
                      <w:sz w:val="21"/>
                      <w:szCs w:val="21"/>
                      <w:highlight w:val="none"/>
                      <w:lang w:eastAsia="zh-CN"/>
                    </w:rPr>
                  </w:pPr>
                  <w:r>
                    <w:rPr>
                      <w:rFonts w:hint="eastAsia" w:ascii="Times New Roman" w:cs="Times New Roman"/>
                      <w:color w:val="auto"/>
                      <w:sz w:val="21"/>
                      <w:szCs w:val="21"/>
                      <w:highlight w:val="none"/>
                      <w:lang w:eastAsia="zh-CN"/>
                    </w:rPr>
                    <w:t>集中收集后外售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9" w:type="dxa"/>
                  <w:noWrap w:val="0"/>
                  <w:vAlign w:val="center"/>
                </w:tcPr>
                <w:p>
                  <w:pPr>
                    <w:pStyle w:val="76"/>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废边角料及不合格品</w:t>
                  </w:r>
                </w:p>
              </w:tc>
              <w:tc>
                <w:tcPr>
                  <w:tcW w:w="832" w:type="dxa"/>
                  <w:vMerge w:val="continue"/>
                  <w:noWrap w:val="0"/>
                  <w:vAlign w:val="center"/>
                </w:tcPr>
                <w:p>
                  <w:pPr>
                    <w:pStyle w:val="76"/>
                    <w:jc w:val="center"/>
                    <w:rPr>
                      <w:rFonts w:hint="default" w:ascii="Times New Roman" w:hAnsi="Times New Roman" w:cs="Times New Roman"/>
                      <w:color w:val="auto"/>
                      <w:sz w:val="21"/>
                      <w:szCs w:val="21"/>
                      <w:highlight w:val="none"/>
                    </w:rPr>
                  </w:pPr>
                </w:p>
              </w:tc>
              <w:tc>
                <w:tcPr>
                  <w:tcW w:w="1227" w:type="dxa"/>
                  <w:noWrap w:val="0"/>
                  <w:vAlign w:val="center"/>
                </w:tcPr>
                <w:p>
                  <w:pPr>
                    <w:pStyle w:val="76"/>
                    <w:jc w:val="center"/>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w:t>
                  </w:r>
                </w:p>
              </w:tc>
              <w:tc>
                <w:tcPr>
                  <w:tcW w:w="1078" w:type="dxa"/>
                  <w:noWrap w:val="0"/>
                  <w:vAlign w:val="center"/>
                </w:tcPr>
                <w:p>
                  <w:pPr>
                    <w:pStyle w:val="76"/>
                    <w:jc w:val="center"/>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150</w:t>
                  </w:r>
                </w:p>
              </w:tc>
              <w:tc>
                <w:tcPr>
                  <w:tcW w:w="1063" w:type="dxa"/>
                  <w:noWrap w:val="0"/>
                  <w:vAlign w:val="center"/>
                </w:tcPr>
                <w:p>
                  <w:pPr>
                    <w:pStyle w:val="76"/>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生产过程</w:t>
                  </w:r>
                </w:p>
              </w:tc>
              <w:tc>
                <w:tcPr>
                  <w:tcW w:w="723" w:type="dxa"/>
                  <w:noWrap w:val="0"/>
                  <w:vAlign w:val="center"/>
                </w:tcPr>
                <w:p>
                  <w:pPr>
                    <w:pStyle w:val="76"/>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w:t>
                  </w:r>
                </w:p>
              </w:tc>
              <w:tc>
                <w:tcPr>
                  <w:tcW w:w="873" w:type="dxa"/>
                  <w:noWrap w:val="0"/>
                  <w:vAlign w:val="center"/>
                </w:tcPr>
                <w:p>
                  <w:pPr>
                    <w:pStyle w:val="76"/>
                    <w:jc w:val="center"/>
                    <w:rPr>
                      <w:rFonts w:hint="eastAsia"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w:t>
                  </w:r>
                </w:p>
              </w:tc>
              <w:tc>
                <w:tcPr>
                  <w:tcW w:w="1719" w:type="dxa"/>
                  <w:noWrap w:val="0"/>
                  <w:vAlign w:val="center"/>
                </w:tcPr>
                <w:p>
                  <w:pPr>
                    <w:pStyle w:val="76"/>
                    <w:jc w:val="center"/>
                    <w:rPr>
                      <w:rFonts w:hint="eastAsia" w:ascii="Times New Roman" w:cs="Times New Roman"/>
                      <w:color w:val="auto"/>
                      <w:sz w:val="21"/>
                      <w:szCs w:val="21"/>
                      <w:highlight w:val="none"/>
                      <w:lang w:eastAsia="zh-CN"/>
                    </w:rPr>
                  </w:pPr>
                  <w:r>
                    <w:rPr>
                      <w:rFonts w:hint="eastAsia" w:ascii="Times New Roman" w:cs="Times New Roman"/>
                      <w:color w:val="auto"/>
                      <w:sz w:val="21"/>
                      <w:szCs w:val="21"/>
                      <w:highlight w:val="none"/>
                      <w:lang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9" w:type="dxa"/>
                  <w:noWrap w:val="0"/>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废活性炭</w:t>
                  </w:r>
                </w:p>
              </w:tc>
              <w:tc>
                <w:tcPr>
                  <w:tcW w:w="832" w:type="dxa"/>
                  <w:noWrap w:val="0"/>
                  <w:vAlign w:val="center"/>
                </w:tcPr>
                <w:p>
                  <w:pPr>
                    <w:topLinePunct/>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危险废物</w:t>
                  </w:r>
                </w:p>
              </w:tc>
              <w:tc>
                <w:tcPr>
                  <w:tcW w:w="1227"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shd w:val="clear" w:color="auto" w:fill="FFFFFF"/>
                    </w:rPr>
                    <w:t>900-039-49</w:t>
                  </w:r>
                </w:p>
              </w:tc>
              <w:tc>
                <w:tcPr>
                  <w:tcW w:w="1078"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cs="Times New Roman"/>
                      <w:color w:val="auto"/>
                      <w:sz w:val="21"/>
                      <w:szCs w:val="21"/>
                      <w:highlight w:val="none"/>
                      <w:lang w:val="en-US" w:eastAsia="zh-CN"/>
                    </w:rPr>
                    <w:t>6.89</w:t>
                  </w:r>
                </w:p>
              </w:tc>
              <w:tc>
                <w:tcPr>
                  <w:tcW w:w="1063"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废气处理</w:t>
                  </w:r>
                </w:p>
              </w:tc>
              <w:tc>
                <w:tcPr>
                  <w:tcW w:w="723" w:type="dxa"/>
                  <w:noWrap w:val="0"/>
                  <w:vAlign w:val="center"/>
                </w:tcPr>
                <w:p>
                  <w:pPr>
                    <w:topLinePunct/>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固</w:t>
                  </w:r>
                </w:p>
              </w:tc>
              <w:tc>
                <w:tcPr>
                  <w:tcW w:w="873" w:type="dxa"/>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VOCs</w:t>
                  </w:r>
                </w:p>
              </w:tc>
              <w:tc>
                <w:tcPr>
                  <w:tcW w:w="1719" w:type="dxa"/>
                  <w:noWrap w:val="0"/>
                  <w:vAlign w:val="center"/>
                </w:tcPr>
                <w:p>
                  <w:pPr>
                    <w:pStyle w:val="76"/>
                    <w:jc w:val="center"/>
                    <w:rPr>
                      <w:rFonts w:hint="default" w:ascii="Times New Roman" w:hAnsi="Times New Roman" w:cs="Times New Roman"/>
                      <w:color w:val="FF0000"/>
                      <w:sz w:val="21"/>
                      <w:szCs w:val="21"/>
                      <w:highlight w:val="none"/>
                    </w:rPr>
                  </w:pPr>
                  <w:r>
                    <w:rPr>
                      <w:rFonts w:hint="default" w:ascii="Times New Roman" w:hAnsi="Times New Roman" w:cs="Times New Roman"/>
                      <w:color w:val="auto"/>
                      <w:sz w:val="21"/>
                      <w:szCs w:val="21"/>
                      <w:highlight w:val="none"/>
                      <w:lang w:eastAsia="zh-CN"/>
                    </w:rPr>
                    <w:t>委托有资质单位定期处置</w:t>
                  </w:r>
                </w:p>
              </w:tc>
            </w:tr>
          </w:tbl>
          <w:p>
            <w:pPr>
              <w:snapToGrid w:val="0"/>
              <w:spacing w:line="360" w:lineRule="auto"/>
              <w:jc w:val="center"/>
              <w:rPr>
                <w:b/>
                <w:snapToGrid w:val="0"/>
                <w:color w:val="auto"/>
                <w:szCs w:val="21"/>
                <w:highlight w:val="none"/>
              </w:rPr>
            </w:pPr>
            <w:r>
              <w:rPr>
                <w:b/>
                <w:snapToGrid w:val="0"/>
                <w:color w:val="auto"/>
                <w:szCs w:val="21"/>
                <w:highlight w:val="none"/>
              </w:rPr>
              <w:t>表4</w:t>
            </w:r>
            <w:r>
              <w:rPr>
                <w:rFonts w:hint="eastAsia"/>
                <w:b/>
                <w:snapToGrid w:val="0"/>
                <w:color w:val="auto"/>
                <w:szCs w:val="21"/>
                <w:highlight w:val="none"/>
              </w:rPr>
              <w:t>-1</w:t>
            </w:r>
            <w:r>
              <w:rPr>
                <w:rFonts w:hint="eastAsia"/>
                <w:b/>
                <w:snapToGrid w:val="0"/>
                <w:color w:val="auto"/>
                <w:szCs w:val="21"/>
                <w:highlight w:val="none"/>
                <w:lang w:val="en-US" w:eastAsia="zh-CN"/>
              </w:rPr>
              <w:t>2</w:t>
            </w:r>
            <w:r>
              <w:rPr>
                <w:b/>
                <w:snapToGrid w:val="0"/>
                <w:color w:val="auto"/>
                <w:szCs w:val="21"/>
                <w:highlight w:val="none"/>
              </w:rPr>
              <w:t xml:space="preserve">  危险废物产生及处置情况汇总表</w:t>
            </w:r>
          </w:p>
          <w:tbl>
            <w:tblPr>
              <w:tblStyle w:val="23"/>
              <w:tblW w:w="495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29"/>
              <w:gridCol w:w="786"/>
              <w:gridCol w:w="824"/>
              <w:gridCol w:w="811"/>
              <w:gridCol w:w="699"/>
              <w:gridCol w:w="699"/>
              <w:gridCol w:w="616"/>
              <w:gridCol w:w="649"/>
              <w:gridCol w:w="666"/>
              <w:gridCol w:w="587"/>
              <w:gridCol w:w="563"/>
              <w:gridCol w:w="1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29" w:type="dxa"/>
                  <w:vAlign w:val="center"/>
                </w:tcPr>
                <w:p>
                  <w:pPr>
                    <w:jc w:val="center"/>
                    <w:rPr>
                      <w:b/>
                      <w:bCs/>
                      <w:color w:val="auto"/>
                      <w:sz w:val="21"/>
                      <w:szCs w:val="21"/>
                      <w:highlight w:val="none"/>
                    </w:rPr>
                  </w:pPr>
                  <w:r>
                    <w:rPr>
                      <w:b/>
                      <w:bCs/>
                      <w:color w:val="auto"/>
                      <w:sz w:val="21"/>
                      <w:szCs w:val="21"/>
                      <w:highlight w:val="none"/>
                    </w:rPr>
                    <w:t>名称</w:t>
                  </w:r>
                </w:p>
              </w:tc>
              <w:tc>
                <w:tcPr>
                  <w:tcW w:w="786" w:type="dxa"/>
                  <w:vAlign w:val="center"/>
                </w:tcPr>
                <w:p>
                  <w:pPr>
                    <w:jc w:val="center"/>
                    <w:rPr>
                      <w:b/>
                      <w:bCs/>
                      <w:color w:val="auto"/>
                      <w:sz w:val="21"/>
                      <w:szCs w:val="21"/>
                      <w:highlight w:val="none"/>
                    </w:rPr>
                  </w:pPr>
                  <w:r>
                    <w:rPr>
                      <w:b/>
                      <w:bCs/>
                      <w:color w:val="auto"/>
                      <w:sz w:val="21"/>
                      <w:szCs w:val="21"/>
                      <w:highlight w:val="none"/>
                    </w:rPr>
                    <w:t>类别</w:t>
                  </w:r>
                </w:p>
              </w:tc>
              <w:tc>
                <w:tcPr>
                  <w:tcW w:w="824" w:type="dxa"/>
                  <w:vAlign w:val="center"/>
                </w:tcPr>
                <w:p>
                  <w:pPr>
                    <w:jc w:val="center"/>
                    <w:rPr>
                      <w:b/>
                      <w:bCs/>
                      <w:color w:val="auto"/>
                      <w:sz w:val="21"/>
                      <w:szCs w:val="21"/>
                      <w:highlight w:val="none"/>
                    </w:rPr>
                  </w:pPr>
                  <w:r>
                    <w:rPr>
                      <w:b/>
                      <w:bCs/>
                      <w:color w:val="auto"/>
                      <w:sz w:val="21"/>
                      <w:szCs w:val="21"/>
                      <w:highlight w:val="none"/>
                    </w:rPr>
                    <w:t>危废</w:t>
                  </w:r>
                </w:p>
                <w:p>
                  <w:pPr>
                    <w:jc w:val="center"/>
                    <w:rPr>
                      <w:b/>
                      <w:bCs/>
                      <w:color w:val="auto"/>
                      <w:sz w:val="21"/>
                      <w:szCs w:val="21"/>
                      <w:highlight w:val="none"/>
                    </w:rPr>
                  </w:pPr>
                  <w:r>
                    <w:rPr>
                      <w:b/>
                      <w:bCs/>
                      <w:color w:val="auto"/>
                      <w:sz w:val="21"/>
                      <w:szCs w:val="21"/>
                      <w:highlight w:val="none"/>
                    </w:rPr>
                    <w:t>代码</w:t>
                  </w:r>
                </w:p>
              </w:tc>
              <w:tc>
                <w:tcPr>
                  <w:tcW w:w="811" w:type="dxa"/>
                  <w:vAlign w:val="center"/>
                </w:tcPr>
                <w:p>
                  <w:pPr>
                    <w:jc w:val="center"/>
                    <w:rPr>
                      <w:b/>
                      <w:bCs/>
                      <w:color w:val="auto"/>
                      <w:sz w:val="21"/>
                      <w:szCs w:val="21"/>
                      <w:highlight w:val="none"/>
                    </w:rPr>
                  </w:pPr>
                  <w:r>
                    <w:rPr>
                      <w:b/>
                      <w:bCs/>
                      <w:color w:val="auto"/>
                      <w:sz w:val="21"/>
                      <w:szCs w:val="21"/>
                      <w:highlight w:val="none"/>
                    </w:rPr>
                    <w:t>产生量</w:t>
                  </w:r>
                </w:p>
                <w:p>
                  <w:pPr>
                    <w:jc w:val="center"/>
                    <w:rPr>
                      <w:b/>
                      <w:bCs/>
                      <w:color w:val="auto"/>
                      <w:sz w:val="21"/>
                      <w:szCs w:val="21"/>
                      <w:highlight w:val="none"/>
                    </w:rPr>
                  </w:pPr>
                  <w:r>
                    <w:rPr>
                      <w:b/>
                      <w:bCs/>
                      <w:color w:val="auto"/>
                      <w:sz w:val="21"/>
                      <w:szCs w:val="21"/>
                      <w:highlight w:val="none"/>
                    </w:rPr>
                    <w:t>t/a</w:t>
                  </w:r>
                </w:p>
              </w:tc>
              <w:tc>
                <w:tcPr>
                  <w:tcW w:w="699" w:type="dxa"/>
                  <w:vAlign w:val="center"/>
                </w:tcPr>
                <w:p>
                  <w:pPr>
                    <w:jc w:val="center"/>
                    <w:rPr>
                      <w:b/>
                      <w:bCs/>
                      <w:color w:val="auto"/>
                      <w:sz w:val="21"/>
                      <w:szCs w:val="21"/>
                      <w:highlight w:val="none"/>
                    </w:rPr>
                  </w:pPr>
                  <w:r>
                    <w:rPr>
                      <w:b/>
                      <w:bCs/>
                      <w:color w:val="auto"/>
                      <w:sz w:val="21"/>
                      <w:szCs w:val="21"/>
                      <w:highlight w:val="none"/>
                    </w:rPr>
                    <w:t>产生</w:t>
                  </w:r>
                </w:p>
                <w:p>
                  <w:pPr>
                    <w:jc w:val="center"/>
                    <w:rPr>
                      <w:b/>
                      <w:bCs/>
                      <w:color w:val="auto"/>
                      <w:sz w:val="21"/>
                      <w:szCs w:val="21"/>
                      <w:highlight w:val="none"/>
                    </w:rPr>
                  </w:pPr>
                  <w:r>
                    <w:rPr>
                      <w:b/>
                      <w:bCs/>
                      <w:color w:val="auto"/>
                      <w:sz w:val="21"/>
                      <w:szCs w:val="21"/>
                      <w:highlight w:val="none"/>
                    </w:rPr>
                    <w:t>工序</w:t>
                  </w:r>
                </w:p>
              </w:tc>
              <w:tc>
                <w:tcPr>
                  <w:tcW w:w="699" w:type="dxa"/>
                  <w:vAlign w:val="center"/>
                </w:tcPr>
                <w:p>
                  <w:pPr>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处置量</w:t>
                  </w:r>
                  <w:r>
                    <w:rPr>
                      <w:b/>
                      <w:bCs/>
                      <w:color w:val="auto"/>
                      <w:sz w:val="21"/>
                      <w:szCs w:val="21"/>
                      <w:highlight w:val="none"/>
                    </w:rPr>
                    <w:t>t/a</w:t>
                  </w:r>
                </w:p>
              </w:tc>
              <w:tc>
                <w:tcPr>
                  <w:tcW w:w="616" w:type="dxa"/>
                  <w:vAlign w:val="center"/>
                </w:tcPr>
                <w:p>
                  <w:pPr>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排放量</w:t>
                  </w:r>
                  <w:r>
                    <w:rPr>
                      <w:b/>
                      <w:bCs/>
                      <w:color w:val="auto"/>
                      <w:sz w:val="21"/>
                      <w:szCs w:val="21"/>
                      <w:highlight w:val="none"/>
                    </w:rPr>
                    <w:t>t/a</w:t>
                  </w:r>
                </w:p>
              </w:tc>
              <w:tc>
                <w:tcPr>
                  <w:tcW w:w="649" w:type="dxa"/>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有害</w:t>
                  </w:r>
                </w:p>
                <w:p>
                  <w:pPr>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成分</w:t>
                  </w:r>
                </w:p>
              </w:tc>
              <w:tc>
                <w:tcPr>
                  <w:tcW w:w="666" w:type="dxa"/>
                  <w:vAlign w:val="center"/>
                </w:tcPr>
                <w:p>
                  <w:pPr>
                    <w:jc w:val="center"/>
                    <w:rPr>
                      <w:b/>
                      <w:bCs/>
                      <w:color w:val="auto"/>
                      <w:sz w:val="21"/>
                      <w:szCs w:val="21"/>
                      <w:highlight w:val="none"/>
                    </w:rPr>
                  </w:pPr>
                  <w:r>
                    <w:rPr>
                      <w:b/>
                      <w:bCs/>
                      <w:color w:val="auto"/>
                      <w:sz w:val="21"/>
                      <w:szCs w:val="21"/>
                      <w:highlight w:val="none"/>
                    </w:rPr>
                    <w:t>形态</w:t>
                  </w:r>
                </w:p>
              </w:tc>
              <w:tc>
                <w:tcPr>
                  <w:tcW w:w="587" w:type="dxa"/>
                  <w:vAlign w:val="center"/>
                </w:tcPr>
                <w:p>
                  <w:pPr>
                    <w:jc w:val="center"/>
                    <w:rPr>
                      <w:b/>
                      <w:bCs/>
                      <w:color w:val="auto"/>
                      <w:sz w:val="21"/>
                      <w:szCs w:val="21"/>
                      <w:highlight w:val="none"/>
                    </w:rPr>
                  </w:pPr>
                  <w:r>
                    <w:rPr>
                      <w:b/>
                      <w:bCs/>
                      <w:color w:val="auto"/>
                      <w:sz w:val="21"/>
                      <w:szCs w:val="21"/>
                      <w:highlight w:val="none"/>
                    </w:rPr>
                    <w:t>产废</w:t>
                  </w:r>
                </w:p>
                <w:p>
                  <w:pPr>
                    <w:jc w:val="center"/>
                    <w:rPr>
                      <w:b/>
                      <w:bCs/>
                      <w:color w:val="auto"/>
                      <w:sz w:val="21"/>
                      <w:szCs w:val="21"/>
                      <w:highlight w:val="none"/>
                    </w:rPr>
                  </w:pPr>
                  <w:r>
                    <w:rPr>
                      <w:b/>
                      <w:bCs/>
                      <w:color w:val="auto"/>
                      <w:sz w:val="21"/>
                      <w:szCs w:val="21"/>
                      <w:highlight w:val="none"/>
                    </w:rPr>
                    <w:t>周期</w:t>
                  </w:r>
                </w:p>
              </w:tc>
              <w:tc>
                <w:tcPr>
                  <w:tcW w:w="563" w:type="dxa"/>
                  <w:vAlign w:val="center"/>
                </w:tcPr>
                <w:p>
                  <w:pPr>
                    <w:jc w:val="center"/>
                    <w:rPr>
                      <w:b/>
                      <w:bCs/>
                      <w:color w:val="auto"/>
                      <w:sz w:val="21"/>
                      <w:szCs w:val="21"/>
                      <w:highlight w:val="none"/>
                    </w:rPr>
                  </w:pPr>
                  <w:r>
                    <w:rPr>
                      <w:b/>
                      <w:bCs/>
                      <w:color w:val="auto"/>
                      <w:sz w:val="21"/>
                      <w:szCs w:val="21"/>
                      <w:highlight w:val="none"/>
                    </w:rPr>
                    <w:t>危险</w:t>
                  </w:r>
                </w:p>
                <w:p>
                  <w:pPr>
                    <w:jc w:val="center"/>
                    <w:rPr>
                      <w:b/>
                      <w:bCs/>
                      <w:color w:val="auto"/>
                      <w:sz w:val="21"/>
                      <w:szCs w:val="21"/>
                      <w:highlight w:val="none"/>
                    </w:rPr>
                  </w:pPr>
                  <w:r>
                    <w:rPr>
                      <w:b/>
                      <w:bCs/>
                      <w:color w:val="auto"/>
                      <w:sz w:val="21"/>
                      <w:szCs w:val="21"/>
                      <w:highlight w:val="none"/>
                    </w:rPr>
                    <w:t>特性</w:t>
                  </w:r>
                </w:p>
              </w:tc>
              <w:tc>
                <w:tcPr>
                  <w:tcW w:w="1200" w:type="dxa"/>
                  <w:vAlign w:val="center"/>
                </w:tcPr>
                <w:p>
                  <w:pPr>
                    <w:jc w:val="center"/>
                    <w:rPr>
                      <w:b/>
                      <w:bCs/>
                      <w:color w:val="auto"/>
                      <w:sz w:val="21"/>
                      <w:szCs w:val="21"/>
                      <w:highlight w:val="none"/>
                    </w:rPr>
                  </w:pPr>
                  <w:r>
                    <w:rPr>
                      <w:b/>
                      <w:bCs/>
                      <w:color w:val="auto"/>
                      <w:sz w:val="21"/>
                      <w:szCs w:val="21"/>
                      <w:highlight w:val="none"/>
                    </w:rPr>
                    <w:t>污染防治措施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629" w:type="dxa"/>
                  <w:vAlign w:val="center"/>
                </w:tcPr>
                <w:p>
                  <w:pPr>
                    <w:jc w:val="center"/>
                    <w:rPr>
                      <w:color w:val="auto"/>
                      <w:sz w:val="21"/>
                      <w:szCs w:val="21"/>
                      <w:highlight w:val="none"/>
                    </w:rPr>
                  </w:pPr>
                  <w:r>
                    <w:rPr>
                      <w:rFonts w:hint="default" w:ascii="Times New Roman" w:hAnsi="Times New Roman" w:cs="Times New Roman"/>
                      <w:color w:val="auto"/>
                      <w:sz w:val="21"/>
                      <w:szCs w:val="21"/>
                      <w:highlight w:val="none"/>
                      <w:lang w:val="en-US" w:eastAsia="zh-CN"/>
                    </w:rPr>
                    <w:t>废活性炭</w:t>
                  </w:r>
                </w:p>
              </w:tc>
              <w:tc>
                <w:tcPr>
                  <w:tcW w:w="786" w:type="dxa"/>
                  <w:vAlign w:val="center"/>
                </w:tcPr>
                <w:p>
                  <w:pPr>
                    <w:topLinePunct/>
                    <w:snapToGrid w:val="0"/>
                    <w:jc w:val="center"/>
                    <w:rPr>
                      <w:color w:val="auto"/>
                      <w:sz w:val="21"/>
                      <w:szCs w:val="21"/>
                      <w:highlight w:val="none"/>
                    </w:rPr>
                  </w:pPr>
                  <w:r>
                    <w:rPr>
                      <w:rFonts w:hint="default" w:ascii="Times New Roman" w:hAnsi="Times New Roman" w:cs="Times New Roman"/>
                      <w:color w:val="auto"/>
                      <w:sz w:val="21"/>
                      <w:szCs w:val="21"/>
                      <w:highlight w:val="none"/>
                    </w:rPr>
                    <w:t>HW49</w:t>
                  </w:r>
                </w:p>
              </w:tc>
              <w:tc>
                <w:tcPr>
                  <w:tcW w:w="824" w:type="dxa"/>
                  <w:vAlign w:val="center"/>
                </w:tcPr>
                <w:p>
                  <w:pPr>
                    <w:jc w:val="center"/>
                    <w:rPr>
                      <w:color w:val="auto"/>
                      <w:sz w:val="21"/>
                      <w:szCs w:val="21"/>
                      <w:highlight w:val="none"/>
                    </w:rPr>
                  </w:pPr>
                  <w:r>
                    <w:rPr>
                      <w:rFonts w:hint="default" w:ascii="Times New Roman" w:hAnsi="Times New Roman" w:cs="Times New Roman"/>
                      <w:color w:val="auto"/>
                      <w:sz w:val="21"/>
                      <w:szCs w:val="21"/>
                      <w:highlight w:val="none"/>
                      <w:shd w:val="clear" w:color="auto" w:fill="FFFFFF"/>
                    </w:rPr>
                    <w:t>900-039-49</w:t>
                  </w:r>
                </w:p>
              </w:tc>
              <w:tc>
                <w:tcPr>
                  <w:tcW w:w="811" w:type="dxa"/>
                  <w:vAlign w:val="center"/>
                </w:tcPr>
                <w:p>
                  <w:pPr>
                    <w:pStyle w:val="76"/>
                    <w:jc w:val="center"/>
                    <w:rPr>
                      <w:color w:val="auto"/>
                      <w:sz w:val="21"/>
                      <w:szCs w:val="21"/>
                      <w:highlight w:val="none"/>
                    </w:rPr>
                  </w:pPr>
                  <w:r>
                    <w:rPr>
                      <w:rFonts w:hint="eastAsia" w:ascii="Times New Roman" w:cs="Times New Roman"/>
                      <w:color w:val="auto"/>
                      <w:sz w:val="21"/>
                      <w:szCs w:val="21"/>
                      <w:highlight w:val="none"/>
                      <w:lang w:val="en-US" w:eastAsia="zh-CN"/>
                    </w:rPr>
                    <w:t>6.89</w:t>
                  </w:r>
                </w:p>
              </w:tc>
              <w:tc>
                <w:tcPr>
                  <w:tcW w:w="699" w:type="dxa"/>
                  <w:vAlign w:val="center"/>
                </w:tcPr>
                <w:p>
                  <w:pPr>
                    <w:pStyle w:val="76"/>
                    <w:jc w:val="center"/>
                    <w:rPr>
                      <w:color w:val="auto"/>
                      <w:sz w:val="21"/>
                      <w:szCs w:val="21"/>
                      <w:highlight w:val="none"/>
                    </w:rPr>
                  </w:pPr>
                  <w:r>
                    <w:rPr>
                      <w:rFonts w:hint="default" w:ascii="Times New Roman" w:hAnsi="Times New Roman" w:cs="Times New Roman"/>
                      <w:color w:val="auto"/>
                      <w:sz w:val="21"/>
                      <w:szCs w:val="21"/>
                      <w:highlight w:val="none"/>
                      <w:lang w:val="en-US" w:eastAsia="zh-CN"/>
                    </w:rPr>
                    <w:t>废气处理</w:t>
                  </w:r>
                </w:p>
              </w:tc>
              <w:tc>
                <w:tcPr>
                  <w:tcW w:w="699" w:type="dxa"/>
                  <w:vAlign w:val="center"/>
                </w:tcPr>
                <w:p>
                  <w:pPr>
                    <w:jc w:val="center"/>
                    <w:rPr>
                      <w:color w:val="auto"/>
                      <w:sz w:val="21"/>
                      <w:szCs w:val="21"/>
                      <w:highlight w:val="none"/>
                    </w:rPr>
                  </w:pPr>
                  <w:r>
                    <w:rPr>
                      <w:rFonts w:hint="eastAsia" w:cs="Times New Roman"/>
                      <w:color w:val="auto"/>
                      <w:sz w:val="21"/>
                      <w:szCs w:val="21"/>
                      <w:highlight w:val="none"/>
                      <w:lang w:val="en-US" w:eastAsia="zh-CN"/>
                    </w:rPr>
                    <w:t>6.89</w:t>
                  </w:r>
                </w:p>
              </w:tc>
              <w:tc>
                <w:tcPr>
                  <w:tcW w:w="61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0</w:t>
                  </w:r>
                </w:p>
              </w:tc>
              <w:tc>
                <w:tcPr>
                  <w:tcW w:w="649" w:type="dxa"/>
                  <w:vAlign w:val="center"/>
                </w:tcPr>
                <w:p>
                  <w:pPr>
                    <w:jc w:val="center"/>
                    <w:rPr>
                      <w:rFonts w:hint="eastAsia" w:eastAsia="宋体"/>
                      <w:color w:val="auto"/>
                      <w:sz w:val="21"/>
                      <w:szCs w:val="21"/>
                      <w:highlight w:val="none"/>
                      <w:lang w:eastAsia="zh-CN"/>
                    </w:rPr>
                  </w:pPr>
                  <w:r>
                    <w:rPr>
                      <w:rFonts w:hint="default" w:ascii="Times New Roman" w:hAnsi="Times New Roman" w:cs="Times New Roman"/>
                      <w:color w:val="auto"/>
                      <w:sz w:val="21"/>
                      <w:szCs w:val="21"/>
                      <w:highlight w:val="none"/>
                      <w:lang w:val="en-US" w:eastAsia="zh-CN"/>
                    </w:rPr>
                    <w:t>VOCs</w:t>
                  </w:r>
                </w:p>
              </w:tc>
              <w:tc>
                <w:tcPr>
                  <w:tcW w:w="666" w:type="dxa"/>
                  <w:vAlign w:val="center"/>
                </w:tcPr>
                <w:p>
                  <w:pPr>
                    <w:jc w:val="center"/>
                    <w:rPr>
                      <w:color w:val="auto"/>
                      <w:sz w:val="21"/>
                      <w:szCs w:val="21"/>
                      <w:highlight w:val="none"/>
                    </w:rPr>
                  </w:pPr>
                  <w:r>
                    <w:rPr>
                      <w:color w:val="auto"/>
                      <w:sz w:val="21"/>
                      <w:szCs w:val="21"/>
                      <w:highlight w:val="none"/>
                    </w:rPr>
                    <w:t>固态</w:t>
                  </w:r>
                </w:p>
              </w:tc>
              <w:tc>
                <w:tcPr>
                  <w:tcW w:w="587" w:type="dxa"/>
                  <w:vAlign w:val="center"/>
                </w:tcPr>
                <w:p>
                  <w:pPr>
                    <w:jc w:val="center"/>
                    <w:rPr>
                      <w:color w:val="auto"/>
                      <w:sz w:val="21"/>
                      <w:szCs w:val="21"/>
                      <w:highlight w:val="none"/>
                    </w:rPr>
                  </w:pPr>
                  <w:r>
                    <w:rPr>
                      <w:color w:val="auto"/>
                      <w:sz w:val="21"/>
                      <w:szCs w:val="21"/>
                      <w:highlight w:val="none"/>
                    </w:rPr>
                    <w:t>间断</w:t>
                  </w:r>
                </w:p>
              </w:tc>
              <w:tc>
                <w:tcPr>
                  <w:tcW w:w="563" w:type="dxa"/>
                  <w:vAlign w:val="center"/>
                </w:tcPr>
                <w:p>
                  <w:pPr>
                    <w:jc w:val="center"/>
                    <w:rPr>
                      <w:color w:val="auto"/>
                      <w:sz w:val="21"/>
                      <w:szCs w:val="21"/>
                      <w:highlight w:val="none"/>
                    </w:rPr>
                  </w:pPr>
                  <w:r>
                    <w:rPr>
                      <w:color w:val="auto"/>
                      <w:sz w:val="21"/>
                      <w:szCs w:val="21"/>
                      <w:highlight w:val="none"/>
                    </w:rPr>
                    <w:t>T</w:t>
                  </w:r>
                </w:p>
              </w:tc>
              <w:tc>
                <w:tcPr>
                  <w:tcW w:w="1200" w:type="dxa"/>
                  <w:vAlign w:val="center"/>
                </w:tcPr>
                <w:p>
                  <w:pPr>
                    <w:jc w:val="center"/>
                    <w:rPr>
                      <w:color w:val="auto"/>
                      <w:sz w:val="21"/>
                      <w:szCs w:val="21"/>
                      <w:highlight w:val="none"/>
                    </w:rPr>
                  </w:pPr>
                  <w:r>
                    <w:rPr>
                      <w:color w:val="auto"/>
                      <w:sz w:val="21"/>
                      <w:szCs w:val="21"/>
                      <w:highlight w:val="none"/>
                    </w:rPr>
                    <w:t>暂存于危废暂存间，分类存放，委托有资质的单位处置</w:t>
                  </w:r>
                </w:p>
              </w:tc>
            </w:tr>
          </w:tbl>
          <w:p>
            <w:pPr>
              <w:adjustRightInd w:val="0"/>
              <w:jc w:val="center"/>
              <w:rPr>
                <w:b/>
                <w:bCs/>
                <w:color w:val="000000"/>
                <w:sz w:val="21"/>
                <w:szCs w:val="21"/>
                <w:highlight w:val="none"/>
              </w:rPr>
            </w:pPr>
            <w:r>
              <w:rPr>
                <w:b/>
                <w:bCs/>
                <w:color w:val="000000"/>
                <w:sz w:val="21"/>
                <w:szCs w:val="21"/>
                <w:highlight w:val="none"/>
              </w:rPr>
              <w:t>表4-1</w:t>
            </w:r>
            <w:r>
              <w:rPr>
                <w:rFonts w:hint="eastAsia"/>
                <w:b/>
                <w:bCs/>
                <w:color w:val="000000"/>
                <w:sz w:val="21"/>
                <w:szCs w:val="21"/>
                <w:highlight w:val="none"/>
                <w:lang w:val="en-US" w:eastAsia="zh-CN"/>
              </w:rPr>
              <w:t>3</w:t>
            </w:r>
            <w:r>
              <w:rPr>
                <w:b/>
                <w:bCs/>
                <w:color w:val="000000"/>
                <w:sz w:val="21"/>
                <w:szCs w:val="21"/>
                <w:highlight w:val="none"/>
              </w:rPr>
              <w:t xml:space="preserve"> 危险废物贮存场所基本情况表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1389"/>
              <w:gridCol w:w="760"/>
              <w:gridCol w:w="1408"/>
              <w:gridCol w:w="1034"/>
              <w:gridCol w:w="1039"/>
              <w:gridCol w:w="1161"/>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14" w:type="pct"/>
                  <w:vAlign w:val="center"/>
                </w:tcPr>
                <w:p>
                  <w:pPr>
                    <w:snapToGrid w:val="0"/>
                    <w:jc w:val="center"/>
                    <w:rPr>
                      <w:b/>
                      <w:bCs/>
                      <w:color w:val="000000"/>
                      <w:kern w:val="0"/>
                      <w:szCs w:val="21"/>
                      <w:highlight w:val="none"/>
                    </w:rPr>
                  </w:pPr>
                  <w:r>
                    <w:rPr>
                      <w:b/>
                      <w:bCs/>
                      <w:color w:val="000000"/>
                      <w:kern w:val="0"/>
                      <w:szCs w:val="21"/>
                      <w:highlight w:val="none"/>
                    </w:rPr>
                    <w:t>贮存场所名称</w:t>
                  </w:r>
                </w:p>
              </w:tc>
              <w:tc>
                <w:tcPr>
                  <w:tcW w:w="787" w:type="pct"/>
                  <w:vAlign w:val="center"/>
                </w:tcPr>
                <w:p>
                  <w:pPr>
                    <w:snapToGrid w:val="0"/>
                    <w:jc w:val="center"/>
                    <w:rPr>
                      <w:b/>
                      <w:bCs/>
                      <w:color w:val="000000"/>
                      <w:kern w:val="0"/>
                      <w:szCs w:val="21"/>
                      <w:highlight w:val="none"/>
                    </w:rPr>
                  </w:pPr>
                  <w:r>
                    <w:rPr>
                      <w:b/>
                      <w:bCs/>
                      <w:color w:val="000000"/>
                      <w:kern w:val="0"/>
                      <w:szCs w:val="21"/>
                      <w:highlight w:val="none"/>
                    </w:rPr>
                    <w:t>危险废物名称</w:t>
                  </w:r>
                </w:p>
              </w:tc>
              <w:tc>
                <w:tcPr>
                  <w:tcW w:w="431" w:type="pct"/>
                  <w:vAlign w:val="center"/>
                </w:tcPr>
                <w:p>
                  <w:pPr>
                    <w:snapToGrid w:val="0"/>
                    <w:jc w:val="center"/>
                    <w:rPr>
                      <w:b/>
                      <w:bCs/>
                      <w:color w:val="000000"/>
                      <w:kern w:val="0"/>
                      <w:szCs w:val="21"/>
                      <w:highlight w:val="none"/>
                    </w:rPr>
                  </w:pPr>
                  <w:r>
                    <w:rPr>
                      <w:b/>
                      <w:bCs/>
                      <w:color w:val="000000"/>
                      <w:kern w:val="0"/>
                      <w:szCs w:val="21"/>
                      <w:highlight w:val="none"/>
                    </w:rPr>
                    <w:t>危险废物类别</w:t>
                  </w:r>
                </w:p>
              </w:tc>
              <w:tc>
                <w:tcPr>
                  <w:tcW w:w="798" w:type="pct"/>
                  <w:vAlign w:val="center"/>
                </w:tcPr>
                <w:p>
                  <w:pPr>
                    <w:snapToGrid w:val="0"/>
                    <w:jc w:val="center"/>
                    <w:rPr>
                      <w:b/>
                      <w:bCs/>
                      <w:color w:val="000000"/>
                      <w:kern w:val="0"/>
                      <w:szCs w:val="21"/>
                      <w:highlight w:val="none"/>
                    </w:rPr>
                  </w:pPr>
                  <w:r>
                    <w:rPr>
                      <w:b/>
                      <w:bCs/>
                      <w:color w:val="000000"/>
                      <w:kern w:val="0"/>
                      <w:szCs w:val="21"/>
                      <w:highlight w:val="none"/>
                    </w:rPr>
                    <w:t>危险废物代码</w:t>
                  </w:r>
                </w:p>
              </w:tc>
              <w:tc>
                <w:tcPr>
                  <w:tcW w:w="586" w:type="pct"/>
                  <w:vAlign w:val="center"/>
                </w:tcPr>
                <w:p>
                  <w:pPr>
                    <w:snapToGrid w:val="0"/>
                    <w:jc w:val="center"/>
                    <w:rPr>
                      <w:b/>
                      <w:bCs/>
                      <w:color w:val="000000"/>
                      <w:kern w:val="0"/>
                      <w:szCs w:val="21"/>
                      <w:highlight w:val="none"/>
                    </w:rPr>
                  </w:pPr>
                  <w:r>
                    <w:rPr>
                      <w:b/>
                      <w:bCs/>
                      <w:color w:val="000000"/>
                      <w:kern w:val="0"/>
                      <w:szCs w:val="21"/>
                      <w:highlight w:val="none"/>
                    </w:rPr>
                    <w:t>位置</w:t>
                  </w:r>
                </w:p>
              </w:tc>
              <w:tc>
                <w:tcPr>
                  <w:tcW w:w="589" w:type="pct"/>
                  <w:vAlign w:val="center"/>
                </w:tcPr>
                <w:p>
                  <w:pPr>
                    <w:snapToGrid w:val="0"/>
                    <w:jc w:val="center"/>
                    <w:rPr>
                      <w:b/>
                      <w:bCs/>
                      <w:color w:val="000000"/>
                      <w:kern w:val="0"/>
                      <w:szCs w:val="21"/>
                      <w:highlight w:val="none"/>
                    </w:rPr>
                  </w:pPr>
                  <w:r>
                    <w:rPr>
                      <w:b/>
                      <w:bCs/>
                      <w:color w:val="000000"/>
                      <w:kern w:val="0"/>
                      <w:szCs w:val="21"/>
                      <w:highlight w:val="none"/>
                    </w:rPr>
                    <w:t>占地面积</w:t>
                  </w:r>
                </w:p>
              </w:tc>
              <w:tc>
                <w:tcPr>
                  <w:tcW w:w="658" w:type="pct"/>
                  <w:vAlign w:val="center"/>
                </w:tcPr>
                <w:p>
                  <w:pPr>
                    <w:snapToGrid w:val="0"/>
                    <w:jc w:val="center"/>
                    <w:rPr>
                      <w:b/>
                      <w:bCs/>
                      <w:color w:val="000000"/>
                      <w:kern w:val="0"/>
                      <w:szCs w:val="21"/>
                      <w:highlight w:val="none"/>
                    </w:rPr>
                  </w:pPr>
                  <w:r>
                    <w:rPr>
                      <w:b/>
                      <w:bCs/>
                      <w:color w:val="000000"/>
                      <w:kern w:val="0"/>
                      <w:szCs w:val="21"/>
                      <w:highlight w:val="none"/>
                    </w:rPr>
                    <w:t>贮存方式</w:t>
                  </w:r>
                </w:p>
              </w:tc>
              <w:tc>
                <w:tcPr>
                  <w:tcW w:w="633" w:type="pct"/>
                  <w:vAlign w:val="center"/>
                </w:tcPr>
                <w:p>
                  <w:pPr>
                    <w:snapToGrid w:val="0"/>
                    <w:jc w:val="center"/>
                    <w:rPr>
                      <w:b/>
                      <w:bCs/>
                      <w:color w:val="000000"/>
                      <w:kern w:val="0"/>
                      <w:szCs w:val="21"/>
                      <w:highlight w:val="none"/>
                    </w:rPr>
                  </w:pPr>
                  <w:r>
                    <w:rPr>
                      <w:b/>
                      <w:bCs/>
                      <w:color w:val="000000"/>
                      <w:kern w:val="0"/>
                      <w:szCs w:val="21"/>
                      <w:highlight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14" w:type="pct"/>
                  <w:vAlign w:val="center"/>
                </w:tcPr>
                <w:p>
                  <w:pPr>
                    <w:pStyle w:val="76"/>
                    <w:jc w:val="center"/>
                    <w:rPr>
                      <w:rFonts w:ascii="Times New Roman" w:cs="Times New Roman"/>
                      <w:sz w:val="21"/>
                      <w:szCs w:val="21"/>
                      <w:highlight w:val="none"/>
                    </w:rPr>
                  </w:pPr>
                  <w:r>
                    <w:rPr>
                      <w:rFonts w:ascii="Times New Roman" w:cs="Times New Roman"/>
                      <w:sz w:val="21"/>
                      <w:szCs w:val="21"/>
                      <w:highlight w:val="none"/>
                    </w:rPr>
                    <w:t>危废间</w:t>
                  </w:r>
                </w:p>
              </w:tc>
              <w:tc>
                <w:tcPr>
                  <w:tcW w:w="787" w:type="pct"/>
                  <w:vAlign w:val="center"/>
                </w:tcPr>
                <w:p>
                  <w:pPr>
                    <w:pStyle w:val="76"/>
                    <w:jc w:val="center"/>
                    <w:rPr>
                      <w:rFonts w:ascii="Times New Roman" w:cs="Times New Roman"/>
                      <w:sz w:val="21"/>
                      <w:szCs w:val="21"/>
                      <w:highlight w:val="none"/>
                    </w:rPr>
                  </w:pPr>
                  <w:r>
                    <w:rPr>
                      <w:rFonts w:hint="default" w:ascii="Times New Roman" w:hAnsi="Times New Roman" w:cs="Times New Roman"/>
                      <w:color w:val="auto"/>
                      <w:sz w:val="21"/>
                      <w:szCs w:val="21"/>
                      <w:highlight w:val="none"/>
                      <w:lang w:val="en-US" w:eastAsia="zh-CN"/>
                    </w:rPr>
                    <w:t>废活性炭</w:t>
                  </w:r>
                </w:p>
              </w:tc>
              <w:tc>
                <w:tcPr>
                  <w:tcW w:w="431" w:type="pct"/>
                  <w:vAlign w:val="center"/>
                </w:tcPr>
                <w:p>
                  <w:pPr>
                    <w:topLinePunct/>
                    <w:snapToGrid w:val="0"/>
                    <w:jc w:val="center"/>
                    <w:rPr>
                      <w:rFonts w:ascii="Times New Roman" w:cs="Times New Roman"/>
                      <w:sz w:val="21"/>
                      <w:szCs w:val="21"/>
                      <w:highlight w:val="none"/>
                    </w:rPr>
                  </w:pPr>
                  <w:r>
                    <w:rPr>
                      <w:rFonts w:hint="default" w:ascii="Times New Roman" w:hAnsi="Times New Roman" w:cs="Times New Roman"/>
                      <w:color w:val="auto"/>
                      <w:sz w:val="21"/>
                      <w:szCs w:val="21"/>
                      <w:highlight w:val="none"/>
                    </w:rPr>
                    <w:t>HW49</w:t>
                  </w:r>
                </w:p>
              </w:tc>
              <w:tc>
                <w:tcPr>
                  <w:tcW w:w="798" w:type="pct"/>
                  <w:vAlign w:val="center"/>
                </w:tcPr>
                <w:p>
                  <w:pPr>
                    <w:jc w:val="center"/>
                    <w:rPr>
                      <w:rFonts w:ascii="Times New Roman" w:cs="Times New Roman"/>
                      <w:sz w:val="21"/>
                      <w:szCs w:val="21"/>
                      <w:highlight w:val="none"/>
                    </w:rPr>
                  </w:pPr>
                  <w:r>
                    <w:rPr>
                      <w:rFonts w:hint="default" w:ascii="Times New Roman" w:hAnsi="Times New Roman" w:cs="Times New Roman"/>
                      <w:color w:val="auto"/>
                      <w:sz w:val="21"/>
                      <w:szCs w:val="21"/>
                      <w:highlight w:val="none"/>
                      <w:shd w:val="clear" w:color="auto" w:fill="FFFFFF"/>
                    </w:rPr>
                    <w:t>900-039-49</w:t>
                  </w:r>
                </w:p>
              </w:tc>
              <w:tc>
                <w:tcPr>
                  <w:tcW w:w="586" w:type="pct"/>
                  <w:vAlign w:val="center"/>
                </w:tcPr>
                <w:p>
                  <w:pPr>
                    <w:pStyle w:val="76"/>
                    <w:jc w:val="center"/>
                    <w:rPr>
                      <w:rFonts w:ascii="Times New Roman" w:cs="Times New Roman"/>
                      <w:sz w:val="21"/>
                      <w:szCs w:val="21"/>
                      <w:highlight w:val="none"/>
                    </w:rPr>
                  </w:pPr>
                  <w:r>
                    <w:rPr>
                      <w:rFonts w:ascii="Times New Roman" w:cs="Times New Roman"/>
                      <w:sz w:val="21"/>
                      <w:szCs w:val="21"/>
                      <w:highlight w:val="none"/>
                    </w:rPr>
                    <w:t>车间西</w:t>
                  </w:r>
                  <w:r>
                    <w:rPr>
                      <w:rFonts w:hint="eastAsia" w:ascii="Times New Roman" w:cs="Times New Roman"/>
                      <w:sz w:val="21"/>
                      <w:szCs w:val="21"/>
                      <w:highlight w:val="none"/>
                      <w:lang w:eastAsia="zh-CN"/>
                    </w:rPr>
                    <w:t>南角</w:t>
                  </w:r>
                </w:p>
              </w:tc>
              <w:tc>
                <w:tcPr>
                  <w:tcW w:w="589" w:type="pct"/>
                  <w:vAlign w:val="center"/>
                </w:tcPr>
                <w:p>
                  <w:pPr>
                    <w:pStyle w:val="76"/>
                    <w:jc w:val="center"/>
                    <w:rPr>
                      <w:rFonts w:ascii="Times New Roman" w:cs="Times New Roman"/>
                      <w:sz w:val="21"/>
                      <w:szCs w:val="21"/>
                      <w:highlight w:val="none"/>
                      <w:vertAlign w:val="superscript"/>
                    </w:rPr>
                  </w:pPr>
                  <w:r>
                    <w:rPr>
                      <w:rFonts w:hint="eastAsia" w:ascii="Times New Roman" w:cs="Times New Roman"/>
                      <w:sz w:val="21"/>
                      <w:szCs w:val="21"/>
                      <w:highlight w:val="none"/>
                      <w:lang w:val="en-US" w:eastAsia="zh-CN"/>
                    </w:rPr>
                    <w:t>30</w:t>
                  </w:r>
                  <w:r>
                    <w:rPr>
                      <w:rFonts w:ascii="Times New Roman" w:cs="Times New Roman"/>
                      <w:sz w:val="21"/>
                      <w:szCs w:val="21"/>
                      <w:highlight w:val="none"/>
                    </w:rPr>
                    <w:t>m</w:t>
                  </w:r>
                  <w:r>
                    <w:rPr>
                      <w:rFonts w:ascii="Times New Roman" w:cs="Times New Roman"/>
                      <w:sz w:val="21"/>
                      <w:szCs w:val="21"/>
                      <w:highlight w:val="none"/>
                      <w:vertAlign w:val="superscript"/>
                    </w:rPr>
                    <w:t>2</w:t>
                  </w:r>
                </w:p>
              </w:tc>
              <w:tc>
                <w:tcPr>
                  <w:tcW w:w="658" w:type="pct"/>
                  <w:vAlign w:val="center"/>
                </w:tcPr>
                <w:p>
                  <w:pPr>
                    <w:pStyle w:val="76"/>
                    <w:jc w:val="center"/>
                    <w:rPr>
                      <w:rFonts w:ascii="Times New Roman" w:cs="Times New Roman"/>
                      <w:sz w:val="21"/>
                      <w:szCs w:val="21"/>
                      <w:highlight w:val="none"/>
                    </w:rPr>
                  </w:pPr>
                  <w:r>
                    <w:rPr>
                      <w:rFonts w:hint="eastAsia" w:ascii="Times New Roman" w:cs="Times New Roman"/>
                      <w:sz w:val="21"/>
                      <w:szCs w:val="21"/>
                      <w:highlight w:val="none"/>
                      <w:lang w:eastAsia="zh-CN"/>
                    </w:rPr>
                    <w:t>袋</w:t>
                  </w:r>
                  <w:r>
                    <w:rPr>
                      <w:rFonts w:ascii="Times New Roman" w:cs="Times New Roman"/>
                      <w:sz w:val="21"/>
                      <w:szCs w:val="21"/>
                      <w:highlight w:val="none"/>
                    </w:rPr>
                    <w:t>装</w:t>
                  </w:r>
                </w:p>
              </w:tc>
              <w:tc>
                <w:tcPr>
                  <w:tcW w:w="633" w:type="pct"/>
                  <w:vAlign w:val="center"/>
                </w:tcPr>
                <w:p>
                  <w:pPr>
                    <w:pStyle w:val="76"/>
                    <w:jc w:val="center"/>
                    <w:rPr>
                      <w:rFonts w:ascii="Times New Roman" w:cs="Times New Roman"/>
                      <w:sz w:val="21"/>
                      <w:szCs w:val="21"/>
                      <w:highlight w:val="none"/>
                    </w:rPr>
                  </w:pPr>
                  <w:r>
                    <w:rPr>
                      <w:rFonts w:ascii="Times New Roman" w:cs="Times New Roman"/>
                      <w:sz w:val="21"/>
                      <w:szCs w:val="21"/>
                      <w:highlight w:val="none"/>
                    </w:rPr>
                    <w:t>≤1年</w:t>
                  </w:r>
                </w:p>
              </w:tc>
            </w:tr>
          </w:tbl>
          <w:p>
            <w:pPr>
              <w:pStyle w:val="6"/>
              <w:adjustRightIn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本项目危险废物产生量为</w:t>
            </w:r>
            <w:r>
              <w:rPr>
                <w:rFonts w:hint="eastAsia" w:cs="Times New Roman"/>
                <w:color w:val="auto"/>
                <w:sz w:val="24"/>
                <w:szCs w:val="24"/>
                <w:highlight w:val="none"/>
                <w:lang w:eastAsia="zh-CN"/>
              </w:rPr>
              <w:t>6.89</w:t>
            </w:r>
            <w:r>
              <w:rPr>
                <w:rFonts w:hint="default" w:ascii="Times New Roman" w:hAnsi="Times New Roman" w:eastAsia="宋体" w:cs="Times New Roman"/>
                <w:color w:val="auto"/>
                <w:sz w:val="24"/>
                <w:szCs w:val="24"/>
                <w:highlight w:val="none"/>
              </w:rPr>
              <w:t>t/a，废活性炭为固态危险废物，暂存于</w:t>
            </w:r>
            <w:r>
              <w:rPr>
                <w:rFonts w:hint="eastAsia" w:cs="Times New Roman"/>
                <w:color w:val="auto"/>
                <w:sz w:val="24"/>
                <w:szCs w:val="24"/>
                <w:highlight w:val="none"/>
                <w:lang w:val="en-US" w:eastAsia="zh-CN"/>
              </w:rPr>
              <w:t>车间</w:t>
            </w:r>
            <w:r>
              <w:rPr>
                <w:rFonts w:hint="default" w:ascii="Times New Roman" w:hAnsi="Times New Roman" w:eastAsia="宋体" w:cs="Times New Roman"/>
                <w:color w:val="auto"/>
                <w:sz w:val="24"/>
                <w:szCs w:val="24"/>
                <w:highlight w:val="none"/>
                <w:lang w:eastAsia="zh-CN"/>
              </w:rPr>
              <w:t>西南</w:t>
            </w:r>
            <w:r>
              <w:rPr>
                <w:rFonts w:hint="eastAsia" w:cs="Times New Roman"/>
                <w:color w:val="auto"/>
                <w:sz w:val="24"/>
                <w:szCs w:val="24"/>
                <w:highlight w:val="none"/>
                <w:lang w:eastAsia="zh-CN"/>
              </w:rPr>
              <w:t>角</w:t>
            </w:r>
            <w:r>
              <w:rPr>
                <w:rFonts w:hint="eastAsia"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w:t>
            </w:r>
            <w:r>
              <w:rPr>
                <w:rFonts w:hint="eastAsia" w:cs="Times New Roman"/>
                <w:color w:val="auto"/>
                <w:sz w:val="24"/>
                <w:szCs w:val="24"/>
                <w:highlight w:val="none"/>
                <w:lang w:eastAsia="zh-CN"/>
              </w:rPr>
              <w:t>间</w:t>
            </w:r>
            <w:r>
              <w:rPr>
                <w:rFonts w:hint="default" w:ascii="Times New Roman" w:hAnsi="Times New Roman" w:eastAsia="宋体" w:cs="Times New Roman"/>
                <w:color w:val="auto"/>
                <w:sz w:val="24"/>
                <w:szCs w:val="24"/>
                <w:highlight w:val="none"/>
              </w:rPr>
              <w:t>内，定期委托有资质单位合理处置</w:t>
            </w:r>
            <w:r>
              <w:rPr>
                <w:rFonts w:hint="default" w:ascii="Times New Roman" w:hAnsi="Times New Roman" w:eastAsia="宋体" w:cs="Times New Roman"/>
                <w:color w:val="auto"/>
                <w:sz w:val="24"/>
                <w:szCs w:val="24"/>
                <w:highlight w:val="none"/>
                <w:lang w:eastAsia="zh-CN"/>
              </w:rPr>
              <w:t>，厂区内危废暂存间占地面积为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，企业危废暂存间须按照《危险废物贮存污染控制标准》（GB18597-2001）标准的进行</w:t>
            </w:r>
            <w:r>
              <w:rPr>
                <w:rFonts w:hint="eastAsia" w:cs="Times New Roman"/>
                <w:color w:val="auto"/>
                <w:sz w:val="24"/>
                <w:szCs w:val="24"/>
                <w:highlight w:val="none"/>
                <w:lang w:val="en-US" w:eastAsia="zh-CN"/>
              </w:rPr>
              <w:t>建设</w:t>
            </w:r>
            <w:r>
              <w:rPr>
                <w:rFonts w:hint="default" w:ascii="Times New Roman" w:hAnsi="Times New Roman" w:eastAsia="宋体" w:cs="Times New Roman"/>
                <w:color w:val="auto"/>
                <w:sz w:val="24"/>
                <w:szCs w:val="24"/>
                <w:highlight w:val="none"/>
              </w:rPr>
              <w:t>。</w:t>
            </w:r>
          </w:p>
          <w:p>
            <w:pPr>
              <w:pStyle w:val="6"/>
              <w:adjustRightInd w:val="0"/>
              <w:spacing w:line="360" w:lineRule="auto"/>
              <w:ind w:firstLine="0" w:firstLineChars="0"/>
              <w:rPr>
                <w:rFonts w:hint="default" w:ascii="Times New Roman" w:hAnsi="Times New Roman" w:cs="Times New Roman"/>
                <w:b/>
                <w:bCs/>
                <w:color w:val="auto"/>
                <w:spacing w:val="-10"/>
                <w:sz w:val="24"/>
                <w:szCs w:val="24"/>
                <w:highlight w:val="none"/>
              </w:rPr>
            </w:pPr>
            <w:r>
              <w:rPr>
                <w:rFonts w:hint="default" w:ascii="Times New Roman" w:hAnsi="Times New Roman" w:cs="Times New Roman"/>
                <w:b/>
                <w:bCs/>
                <w:color w:val="auto"/>
                <w:spacing w:val="-10"/>
                <w:sz w:val="24"/>
                <w:szCs w:val="24"/>
                <w:highlight w:val="none"/>
              </w:rPr>
              <w:t>4.</w:t>
            </w:r>
            <w:r>
              <w:rPr>
                <w:rFonts w:hint="default" w:ascii="Times New Roman" w:hAnsi="Times New Roman" w:cs="Times New Roman"/>
                <w:b/>
                <w:bCs/>
                <w:color w:val="auto"/>
                <w:spacing w:val="-10"/>
                <w:sz w:val="24"/>
                <w:szCs w:val="24"/>
                <w:highlight w:val="none"/>
                <w:lang w:val="en-US" w:eastAsia="zh-CN"/>
              </w:rPr>
              <w:t>2</w:t>
            </w:r>
            <w:r>
              <w:rPr>
                <w:rFonts w:hint="default" w:ascii="Times New Roman" w:hAnsi="Times New Roman" w:cs="Times New Roman"/>
                <w:b/>
                <w:bCs/>
                <w:color w:val="auto"/>
                <w:spacing w:val="-10"/>
                <w:sz w:val="24"/>
                <w:szCs w:val="24"/>
                <w:highlight w:val="none"/>
              </w:rPr>
              <w:t xml:space="preserve"> 固体废物环境管理要求</w:t>
            </w:r>
          </w:p>
          <w:p>
            <w:pPr>
              <w:pStyle w:val="6"/>
              <w:adjustRightInd w:val="0"/>
              <w:spacing w:line="360" w:lineRule="auto"/>
              <w:ind w:firstLine="380"/>
              <w:rPr>
                <w:rFonts w:hint="default" w:ascii="Times New Roman" w:hAnsi="Times New Roman" w:cs="Times New Roman"/>
                <w:bCs/>
                <w:color w:val="auto"/>
                <w:spacing w:val="-10"/>
                <w:sz w:val="24"/>
                <w:szCs w:val="24"/>
                <w:highlight w:val="none"/>
              </w:rPr>
            </w:pPr>
            <w:r>
              <w:rPr>
                <w:rFonts w:hint="default" w:ascii="Times New Roman" w:hAnsi="Times New Roman" w:cs="Times New Roman"/>
                <w:bCs/>
                <w:color w:val="auto"/>
                <w:spacing w:val="-10"/>
                <w:sz w:val="24"/>
                <w:szCs w:val="24"/>
                <w:highlight w:val="none"/>
              </w:rPr>
              <w:t>（1）一般固体废物</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般固体废物执行《一般工业固体废物贮存和填埋污染控制标准》（GB18599-2020）。贮存区采取防风防雨措施，各类固废应分类收集，贮存区按照《环境保护图形标志——固体废物贮存（处置）场》(GB15562.2)的要求设置环保图形标志；指定专人进行日常管理。</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（2）危险废物</w:t>
            </w:r>
          </w:p>
          <w:p>
            <w:pPr>
              <w:pStyle w:val="6"/>
              <w:adjustRightIn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危险废物执行《危险废物贮存污染控制标准》（GB 18597-2001）及修改单中标准（环保部 2013.6.8）。</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①贮存场所</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危废暂存间建设按照《危险废物贮存污染控制标准》（GB18597-2001）及其修改单相关标准要求进行建设。贮存场地进行防渗处理，采用2毫米厚高密度聚乙烯，渗透系数≤10</w:t>
            </w:r>
            <w:r>
              <w:rPr>
                <w:rFonts w:hint="default" w:ascii="Times New Roman" w:hAnsi="Times New Roman" w:cs="Times New Roman"/>
                <w:color w:val="auto"/>
                <w:sz w:val="24"/>
                <w:szCs w:val="24"/>
                <w:highlight w:val="none"/>
                <w:vertAlign w:val="superscript"/>
                <w:lang w:val="zh-CN"/>
              </w:rPr>
              <w:t>-10</w:t>
            </w:r>
            <w:r>
              <w:rPr>
                <w:rFonts w:hint="default" w:ascii="Times New Roman" w:hAnsi="Times New Roman" w:cs="Times New Roman"/>
                <w:color w:val="auto"/>
                <w:sz w:val="24"/>
                <w:szCs w:val="24"/>
                <w:highlight w:val="none"/>
                <w:lang w:val="zh-CN"/>
              </w:rPr>
              <w:t>cm/s，且做到防雨和防晒。</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项目危险废物贮存采取独自通过桶装/袋装密闭储存。危废库内设置危废分区和桶架，并设置废液收集导流措施，用于各自桶装危废堆存。禁止混合收集、贮存、运输、处置性质不相容而未经安全性处置的危险废物。</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对危险废物的容器和包装物以及收集、贮存处置危险废物的设施、场所，必须设置危险废物识别标志、标识，危险废物容器和包装袋上设立危险废物明显标志。处置单位应及时将固废运走，危险废物在厂内存储不超过一年。</w:t>
            </w:r>
          </w:p>
          <w:p>
            <w:pPr>
              <w:pStyle w:val="6"/>
              <w:adjustRightInd w:val="0"/>
              <w:spacing w:line="360" w:lineRule="auto"/>
              <w:ind w:left="0" w:leftChars="0" w:firstLine="0" w:firstLineChars="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危险废物暂存场所（危废间）应满足“四防”（防风、防雨、防晒、防渗漏）要求，采取防渗措施和渗漏收集措施，并设置警示标示。在采取严格防治措施的前提下，危险废物贮存场所不会造成不利环境影响。</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②运输过程</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本项目危险废物产生及贮存场、运输通道均已采取硬化和防腐防渗措施，因此危险废物从产生工艺环节运输到暂存场所的过程中产生散落和泄漏均会将影响控制在厂区内，不会对周边环境敏感点及地下水环境产生不利影响。</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③委托利用或者处置</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企业需建立完善危险废物管理台账，如实记录危险废物贮存、利用、处置相关情况，制定危险废物管理计划并报环保局备案，如实申报危险废物种类、产生量、流向、贮存、处置等有关情况。</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危险废物委托必须委托具有相应危险废物经营资质的单位利用处置，签订委托处理协议，危险废物转移严格执行《危险废物转移管理办法》。</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本项目危险废物均委托有资质的单位进行处置，不会产生显著的环境影响。</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综上分析，拟建项目运营期内严格落实本此评价提出的各项固废处理处置措施后，一般固体废物可满足</w:t>
            </w:r>
            <w:r>
              <w:rPr>
                <w:rFonts w:hint="default" w:ascii="Times New Roman" w:hAnsi="Times New Roman" w:cs="Times New Roman"/>
                <w:color w:val="auto"/>
                <w:sz w:val="24"/>
                <w:szCs w:val="24"/>
                <w:highlight w:val="none"/>
              </w:rPr>
              <w:t>《一般工业固体废物贮存和填埋污染控制标准》(GB18599-2020)</w:t>
            </w:r>
            <w:r>
              <w:rPr>
                <w:rFonts w:hint="default" w:ascii="Times New Roman" w:hAnsi="Times New Roman" w:cs="Times New Roman"/>
                <w:color w:val="auto"/>
                <w:sz w:val="24"/>
                <w:szCs w:val="24"/>
                <w:highlight w:val="none"/>
                <w:lang w:val="zh-CN"/>
              </w:rPr>
              <w:t>中的相应规定；危险废物可满足《危险废物贮存污染控制标准》（GB18597-2001）及其修改单（环境保护部公告[2013]36号）中的相应规定，对周围环境影响不大。</w:t>
            </w:r>
          </w:p>
          <w:p>
            <w:pPr>
              <w:pStyle w:val="6"/>
              <w:adjustRightInd w:val="0"/>
              <w:spacing w:line="360" w:lineRule="auto"/>
              <w:ind w:firstLine="0" w:firstLineChars="0"/>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5.2污染防治措施</w:t>
            </w:r>
          </w:p>
          <w:p>
            <w:pPr>
              <w:pStyle w:val="6"/>
              <w:adjustRightInd w:val="0"/>
              <w:spacing w:line="360" w:lineRule="auto"/>
              <w:rPr>
                <w:rFonts w:hint="default" w:ascii="Times New Roman" w:hAnsi="Times New Roman" w:cs="Times New Roman"/>
                <w:bCs/>
                <w:sz w:val="24"/>
                <w:szCs w:val="24"/>
                <w:highlight w:val="none"/>
                <w:lang w:val="zh-CN"/>
              </w:rPr>
            </w:pPr>
            <w:r>
              <w:rPr>
                <w:rFonts w:hint="default" w:ascii="Times New Roman" w:hAnsi="Times New Roman" w:cs="Times New Roman"/>
                <w:bCs/>
                <w:sz w:val="24"/>
                <w:szCs w:val="24"/>
                <w:highlight w:val="none"/>
                <w:lang w:val="zh-CN"/>
              </w:rPr>
              <w:t>本项目危废暂存间</w:t>
            </w:r>
            <w:r>
              <w:rPr>
                <w:rFonts w:hint="default" w:ascii="Times New Roman" w:hAnsi="Times New Roman" w:cs="Times New Roman"/>
                <w:bCs/>
                <w:sz w:val="24"/>
                <w:szCs w:val="24"/>
                <w:highlight w:val="none"/>
                <w:lang w:val="en-US" w:eastAsia="zh-CN"/>
              </w:rPr>
              <w:t>应进行重点防渗，</w:t>
            </w:r>
            <w:r>
              <w:rPr>
                <w:rFonts w:hint="default" w:ascii="Times New Roman" w:hAnsi="Times New Roman" w:cs="Times New Roman"/>
                <w:sz w:val="24"/>
                <w:szCs w:val="24"/>
                <w:highlight w:val="none"/>
              </w:rPr>
              <w:t>生产车间</w:t>
            </w:r>
            <w:r>
              <w:rPr>
                <w:rFonts w:hint="default" w:ascii="Times New Roman" w:hAnsi="Times New Roman" w:cs="Times New Roman"/>
                <w:sz w:val="24"/>
                <w:szCs w:val="24"/>
                <w:highlight w:val="none"/>
                <w:lang w:eastAsia="zh-CN"/>
              </w:rPr>
              <w:t>、</w:t>
            </w:r>
            <w:r>
              <w:rPr>
                <w:rFonts w:hint="default" w:ascii="Times New Roman" w:hAnsi="Times New Roman" w:cs="Times New Roman"/>
                <w:color w:val="auto"/>
                <w:sz w:val="24"/>
                <w:szCs w:val="24"/>
                <w:highlight w:val="none"/>
                <w:lang w:val="zh-CN"/>
              </w:rPr>
              <w:t>仓库</w:t>
            </w:r>
            <w:r>
              <w:rPr>
                <w:rFonts w:hint="default" w:ascii="Times New Roman" w:hAnsi="Times New Roman" w:cs="Times New Roman"/>
                <w:color w:val="auto"/>
                <w:sz w:val="24"/>
                <w:szCs w:val="24"/>
                <w:highlight w:val="none"/>
                <w:lang w:val="en-US" w:eastAsia="zh-CN"/>
              </w:rPr>
              <w:t>进行一般防渗，办公室进行简单防渗</w:t>
            </w:r>
            <w:r>
              <w:rPr>
                <w:rFonts w:hint="default" w:ascii="Times New Roman" w:hAnsi="Times New Roman" w:cs="Times New Roman"/>
                <w:bCs/>
                <w:sz w:val="24"/>
                <w:szCs w:val="24"/>
                <w:highlight w:val="none"/>
                <w:lang w:val="zh-CN"/>
              </w:rPr>
              <w:t>。</w:t>
            </w:r>
            <w:r>
              <w:rPr>
                <w:rFonts w:hint="default" w:ascii="Times New Roman" w:hAnsi="Times New Roman" w:cs="Times New Roman"/>
                <w:sz w:val="24"/>
                <w:szCs w:val="24"/>
                <w:highlight w:val="none"/>
              </w:rPr>
              <w:t>因此，</w:t>
            </w:r>
            <w:r>
              <w:rPr>
                <w:rFonts w:hint="default" w:ascii="Times New Roman" w:hAnsi="Times New Roman" w:cs="Times New Roman"/>
                <w:sz w:val="24"/>
                <w:szCs w:val="24"/>
                <w:highlight w:val="none"/>
                <w:lang w:val="zh-CN"/>
              </w:rPr>
              <w:t>项目正常工况下无区域地下水、土壤产生污染的重大污染源、污染物及污染途径。</w:t>
            </w:r>
            <w:r>
              <w:rPr>
                <w:rFonts w:hint="default" w:ascii="Times New Roman" w:hAnsi="Times New Roman" w:cs="Times New Roman"/>
                <w:bCs/>
                <w:sz w:val="24"/>
                <w:szCs w:val="24"/>
                <w:highlight w:val="none"/>
                <w:lang w:val="zh-CN"/>
              </w:rPr>
              <w:t>为防止项目建成运营后对周围地下水、土壤环境造成污染，企业应加强对生产设施的管理和维护；制定环境管理制度，强化风险防范意识，加强环境保护工作。</w:t>
            </w:r>
          </w:p>
          <w:p>
            <w:pPr>
              <w:adjustRightInd w:val="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表4-</w:t>
            </w:r>
            <w:r>
              <w:rPr>
                <w:rFonts w:hint="default" w:ascii="Times New Roman" w:hAnsi="Times New Roman" w:cs="Times New Roman"/>
                <w:b/>
                <w:bCs/>
                <w:sz w:val="21"/>
                <w:szCs w:val="21"/>
                <w:highlight w:val="none"/>
                <w:lang w:val="en-US" w:eastAsia="zh-CN"/>
              </w:rPr>
              <w:t>13</w:t>
            </w:r>
            <w:r>
              <w:rPr>
                <w:rFonts w:hint="default" w:ascii="Times New Roman" w:hAnsi="Times New Roman" w:cs="Times New Roman"/>
                <w:b/>
                <w:bCs/>
                <w:sz w:val="21"/>
                <w:szCs w:val="21"/>
                <w:highlight w:val="none"/>
              </w:rPr>
              <w:t xml:space="preserve">  </w:t>
            </w:r>
            <w:r>
              <w:rPr>
                <w:rFonts w:hint="default" w:ascii="Times New Roman" w:hAnsi="Times New Roman" w:cs="Times New Roman"/>
                <w:b/>
                <w:bCs/>
                <w:sz w:val="21"/>
                <w:szCs w:val="21"/>
                <w:highlight w:val="none"/>
                <w:lang w:val="en-US" w:eastAsia="zh-CN"/>
              </w:rPr>
              <w:t>本</w:t>
            </w:r>
            <w:r>
              <w:rPr>
                <w:rFonts w:hint="default" w:ascii="Times New Roman" w:hAnsi="Times New Roman" w:cs="Times New Roman"/>
                <w:b/>
                <w:bCs/>
                <w:sz w:val="21"/>
                <w:szCs w:val="21"/>
                <w:highlight w:val="none"/>
              </w:rPr>
              <w:t>项目污染区划分及防渗等级一览表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679"/>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03" w:type="pct"/>
                  <w:noWrap w:val="0"/>
                  <w:vAlign w:val="center"/>
                </w:tcPr>
                <w:p>
                  <w:pPr>
                    <w:topLinePunct/>
                    <w:adjustRightInd w:val="0"/>
                    <w:snapToGrid w:val="0"/>
                    <w:jc w:val="center"/>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rPr>
                    <w:t>分区</w:t>
                  </w:r>
                </w:p>
              </w:tc>
              <w:tc>
                <w:tcPr>
                  <w:tcW w:w="952" w:type="pct"/>
                  <w:noWrap w:val="0"/>
                  <w:vAlign w:val="center"/>
                </w:tcPr>
                <w:p>
                  <w:pPr>
                    <w:topLinePunct/>
                    <w:adjustRightInd w:val="0"/>
                    <w:snapToGrid w:val="0"/>
                    <w:jc w:val="center"/>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rPr>
                    <w:t>厂内分区</w:t>
                  </w:r>
                </w:p>
              </w:tc>
              <w:tc>
                <w:tcPr>
                  <w:tcW w:w="3243" w:type="pct"/>
                  <w:noWrap w:val="0"/>
                  <w:vAlign w:val="center"/>
                </w:tcPr>
                <w:p>
                  <w:pPr>
                    <w:topLinePunct/>
                    <w:adjustRightInd w:val="0"/>
                    <w:snapToGrid w:val="0"/>
                    <w:jc w:val="center"/>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pct"/>
                  <w:noWrap w:val="0"/>
                  <w:vAlign w:val="center"/>
                </w:tcPr>
                <w:p>
                  <w:pPr>
                    <w:topLinePunct/>
                    <w:adjustRightInd w:val="0"/>
                    <w:snapToGrid w:val="0"/>
                    <w:jc w:val="center"/>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简单防渗区</w:t>
                  </w:r>
                </w:p>
              </w:tc>
              <w:tc>
                <w:tcPr>
                  <w:tcW w:w="952" w:type="pct"/>
                  <w:noWrap w:val="0"/>
                  <w:vAlign w:val="center"/>
                </w:tcPr>
                <w:p>
                  <w:pPr>
                    <w:topLinePunct/>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w:t>
                  </w:r>
                </w:p>
              </w:tc>
              <w:tc>
                <w:tcPr>
                  <w:tcW w:w="3243" w:type="pct"/>
                  <w:noWrap w:val="0"/>
                  <w:vAlign w:val="center"/>
                </w:tcPr>
                <w:p>
                  <w:pPr>
                    <w:topLinePunct/>
                    <w:adjustRightInd w:val="0"/>
                    <w:snapToGrid w:val="0"/>
                    <w:jc w:val="center"/>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03" w:type="pct"/>
                  <w:noWrap w:val="0"/>
                  <w:vAlign w:val="center"/>
                </w:tcPr>
                <w:p>
                  <w:pPr>
                    <w:topLinePunct/>
                    <w:adjustRightInd w:val="0"/>
                    <w:snapToGrid w:val="0"/>
                    <w:jc w:val="center"/>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一般防渗区</w:t>
                  </w:r>
                </w:p>
              </w:tc>
              <w:tc>
                <w:tcPr>
                  <w:tcW w:w="952" w:type="pct"/>
                  <w:noWrap w:val="0"/>
                  <w:vAlign w:val="center"/>
                </w:tcPr>
                <w:p>
                  <w:pPr>
                    <w:topLinePunct/>
                    <w:adjustRightInd w:val="0"/>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生产车间</w:t>
                  </w:r>
                  <w:r>
                    <w:rPr>
                      <w:rFonts w:hint="default" w:ascii="Times New Roman" w:hAnsi="Times New Roman" w:cs="Times New Roman"/>
                      <w:sz w:val="21"/>
                      <w:szCs w:val="21"/>
                      <w:highlight w:val="none"/>
                      <w:lang w:eastAsia="zh-CN"/>
                    </w:rPr>
                    <w:t>、</w:t>
                  </w:r>
                  <w:r>
                    <w:rPr>
                      <w:rFonts w:hint="default" w:ascii="Times New Roman" w:hAnsi="Times New Roman" w:cs="Times New Roman"/>
                      <w:color w:val="auto"/>
                      <w:sz w:val="21"/>
                      <w:szCs w:val="21"/>
                      <w:highlight w:val="none"/>
                      <w:lang w:val="zh-CN"/>
                    </w:rPr>
                    <w:t>仓库</w:t>
                  </w:r>
                </w:p>
              </w:tc>
              <w:tc>
                <w:tcPr>
                  <w:tcW w:w="3243" w:type="pct"/>
                  <w:noWrap w:val="0"/>
                  <w:vAlign w:val="center"/>
                </w:tcPr>
                <w:p>
                  <w:pPr>
                    <w:topLinePunct/>
                    <w:adjustRightInd w:val="0"/>
                    <w:snapToGrid w:val="0"/>
                    <w:jc w:val="center"/>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应不低于1.5m厚渗透系数为1.0×10</w:t>
                  </w:r>
                  <w:r>
                    <w:rPr>
                      <w:rFonts w:hint="default" w:ascii="Times New Roman" w:hAnsi="Times New Roman" w:cs="Times New Roman"/>
                      <w:sz w:val="21"/>
                      <w:szCs w:val="21"/>
                      <w:highlight w:val="none"/>
                      <w:vertAlign w:val="superscript"/>
                    </w:rPr>
                    <w:t>-7</w:t>
                  </w:r>
                  <w:r>
                    <w:rPr>
                      <w:rFonts w:hint="default" w:ascii="Times New Roman" w:hAnsi="Times New Roman" w:cs="Times New Roman"/>
                      <w:sz w:val="21"/>
                      <w:szCs w:val="21"/>
                      <w:highlight w:val="none"/>
                    </w:rPr>
                    <w:t>cm/s的粘土层；该防渗性能要求与《一般工业固体废物储存、处置场污染控制标准》（GB18599-2001）第6.2.1条等效。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pct"/>
                  <w:noWrap w:val="0"/>
                  <w:vAlign w:val="center"/>
                </w:tcPr>
                <w:p>
                  <w:pPr>
                    <w:topLinePunct/>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重点防渗区</w:t>
                  </w:r>
                </w:p>
              </w:tc>
              <w:tc>
                <w:tcPr>
                  <w:tcW w:w="952" w:type="pct"/>
                  <w:noWrap w:val="0"/>
                  <w:vAlign w:val="center"/>
                </w:tcPr>
                <w:p>
                  <w:pPr>
                    <w:topLinePunct/>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危废暂存间</w:t>
                  </w:r>
                </w:p>
              </w:tc>
              <w:tc>
                <w:tcPr>
                  <w:tcW w:w="3243" w:type="pct"/>
                  <w:noWrap w:val="0"/>
                  <w:vAlign w:val="center"/>
                </w:tcPr>
                <w:p>
                  <w:pPr>
                    <w:pStyle w:val="74"/>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防渗层的防渗性能应不低于6.0m厚；渗透系数1.0×10</w:t>
                  </w:r>
                  <w:r>
                    <w:rPr>
                      <w:rFonts w:hint="default" w:ascii="Times New Roman" w:hAnsi="Times New Roman" w:cs="Times New Roman"/>
                      <w:sz w:val="21"/>
                      <w:szCs w:val="21"/>
                      <w:highlight w:val="none"/>
                      <w:vertAlign w:val="superscript"/>
                    </w:rPr>
                    <w:t>-10</w:t>
                  </w:r>
                  <w:r>
                    <w:rPr>
                      <w:rFonts w:hint="default" w:ascii="Times New Roman" w:hAnsi="Times New Roman" w:cs="Times New Roman"/>
                      <w:sz w:val="21"/>
                      <w:szCs w:val="21"/>
                      <w:highlight w:val="none"/>
                    </w:rPr>
                    <w:t>cm/s的黏土层的防渗性能</w:t>
                  </w:r>
                </w:p>
              </w:tc>
            </w:tr>
          </w:tbl>
          <w:p>
            <w:pPr>
              <w:pStyle w:val="6"/>
              <w:adjustRightInd w:val="0"/>
              <w:spacing w:line="360" w:lineRule="auto"/>
              <w:ind w:firstLine="0" w:firstLineChars="0"/>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5.3跟踪监测要求</w:t>
            </w:r>
          </w:p>
          <w:p>
            <w:pPr>
              <w:pStyle w:val="6"/>
              <w:adjustRightInd w:val="0"/>
              <w:spacing w:line="360" w:lineRule="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根据以上分析，本项目正常工况下无污染地下水、土壤环境等重大危险源，且项目500米范围内无地下水集中式饮用水水源和热水、矿泉水、温泉等特殊地下水资源。企业运营期正常工况下不需要针对地下水、土壤环境污染进行跟踪监测。</w:t>
            </w:r>
          </w:p>
          <w:p>
            <w:pPr>
              <w:pStyle w:val="6"/>
              <w:adjustRightInd w:val="0"/>
              <w:spacing w:line="360" w:lineRule="auto"/>
              <w:ind w:firstLine="0" w:firstLineChars="0"/>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6 生态</w:t>
            </w:r>
          </w:p>
          <w:p>
            <w:pPr>
              <w:pStyle w:val="6"/>
              <w:adjustRightInd w:val="0"/>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本项目利用现有已建成车间进行生产，不新增用地，项目不需开展生态环境影响评价。</w:t>
            </w:r>
          </w:p>
          <w:p>
            <w:pPr>
              <w:pStyle w:val="6"/>
              <w:adjustRightInd w:val="0"/>
              <w:spacing w:line="360" w:lineRule="auto"/>
              <w:ind w:firstLine="0" w:firstLineChars="0"/>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7 环境风险</w:t>
            </w:r>
          </w:p>
          <w:p>
            <w:pPr>
              <w:pStyle w:val="6"/>
              <w:adjustRightInd w:val="0"/>
              <w:spacing w:line="360" w:lineRule="auto"/>
              <w:ind w:firstLine="0" w:firstLineChars="0"/>
              <w:rPr>
                <w:b/>
                <w:color w:val="000000" w:themeColor="text1"/>
                <w:sz w:val="24"/>
                <w:highlight w:val="none"/>
                <w:lang w:val="zh-CN"/>
                <w14:textFill>
                  <w14:solidFill>
                    <w14:schemeClr w14:val="tx1"/>
                  </w14:solidFill>
                </w14:textFill>
              </w:rPr>
            </w:pPr>
            <w:r>
              <w:rPr>
                <w:rFonts w:hint="eastAsia"/>
                <w:b/>
                <w:color w:val="000000" w:themeColor="text1"/>
                <w:sz w:val="24"/>
                <w:highlight w:val="none"/>
                <w14:textFill>
                  <w14:solidFill>
                    <w14:schemeClr w14:val="tx1"/>
                  </w14:solidFill>
                </w14:textFill>
              </w:rPr>
              <w:t>7</w:t>
            </w:r>
            <w:r>
              <w:rPr>
                <w:b/>
                <w:color w:val="000000" w:themeColor="text1"/>
                <w:sz w:val="24"/>
                <w:highlight w:val="none"/>
                <w:lang w:val="zh-CN"/>
                <w14:textFill>
                  <w14:solidFill>
                    <w14:schemeClr w14:val="tx1"/>
                  </w14:solidFill>
                </w14:textFill>
              </w:rPr>
              <w:t>.1 环境风险物质及评价等级</w:t>
            </w:r>
          </w:p>
          <w:p>
            <w:pPr>
              <w:snapToGrid w:val="0"/>
              <w:spacing w:line="360" w:lineRule="auto"/>
              <w:ind w:firstLine="48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本项目原辅材料</w:t>
            </w:r>
            <w:r>
              <w:rPr>
                <w:rFonts w:hint="eastAsia"/>
                <w:color w:val="000000" w:themeColor="text1"/>
                <w:sz w:val="24"/>
                <w:highlight w:val="none"/>
                <w:lang w:eastAsia="zh-CN"/>
                <w14:textFill>
                  <w14:solidFill>
                    <w14:schemeClr w14:val="tx1"/>
                  </w14:solidFill>
                </w14:textFill>
              </w:rPr>
              <w:t>为</w:t>
            </w:r>
            <w:r>
              <w:rPr>
                <w:rFonts w:hint="default" w:ascii="Times New Roman" w:hAnsi="Times New Roman" w:cs="Times New Roman"/>
                <w:b w:val="0"/>
                <w:bCs/>
                <w:color w:val="auto"/>
                <w:sz w:val="24"/>
                <w:szCs w:val="24"/>
                <w:highlight w:val="none"/>
                <w:lang w:val="zh-CN"/>
              </w:rPr>
              <w:t>聚乙烯、</w:t>
            </w:r>
            <w:r>
              <w:rPr>
                <w:rFonts w:hint="eastAsia" w:cs="Times New Roman"/>
                <w:b w:val="0"/>
                <w:bCs/>
                <w:color w:val="auto"/>
                <w:sz w:val="24"/>
                <w:szCs w:val="24"/>
                <w:highlight w:val="none"/>
                <w:lang w:val="zh-CN"/>
              </w:rPr>
              <w:t>聚丙烯</w:t>
            </w:r>
            <w:r>
              <w:rPr>
                <w:rFonts w:hint="default" w:ascii="Times New Roman" w:hAnsi="Times New Roman" w:cs="Times New Roman"/>
                <w:b w:val="0"/>
                <w:bCs/>
                <w:color w:val="auto"/>
                <w:sz w:val="24"/>
                <w:szCs w:val="24"/>
                <w:highlight w:val="none"/>
                <w:lang w:val="zh-CN"/>
              </w:rPr>
              <w:t>等</w:t>
            </w:r>
            <w:r>
              <w:rPr>
                <w:rFonts w:hint="eastAsia"/>
                <w:color w:val="000000" w:themeColor="text1"/>
                <w:sz w:val="24"/>
                <w:highlight w:val="none"/>
                <w14:textFill>
                  <w14:solidFill>
                    <w14:schemeClr w14:val="tx1"/>
                  </w14:solidFill>
                </w14:textFill>
              </w:rPr>
              <w:t>，常温下稳定，不分解</w:t>
            </w:r>
            <w:r>
              <w:rPr>
                <w:color w:val="000000" w:themeColor="text1"/>
                <w:sz w:val="24"/>
                <w:highlight w:val="none"/>
                <w14:textFill>
                  <w14:solidFill>
                    <w14:schemeClr w14:val="tx1"/>
                  </w14:solidFill>
                </w14:textFill>
              </w:rPr>
              <w:t>，</w:t>
            </w:r>
            <w:r>
              <w:rPr>
                <w:rFonts w:hint="default" w:ascii="Times New Roman" w:hAnsi="Times New Roman" w:cs="Times New Roman"/>
                <w:b w:val="0"/>
                <w:bCs/>
                <w:color w:val="auto"/>
                <w:sz w:val="24"/>
                <w:szCs w:val="24"/>
                <w:highlight w:val="none"/>
                <w:lang w:val="zh-CN"/>
              </w:rPr>
              <w:t>均不属于《建设项目环境风险评价技术导则》(HJ169-2018)附录A1、《危险化学品重大危险源辨识标准》(GB18218-2018)规定的风险物质</w:t>
            </w:r>
            <w:r>
              <w:rPr>
                <w:rFonts w:hint="eastAsia" w:cs="Times New Roman"/>
                <w:b w:val="0"/>
                <w:bCs/>
                <w:color w:val="auto"/>
                <w:sz w:val="24"/>
                <w:szCs w:val="24"/>
                <w:highlight w:val="none"/>
                <w:lang w:val="zh-CN"/>
              </w:rPr>
              <w:t>。</w:t>
            </w:r>
            <w:r>
              <w:rPr>
                <w:color w:val="000000" w:themeColor="text1"/>
                <w:sz w:val="24"/>
                <w:highlight w:val="none"/>
                <w14:textFill>
                  <w14:solidFill>
                    <w14:schemeClr w14:val="tx1"/>
                  </w14:solidFill>
                </w14:textFill>
              </w:rPr>
              <w:t>参照《建设项目环境风险评价技术导则》（HJ169-2018）表1评价工作等级划分，环境风险潜势为</w:t>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 1 \* ROMAN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I</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t>时，评价工作等级为简单分析。本项目不属于《建设项目环境影响报告表编制技术指南（污染影响类）（试行）》中有毒有害和易燃易爆危险物质存储量超过临界量的建设项目，可不开展专项评价。</w:t>
            </w:r>
          </w:p>
          <w:p>
            <w:pPr>
              <w:pStyle w:val="6"/>
              <w:adjustRightInd w:val="0"/>
              <w:spacing w:line="360" w:lineRule="auto"/>
              <w:ind w:firstLine="0" w:firstLineChars="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 xml:space="preserve"> 风险防范措施</w:t>
            </w:r>
          </w:p>
          <w:p>
            <w:pPr>
              <w:pStyle w:val="10"/>
              <w:spacing w:after="0" w:line="360" w:lineRule="auto"/>
              <w:ind w:left="0" w:leftChars="0"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为了从源头上消除环境风险，企业应进一步加强如下措施：</w:t>
            </w:r>
          </w:p>
          <w:p>
            <w:pPr>
              <w:pStyle w:val="10"/>
              <w:spacing w:after="0" w:line="360" w:lineRule="auto"/>
              <w:ind w:left="0" w:leftChars="0"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严格执行《中华人民共和国消防法》、《建筑设计防火规范》、《仓库防火安全管理规则》有关法规。加强人们的消防意识，杜绝火灾事故的发生。</w:t>
            </w:r>
          </w:p>
          <w:p>
            <w:pPr>
              <w:pStyle w:val="10"/>
              <w:spacing w:after="0" w:line="360" w:lineRule="auto"/>
              <w:ind w:left="0" w:leftChars="0"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遵守操作规程，要保证严格按规程操作，防止造成机械伤害，生产过程中要佩戴安全劳保用品，避免挥发性有机物对人体健康的损害。</w:t>
            </w:r>
          </w:p>
          <w:p>
            <w:pPr>
              <w:pStyle w:val="10"/>
              <w:spacing w:after="0" w:line="360" w:lineRule="auto"/>
              <w:ind w:left="0" w:leftChars="0"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操作人员必须经过专门培训，做到持证上岗，并且严格遵守操作规程。</w:t>
            </w:r>
          </w:p>
          <w:p>
            <w:pPr>
              <w:pStyle w:val="10"/>
              <w:spacing w:after="0" w:line="360" w:lineRule="auto"/>
              <w:ind w:left="0" w:leftChars="0"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严禁烟火，车间内禁止吸烟，加强管理，严格操作规范，制定一系列的防火规章制度；厂内车间应在进口处的明显位置设有醒目的严禁烟火的标志。</w:t>
            </w:r>
          </w:p>
          <w:p>
            <w:pPr>
              <w:pStyle w:val="10"/>
              <w:spacing w:after="0" w:line="360" w:lineRule="auto"/>
              <w:ind w:left="0" w:leftChars="0"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车间内必须有自然通风设施及强制通风设施，保证车间内空气流通。作业场所所有安全通道、门窗向外开启，通道和出入口保持通畅。</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t>建立健全的规章制度，非直接操作人员不得擅自进入车间，严禁烟火，进出车间都要有严格的手续，以免发生意外。</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r>
              <w:rPr>
                <w:color w:val="000000" w:themeColor="text1"/>
                <w:sz w:val="24"/>
                <w:highlight w:val="none"/>
                <w14:textFill>
                  <w14:solidFill>
                    <w14:schemeClr w14:val="tx1"/>
                  </w14:solidFill>
                </w14:textFill>
              </w:rPr>
              <w:t>生产现场设置各种安全标志。按照规范对凡需要迅速发现并引起注意以防发生事故的场所、部位均按要求涂安全色。</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提高认识、完善制度、严格检查。设置安全环保机构，负责全公司的环保安全工作，制定各项安全生产管理制度、严格的生产操作规则和完善的事故应急计划及相应的应急处理手段和设施，同时加强安全教育，以提高职工的安全意识和安全防范能力。</w:t>
            </w:r>
          </w:p>
          <w:p>
            <w:pPr>
              <w:keepNext/>
              <w:keepLines/>
              <w:tabs>
                <w:tab w:val="left" w:pos="7237"/>
              </w:tabs>
              <w:snapToGrid w:val="0"/>
              <w:spacing w:line="360" w:lineRule="auto"/>
              <w:ind w:firstLine="480" w:firstLineChars="200"/>
              <w:contextualSpacing/>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此外，公司应当对施工期、运营期的环保设施与生产设施一起开展安全风险辩识管理。</w:t>
            </w:r>
          </w:p>
          <w:p>
            <w:pPr>
              <w:keepNext/>
              <w:keepLines/>
              <w:tabs>
                <w:tab w:val="left" w:pos="7237"/>
              </w:tabs>
              <w:snapToGrid w:val="0"/>
              <w:spacing w:line="360" w:lineRule="auto"/>
              <w:ind w:firstLine="480" w:firstLineChars="200"/>
              <w:contextualSpacing/>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环保设施和项目定期组织开展安全风险评估和隐患排查；对发现的安全风险隐患建立台账，形成问题隐患清单和整改落实清单，对存在的问题隐患及时有效整改到位；安全风险评估和隐患排查情况、问题整改情况及时报告相关监管部门。</w:t>
            </w:r>
          </w:p>
          <w:p>
            <w:pPr>
              <w:snapToGrid w:val="0"/>
              <w:spacing w:line="360" w:lineRule="auto"/>
              <w:rPr>
                <w:b/>
                <w:bCs/>
                <w:color w:val="000000" w:themeColor="text1"/>
                <w:spacing w:val="-10"/>
                <w:sz w:val="24"/>
                <w:highlight w:val="none"/>
                <w14:textFill>
                  <w14:solidFill>
                    <w14:schemeClr w14:val="tx1"/>
                  </w14:solidFill>
                </w14:textFill>
              </w:rPr>
            </w:pPr>
            <w:r>
              <w:rPr>
                <w:rFonts w:hint="eastAsia"/>
                <w:b/>
                <w:bCs/>
                <w:color w:val="000000" w:themeColor="text1"/>
                <w:spacing w:val="-10"/>
                <w:sz w:val="24"/>
                <w:highlight w:val="none"/>
                <w14:textFill>
                  <w14:solidFill>
                    <w14:schemeClr w14:val="tx1"/>
                  </w14:solidFill>
                </w14:textFill>
              </w:rPr>
              <w:t>7</w:t>
            </w:r>
            <w:r>
              <w:rPr>
                <w:b/>
                <w:bCs/>
                <w:color w:val="000000" w:themeColor="text1"/>
                <w:spacing w:val="-10"/>
                <w:sz w:val="24"/>
                <w:highlight w:val="none"/>
                <w14:textFill>
                  <w14:solidFill>
                    <w14:schemeClr w14:val="tx1"/>
                  </w14:solidFill>
                </w14:textFill>
              </w:rPr>
              <w:t>.</w:t>
            </w:r>
            <w:r>
              <w:rPr>
                <w:rFonts w:hint="eastAsia"/>
                <w:b/>
                <w:bCs/>
                <w:color w:val="000000" w:themeColor="text1"/>
                <w:spacing w:val="-10"/>
                <w:sz w:val="24"/>
                <w:highlight w:val="none"/>
                <w14:textFill>
                  <w14:solidFill>
                    <w14:schemeClr w14:val="tx1"/>
                  </w14:solidFill>
                </w14:textFill>
              </w:rPr>
              <w:t>3</w:t>
            </w:r>
            <w:r>
              <w:rPr>
                <w:b/>
                <w:bCs/>
                <w:color w:val="000000" w:themeColor="text1"/>
                <w:spacing w:val="-10"/>
                <w:sz w:val="24"/>
                <w:highlight w:val="none"/>
                <w14:textFill>
                  <w14:solidFill>
                    <w14:schemeClr w14:val="tx1"/>
                  </w14:solidFill>
                </w14:textFill>
              </w:rPr>
              <w:t xml:space="preserve"> 风险事故应急预案</w:t>
            </w:r>
          </w:p>
          <w:p>
            <w:pPr>
              <w:keepNext/>
              <w:keepLines/>
              <w:tabs>
                <w:tab w:val="left" w:pos="7237"/>
              </w:tabs>
              <w:snapToGrid w:val="0"/>
              <w:spacing w:line="360" w:lineRule="auto"/>
              <w:ind w:firstLine="480" w:firstLineChars="200"/>
              <w:contextualSpacing/>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本次评价以《建设项目环境风险评估技术导则》（HJ169-2018）为指导，制定出本项目的环境应急预案。本项目风险应急预案基本内容见下表。</w:t>
            </w:r>
          </w:p>
          <w:p>
            <w:pPr>
              <w:spacing w:line="360"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表4-</w:t>
            </w:r>
            <w:r>
              <w:rPr>
                <w:rFonts w:hint="eastAsia"/>
                <w:b/>
                <w:color w:val="000000" w:themeColor="text1"/>
                <w:sz w:val="21"/>
                <w:szCs w:val="21"/>
                <w:highlight w:val="none"/>
                <w:lang w:val="en-US" w:eastAsia="zh-CN"/>
                <w14:textFill>
                  <w14:solidFill>
                    <w14:schemeClr w14:val="tx1"/>
                  </w14:solidFill>
                </w14:textFill>
              </w:rPr>
              <w:t>14</w:t>
            </w:r>
            <w:r>
              <w:rPr>
                <w:b/>
                <w:color w:val="000000" w:themeColor="text1"/>
                <w:sz w:val="21"/>
                <w:szCs w:val="21"/>
                <w:highlight w:val="none"/>
                <w14:textFill>
                  <w14:solidFill>
                    <w14:schemeClr w14:val="tx1"/>
                  </w14:solidFill>
                </w14:textFill>
              </w:rPr>
              <w:t xml:space="preserve">  应急预案基本内容</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95"/>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79" w:type="pct"/>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1302" w:type="pct"/>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项目</w:t>
                  </w:r>
                </w:p>
              </w:tc>
              <w:tc>
                <w:tcPr>
                  <w:tcW w:w="3219" w:type="pct"/>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应急计划区</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危险目标：生产车间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应急组织机构、人员</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工厂、地区应急组织机构、人员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3</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预案分级响应条件</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4</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应急救援保障</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5</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报警、通讯联络方式</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6</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应急环境监测、抢险、救援及控制措施</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7</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应急检测、防护措施、清除泄漏措施和器材</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事故现场、邻近区域、控制防火区域，控制和清除污染措施及相应设备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人员紧急撤离、疏散，应急剂量控制、撤离组织计划</w:t>
                  </w:r>
                </w:p>
              </w:tc>
              <w:tc>
                <w:tcPr>
                  <w:tcW w:w="3219" w:type="pct"/>
                  <w:vAlign w:val="center"/>
                </w:tcPr>
                <w:p>
                  <w:pPr>
                    <w:jc w:val="center"/>
                    <w:rPr>
                      <w:bCs/>
                      <w:color w:val="000000" w:themeColor="text1"/>
                      <w:spacing w:val="-2"/>
                      <w:szCs w:val="21"/>
                      <w:highlight w:val="none"/>
                      <w14:textFill>
                        <w14:solidFill>
                          <w14:schemeClr w14:val="tx1"/>
                        </w14:solidFill>
                      </w14:textFill>
                    </w:rPr>
                  </w:pPr>
                  <w:r>
                    <w:rPr>
                      <w:bCs/>
                      <w:color w:val="000000" w:themeColor="text1"/>
                      <w:spacing w:val="-2"/>
                      <w:szCs w:val="21"/>
                      <w:highlight w:val="none"/>
                      <w14:textFill>
                        <w14:solidFill>
                          <w14:schemeClr w14:val="tx1"/>
                        </w14:solidFill>
                      </w14:textFill>
                    </w:rPr>
                    <w:t>事故现场、工厂邻近区、受事故影响的区域人员及公众对毒物应急剂量控制规定，撤离组织计划及救护，医疗救护与公众健康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9</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事故应急救援关闭程序与恢复措施</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10</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应急培训计划</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jc w:val="center"/>
              </w:trPr>
              <w:tc>
                <w:tcPr>
                  <w:tcW w:w="47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11</w:t>
                  </w:r>
                </w:p>
              </w:tc>
              <w:tc>
                <w:tcPr>
                  <w:tcW w:w="1302"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公众教育和信息</w:t>
                  </w:r>
                </w:p>
              </w:tc>
              <w:tc>
                <w:tcPr>
                  <w:tcW w:w="3219" w:type="pct"/>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对工厂邻近地区开展公众教育、培训和发布有关信息</w:t>
                  </w:r>
                </w:p>
              </w:tc>
            </w:tr>
          </w:tbl>
          <w:p>
            <w:pPr>
              <w:snapToGrid w:val="0"/>
              <w:spacing w:line="360" w:lineRule="auto"/>
              <w:ind w:firstLine="482"/>
              <w:rPr>
                <w:b/>
                <w:bCs/>
                <w:color w:val="000000" w:themeColor="text1"/>
                <w:spacing w:val="-10"/>
                <w:sz w:val="24"/>
                <w:highlight w:val="none"/>
                <w14:textFill>
                  <w14:solidFill>
                    <w14:schemeClr w14:val="tx1"/>
                  </w14:solidFill>
                </w14:textFill>
              </w:rPr>
            </w:pPr>
            <w:r>
              <w:rPr>
                <w:color w:val="000000" w:themeColor="text1"/>
                <w:sz w:val="24"/>
                <w:highlight w:val="none"/>
                <w14:textFill>
                  <w14:solidFill>
                    <w14:schemeClr w14:val="tx1"/>
                  </w14:solidFill>
                </w14:textFill>
              </w:rPr>
              <w:t>采取如上措施后，项目发生事故的可能性将大大降低。即使发生火灾等事故，也可利用配备的灭火器、消防砂等应急救援物资，及时有效地控制火灾的蔓延，将损失控制在较小的范围内，对厂区外周围环境不会产生大的影响。</w:t>
            </w:r>
          </w:p>
          <w:p>
            <w:pPr>
              <w:snapToGrid w:val="0"/>
              <w:spacing w:line="360" w:lineRule="auto"/>
              <w:rPr>
                <w:rFonts w:hint="default" w:ascii="Times New Roman" w:hAnsi="Times New Roman" w:cs="Times New Roman"/>
                <w:b/>
                <w:bCs/>
                <w:color w:val="000000" w:themeColor="text1"/>
                <w:spacing w:val="-10"/>
                <w:sz w:val="24"/>
                <w:szCs w:val="24"/>
                <w:highlight w:val="none"/>
                <w14:textFill>
                  <w14:solidFill>
                    <w14:schemeClr w14:val="tx1"/>
                  </w14:solidFill>
                </w14:textFill>
              </w:rPr>
            </w:pPr>
            <w:r>
              <w:rPr>
                <w:rFonts w:hint="default" w:ascii="Times New Roman" w:hAnsi="Times New Roman" w:cs="Times New Roman"/>
                <w:b/>
                <w:bCs/>
                <w:color w:val="000000" w:themeColor="text1"/>
                <w:spacing w:val="-10"/>
                <w:sz w:val="24"/>
                <w:szCs w:val="24"/>
                <w:highlight w:val="none"/>
                <w14:textFill>
                  <w14:solidFill>
                    <w14:schemeClr w14:val="tx1"/>
                  </w14:solidFill>
                </w14:textFill>
              </w:rPr>
              <w:t>8 电磁辐射</w:t>
            </w:r>
          </w:p>
          <w:p>
            <w:pPr>
              <w:snapToGrid w:val="0"/>
              <w:spacing w:line="360" w:lineRule="auto"/>
              <w:ind w:firstLine="482"/>
              <w:rPr>
                <w:rFonts w:hint="default" w:ascii="Times New Roman" w:hAnsi="Times New Roman" w:eastAsia="宋体" w:cs="Times New Roman"/>
                <w:b/>
                <w:bCs/>
                <w:color w:val="FF0000"/>
                <w:spacing w:val="-10"/>
                <w:sz w:val="24"/>
                <w:szCs w:val="24"/>
                <w:highlight w:val="none"/>
                <w:lang w:val="en-US" w:eastAsia="zh-CN"/>
              </w:rPr>
            </w:pPr>
            <w:r>
              <w:rPr>
                <w:rFonts w:hint="default" w:ascii="Times New Roman" w:hAnsi="Times New Roman" w:cs="Times New Roman"/>
                <w:color w:val="000000" w:themeColor="text1"/>
                <w:sz w:val="24"/>
                <w:szCs w:val="24"/>
                <w:highlight w:val="none"/>
                <w14:textFill>
                  <w14:solidFill>
                    <w14:schemeClr w14:val="tx1"/>
                  </w14:solidFill>
                </w14:textFill>
              </w:rPr>
              <w:t>本项目不属于新建或改建、扩建广播电台、差转台、电视塔台、卫星地球上行站、雷达等电磁辐射类项目，无需开展电磁辐射影响评价。</w:t>
            </w:r>
          </w:p>
        </w:tc>
      </w:tr>
    </w:tbl>
    <w:p>
      <w:pPr>
        <w:pStyle w:val="19"/>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2" w:name="_Hlk54167917"/>
      <w:r>
        <w:rPr>
          <w:rFonts w:hint="default" w:ascii="Times New Roman" w:hAnsi="Times New Roman" w:eastAsia="黑体" w:cs="Times New Roman"/>
          <w:snapToGrid w:val="0"/>
          <w:color w:val="auto"/>
          <w:sz w:val="30"/>
          <w:szCs w:val="30"/>
          <w:highlight w:val="none"/>
        </w:rPr>
        <w:t>环境保护措施监督检查清单</w:t>
      </w:r>
      <w:bookmarkEnd w:id="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450"/>
        <w:gridCol w:w="1328"/>
        <w:gridCol w:w="1115"/>
        <w:gridCol w:w="3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22" w:type="dxa"/>
            <w:tcBorders>
              <w:tl2br w:val="single" w:color="auto" w:sz="4" w:space="0"/>
            </w:tcBorders>
            <w:noWrap w:val="0"/>
            <w:vAlign w:val="top"/>
          </w:tcPr>
          <w:p>
            <w:pPr>
              <w:adjustRightInd w:val="0"/>
              <w:snapToGrid w:val="0"/>
              <w:ind w:firstLine="72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内容</w:t>
            </w:r>
          </w:p>
          <w:p>
            <w:pPr>
              <w:adjustRightInd w:val="0"/>
              <w:snapToGrid w:val="0"/>
              <w:rPr>
                <w:rFonts w:hint="default" w:ascii="Times New Roman" w:hAnsi="Times New Roman" w:cs="Times New Roman"/>
                <w:color w:val="auto"/>
                <w:sz w:val="24"/>
                <w:szCs w:val="24"/>
                <w:highlight w:val="none"/>
              </w:rPr>
            </w:pPr>
          </w:p>
          <w:p>
            <w:pPr>
              <w:adjustRightInd w:val="0"/>
              <w:snapToGrid w:val="0"/>
              <w:rPr>
                <w:rFonts w:hint="default" w:ascii="Times New Roman" w:hAnsi="Times New Roman" w:cs="Times New Roman"/>
                <w:color w:val="auto"/>
                <w:sz w:val="24"/>
                <w:szCs w:val="24"/>
                <w:highlight w:val="none"/>
              </w:rPr>
            </w:pPr>
          </w:p>
          <w:p>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要素</w:t>
            </w:r>
          </w:p>
        </w:tc>
        <w:tc>
          <w:tcPr>
            <w:tcW w:w="1450"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排放口(编号、名称)/污染源</w:t>
            </w:r>
          </w:p>
        </w:tc>
        <w:tc>
          <w:tcPr>
            <w:tcW w:w="1328"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污染物项目</w:t>
            </w:r>
          </w:p>
        </w:tc>
        <w:tc>
          <w:tcPr>
            <w:tcW w:w="1115"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环境保护措施</w:t>
            </w:r>
          </w:p>
        </w:tc>
        <w:tc>
          <w:tcPr>
            <w:tcW w:w="3337"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22" w:type="dxa"/>
            <w:vMerge w:val="restart"/>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大气环境</w:t>
            </w:r>
          </w:p>
        </w:tc>
        <w:tc>
          <w:tcPr>
            <w:tcW w:w="1450"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DA00</w:t>
            </w:r>
            <w:r>
              <w:rPr>
                <w:rFonts w:hint="default" w:ascii="Times New Roman" w:hAnsi="Times New Roman" w:cs="Times New Roman"/>
                <w:color w:val="auto"/>
                <w:sz w:val="24"/>
                <w:szCs w:val="24"/>
                <w:highlight w:val="none"/>
                <w:lang w:val="en-US" w:eastAsia="zh-CN"/>
              </w:rPr>
              <w:t>1</w:t>
            </w:r>
          </w:p>
        </w:tc>
        <w:tc>
          <w:tcPr>
            <w:tcW w:w="1328"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VOCs</w:t>
            </w:r>
          </w:p>
        </w:tc>
        <w:tc>
          <w:tcPr>
            <w:tcW w:w="1115"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级活性炭装置处理</w:t>
            </w:r>
          </w:p>
        </w:tc>
        <w:tc>
          <w:tcPr>
            <w:tcW w:w="3337" w:type="dxa"/>
            <w:noWrap w:val="0"/>
            <w:vAlign w:val="center"/>
          </w:tcPr>
          <w:p>
            <w:pPr>
              <w:adjustRightInd w:val="0"/>
              <w:snapToGrid w:val="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《挥发性有机物排放标准 第6部分：有机化工行业》（DB37/2801.6-2018）表1中其他行业Ⅱ时段排放限值</w:t>
            </w:r>
            <w:r>
              <w:rPr>
                <w:rFonts w:hint="eastAsia" w:cs="Times New Roman"/>
                <w:color w:val="auto"/>
                <w:sz w:val="24"/>
                <w:szCs w:val="24"/>
                <w:highlight w:val="none"/>
                <w:lang w:eastAsia="zh-CN"/>
              </w:rPr>
              <w:t>（60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sz w:val="24"/>
                <w:szCs w:val="24"/>
                <w:highlight w:val="none"/>
                <w:vertAlign w:val="baseline"/>
                <w:lang w:eastAsia="zh-CN"/>
              </w:rPr>
              <w:t>、</w:t>
            </w:r>
            <w:r>
              <w:rPr>
                <w:rFonts w:hint="eastAsia" w:cs="Times New Roman"/>
                <w:color w:val="auto"/>
                <w:sz w:val="24"/>
                <w:szCs w:val="24"/>
                <w:highlight w:val="none"/>
                <w:vertAlign w:val="baseline"/>
                <w:lang w:val="en-US" w:eastAsia="zh-CN"/>
              </w:rPr>
              <w:t>3.0kg/h</w:t>
            </w:r>
            <w:r>
              <w:rPr>
                <w:rFonts w:hint="eastAsia" w:cs="Times New Roman"/>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22" w:type="dxa"/>
            <w:vMerge w:val="continue"/>
            <w:noWrap w:val="0"/>
            <w:vAlign w:val="center"/>
          </w:tcPr>
          <w:p>
            <w:pPr>
              <w:adjustRightInd w:val="0"/>
              <w:snapToGrid w:val="0"/>
              <w:jc w:val="center"/>
              <w:rPr>
                <w:rFonts w:hint="default" w:ascii="Times New Roman" w:hAnsi="Times New Roman" w:cs="Times New Roman"/>
                <w:color w:val="auto"/>
                <w:sz w:val="24"/>
                <w:szCs w:val="24"/>
                <w:highlight w:val="none"/>
              </w:rPr>
            </w:pPr>
          </w:p>
        </w:tc>
        <w:tc>
          <w:tcPr>
            <w:tcW w:w="1450"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厂界</w:t>
            </w:r>
          </w:p>
        </w:tc>
        <w:tc>
          <w:tcPr>
            <w:tcW w:w="1328"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VOCs</w:t>
            </w:r>
          </w:p>
        </w:tc>
        <w:tc>
          <w:tcPr>
            <w:tcW w:w="1115" w:type="dxa"/>
            <w:noWrap w:val="0"/>
            <w:vAlign w:val="center"/>
          </w:tcPr>
          <w:p>
            <w:pPr>
              <w:pStyle w:val="2"/>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加强废气收集</w:t>
            </w:r>
          </w:p>
        </w:tc>
        <w:tc>
          <w:tcPr>
            <w:tcW w:w="33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《挥发性有机物排放标准 第 6 部分：有机化工行业》（DB37/2801.6-2018）表</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厂界监控点浓度限值要求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22" w:type="dxa"/>
            <w:vMerge w:val="continue"/>
            <w:noWrap w:val="0"/>
            <w:vAlign w:val="center"/>
          </w:tcPr>
          <w:p>
            <w:pPr>
              <w:adjustRightInd w:val="0"/>
              <w:snapToGrid w:val="0"/>
              <w:jc w:val="center"/>
              <w:rPr>
                <w:rFonts w:hint="default" w:ascii="Times New Roman" w:hAnsi="Times New Roman" w:cs="Times New Roman"/>
                <w:color w:val="auto"/>
                <w:sz w:val="24"/>
                <w:szCs w:val="24"/>
                <w:highlight w:val="none"/>
              </w:rPr>
            </w:pPr>
          </w:p>
        </w:tc>
        <w:tc>
          <w:tcPr>
            <w:tcW w:w="1450" w:type="dxa"/>
            <w:noWrap w:val="0"/>
            <w:vAlign w:val="center"/>
          </w:tcPr>
          <w:p>
            <w:pPr>
              <w:adjustRightInd w:val="0"/>
              <w:snapToGrid w:val="0"/>
              <w:jc w:val="center"/>
              <w:rPr>
                <w:rFonts w:hint="default" w:ascii="Times New Roman" w:hAnsi="Times New Roman" w:cs="Times New Roman"/>
                <w:color w:val="auto"/>
                <w:sz w:val="24"/>
                <w:szCs w:val="24"/>
                <w:highlight w:val="none"/>
                <w:lang w:eastAsia="zh-CN"/>
              </w:rPr>
            </w:pPr>
            <w:r>
              <w:rPr>
                <w:rFonts w:hint="eastAsia" w:cs="Times New Roman"/>
                <w:color w:val="auto"/>
                <w:sz w:val="24"/>
                <w:szCs w:val="24"/>
                <w:highlight w:val="none"/>
                <w:lang w:eastAsia="zh-CN"/>
              </w:rPr>
              <w:t>厂区内</w:t>
            </w:r>
          </w:p>
        </w:tc>
        <w:tc>
          <w:tcPr>
            <w:tcW w:w="1328"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VOCs</w:t>
            </w:r>
          </w:p>
        </w:tc>
        <w:tc>
          <w:tcPr>
            <w:tcW w:w="1115" w:type="dxa"/>
            <w:noWrap w:val="0"/>
            <w:vAlign w:val="center"/>
          </w:tcPr>
          <w:p>
            <w:pPr>
              <w:pStyle w:val="2"/>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加强废气收集</w:t>
            </w:r>
          </w:p>
        </w:tc>
        <w:tc>
          <w:tcPr>
            <w:tcW w:w="33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《挥发性有机物无组织排放控制标准》（GB37822-2019）中的污染物排放限值（监控点处1h平均浓度限值6 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，监控点处任意一次浓度值20mg/m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2"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水环境</w:t>
            </w:r>
          </w:p>
        </w:tc>
        <w:tc>
          <w:tcPr>
            <w:tcW w:w="1450"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生活污水</w:t>
            </w:r>
          </w:p>
        </w:tc>
        <w:tc>
          <w:tcPr>
            <w:tcW w:w="1328"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COD、氨氮</w:t>
            </w:r>
            <w:r>
              <w:rPr>
                <w:rFonts w:hint="eastAsia" w:cs="Times New Roman"/>
                <w:color w:val="auto"/>
                <w:sz w:val="24"/>
                <w:szCs w:val="24"/>
                <w:highlight w:val="none"/>
                <w:lang w:val="en-US" w:eastAsia="zh-CN"/>
              </w:rPr>
              <w:t>、BOD</w:t>
            </w:r>
            <w:r>
              <w:rPr>
                <w:rFonts w:hint="eastAsia" w:cs="Times New Roman"/>
                <w:color w:val="auto"/>
                <w:sz w:val="24"/>
                <w:szCs w:val="24"/>
                <w:highlight w:val="none"/>
                <w:vertAlign w:val="subscript"/>
                <w:lang w:val="en-US" w:eastAsia="zh-CN"/>
              </w:rPr>
              <w:t>5</w:t>
            </w:r>
            <w:r>
              <w:rPr>
                <w:rFonts w:hint="eastAsia" w:cs="Times New Roman"/>
                <w:color w:val="auto"/>
                <w:sz w:val="24"/>
                <w:szCs w:val="24"/>
                <w:highlight w:val="none"/>
                <w:lang w:val="en-US" w:eastAsia="zh-CN"/>
              </w:rPr>
              <w:t>、SS</w:t>
            </w:r>
          </w:p>
        </w:tc>
        <w:tc>
          <w:tcPr>
            <w:tcW w:w="1115"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化粪池处理后环卫部门定期清运</w:t>
            </w:r>
          </w:p>
        </w:tc>
        <w:tc>
          <w:tcPr>
            <w:tcW w:w="3337"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2"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声环境</w:t>
            </w:r>
          </w:p>
        </w:tc>
        <w:tc>
          <w:tcPr>
            <w:tcW w:w="1450"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生产设备</w:t>
            </w:r>
          </w:p>
        </w:tc>
        <w:tc>
          <w:tcPr>
            <w:tcW w:w="1328"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噪声</w:t>
            </w:r>
          </w:p>
        </w:tc>
        <w:tc>
          <w:tcPr>
            <w:tcW w:w="1115"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降噪、减振、隔声、距离衰减等</w:t>
            </w:r>
          </w:p>
        </w:tc>
        <w:tc>
          <w:tcPr>
            <w:tcW w:w="3337" w:type="dxa"/>
            <w:noWrap w:val="0"/>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《工业企业厂界环境噪声排放标准》（GB12348–2008）2类标准</w:t>
            </w:r>
            <w:r>
              <w:rPr>
                <w:rFonts w:hint="eastAsia"/>
                <w:color w:val="auto"/>
                <w:sz w:val="24"/>
                <w:szCs w:val="24"/>
                <w:highlight w:val="none"/>
              </w:rPr>
              <w:t>（昼间6</w:t>
            </w:r>
            <w:r>
              <w:rPr>
                <w:color w:val="auto"/>
                <w:sz w:val="24"/>
                <w:szCs w:val="24"/>
                <w:highlight w:val="none"/>
              </w:rPr>
              <w:t>0</w:t>
            </w:r>
            <w:r>
              <w:rPr>
                <w:rFonts w:hint="eastAsia"/>
                <w:color w:val="auto"/>
                <w:sz w:val="24"/>
                <w:szCs w:val="24"/>
                <w:highlight w:val="none"/>
              </w:rPr>
              <w:t>dB（A）、夜间</w:t>
            </w:r>
            <w:r>
              <w:rPr>
                <w:color w:val="auto"/>
                <w:sz w:val="24"/>
                <w:szCs w:val="24"/>
                <w:highlight w:val="none"/>
              </w:rPr>
              <w:t>50</w:t>
            </w:r>
            <w:r>
              <w:rPr>
                <w:rFonts w:hint="eastAsia"/>
                <w:color w:val="auto"/>
                <w:sz w:val="24"/>
                <w:szCs w:val="24"/>
                <w:highlight w:val="none"/>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电磁辐射</w:t>
            </w:r>
          </w:p>
        </w:tc>
        <w:tc>
          <w:tcPr>
            <w:tcW w:w="1450"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328"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115"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337"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2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固体废物</w:t>
            </w:r>
          </w:p>
        </w:tc>
        <w:tc>
          <w:tcPr>
            <w:tcW w:w="7230" w:type="dxa"/>
            <w:gridSpan w:val="4"/>
            <w:noWrap w:val="0"/>
            <w:vAlign w:val="center"/>
          </w:tcPr>
          <w:p>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一般固废收集后资源化、无害化利用；危险废物经过危废暂存间暂存后委托有资质单位进行处理。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2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土壤及地下水污染防治措施</w:t>
            </w:r>
          </w:p>
        </w:tc>
        <w:tc>
          <w:tcPr>
            <w:tcW w:w="7230" w:type="dxa"/>
            <w:gridSpan w:val="4"/>
            <w:noWrap w:val="0"/>
            <w:vAlign w:val="center"/>
          </w:tcPr>
          <w:p>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厂区内按照分区进行防渗处理，其中</w:t>
            </w:r>
            <w:r>
              <w:rPr>
                <w:rFonts w:hint="default" w:ascii="Times New Roman" w:hAnsi="Times New Roman" w:cs="Times New Roman"/>
                <w:color w:val="auto"/>
                <w:sz w:val="24"/>
                <w:szCs w:val="24"/>
                <w:highlight w:val="none"/>
                <w:lang w:val="en-US" w:eastAsia="zh-CN"/>
              </w:rPr>
              <w:t>危废间</w:t>
            </w:r>
            <w:r>
              <w:rPr>
                <w:rFonts w:hint="default" w:ascii="Times New Roman" w:hAnsi="Times New Roman" w:cs="Times New Roman"/>
                <w:color w:val="auto"/>
                <w:sz w:val="24"/>
                <w:szCs w:val="24"/>
                <w:highlight w:val="none"/>
              </w:rPr>
              <w:t>为重点防渗区；</w:t>
            </w:r>
            <w:r>
              <w:rPr>
                <w:rFonts w:hint="default" w:ascii="Times New Roman" w:hAnsi="Times New Roman" w:cs="Times New Roman"/>
                <w:color w:val="auto"/>
                <w:sz w:val="24"/>
                <w:szCs w:val="24"/>
                <w:highlight w:val="none"/>
                <w:lang w:val="en-US" w:eastAsia="zh-CN"/>
              </w:rPr>
              <w:t>生产</w:t>
            </w:r>
            <w:r>
              <w:rPr>
                <w:rFonts w:hint="default" w:ascii="Times New Roman" w:hAnsi="Times New Roman" w:cs="Times New Roman"/>
                <w:color w:val="auto"/>
                <w:sz w:val="24"/>
                <w:szCs w:val="24"/>
                <w:highlight w:val="none"/>
              </w:rPr>
              <w:t>车间</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仓库</w:t>
            </w:r>
            <w:r>
              <w:rPr>
                <w:rFonts w:hint="default" w:ascii="Times New Roman" w:hAnsi="Times New Roman" w:cs="Times New Roman"/>
                <w:color w:val="auto"/>
                <w:sz w:val="24"/>
                <w:szCs w:val="24"/>
                <w:highlight w:val="none"/>
              </w:rPr>
              <w:t>等为一般防渗区；</w:t>
            </w:r>
            <w:r>
              <w:rPr>
                <w:rFonts w:hint="eastAsia" w:cs="Times New Roman"/>
                <w:color w:val="auto"/>
                <w:sz w:val="24"/>
                <w:szCs w:val="24"/>
                <w:highlight w:val="none"/>
                <w:lang w:eastAsia="zh-CN"/>
              </w:rPr>
              <w:t>办公室</w:t>
            </w:r>
            <w:r>
              <w:rPr>
                <w:rFonts w:hint="default" w:ascii="Times New Roman" w:hAnsi="Times New Roman" w:cs="Times New Roman"/>
                <w:color w:val="auto"/>
                <w:sz w:val="24"/>
                <w:szCs w:val="24"/>
                <w:highlight w:val="none"/>
              </w:rPr>
              <w:t>属于简单防渗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52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生态保护措施</w:t>
            </w:r>
          </w:p>
        </w:tc>
        <w:tc>
          <w:tcPr>
            <w:tcW w:w="7230" w:type="dxa"/>
            <w:gridSpan w:val="4"/>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22" w:type="dxa"/>
            <w:noWrap w:val="0"/>
            <w:vAlign w:val="center"/>
          </w:tcPr>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环境风险</w:t>
            </w:r>
          </w:p>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防范措施</w:t>
            </w:r>
          </w:p>
        </w:tc>
        <w:tc>
          <w:tcPr>
            <w:tcW w:w="7230"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）厂区内严禁吸烟，提高安全意识，制定各项环保安全制度。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）制定完善的安全、防火制度，严格落实各项防火和用电安全措施，防止物料泄漏，并加强职工的安全生产教育，定期向职工传授消防灭火知识。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）制定应急预案。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1522" w:type="dxa"/>
            <w:noWrap w:val="0"/>
            <w:vAlign w:val="center"/>
          </w:tcPr>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其他环境</w:t>
            </w:r>
          </w:p>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管理要求</w:t>
            </w:r>
          </w:p>
        </w:tc>
        <w:tc>
          <w:tcPr>
            <w:tcW w:w="7230"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（1）主要环境管理措施如下：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①成立环境管理机构，负责组织协调、监督实施全公司环境管理工作。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②加强环境保护法规政策学习和宣传。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③负责企业日常环境管理，组织现场监测和检查，开展污染控制，防止跑冒滴漏，确保污染物达标排放。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④及时向当地环保部门报告企业环保情况，并协助环保部门进行现场检查和污染纠纷的调处。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⑤协调参与本项目与周边企业突发事故应急预案工作，防止突发污染事故发生，并协同周边企业制定相应的应急措施。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（2）设置环境保护标识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企业应制定环境管理文件及实施细则，按照《排污口规范化整治技术要求（试行）》、《关于开展排放口规范化整治工作的通知》等文件中有关规定设置与管理废气排放口。同时噪声排放源、固体废物贮存（处置）场图形符号分别为提示图形符号和警告图形符号两种，图形符号的设置按GB15562.1-1995、GB15562.2-1995执行。环保标识详见下表。</w:t>
            </w:r>
          </w:p>
          <w:p>
            <w:pPr>
              <w:spacing w:line="360" w:lineRule="auto"/>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5-1</w:t>
            </w:r>
            <w:r>
              <w:rPr>
                <w:rFonts w:hint="default" w:ascii="Times New Roman" w:hAnsi="Times New Roman" w:cs="Times New Roman"/>
                <w:b/>
                <w:bCs/>
                <w:color w:val="auto"/>
                <w:kern w:val="0"/>
                <w:sz w:val="21"/>
                <w:szCs w:val="21"/>
                <w:highlight w:val="none"/>
              </w:rPr>
              <w:t xml:space="preserve">  环保标识一览表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606"/>
              <w:gridCol w:w="1656"/>
              <w:gridCol w:w="165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排放口</w:t>
                  </w:r>
                </w:p>
              </w:tc>
              <w:tc>
                <w:tcPr>
                  <w:tcW w:w="1146" w:type="pct"/>
                  <w:noWrap w:val="0"/>
                  <w:vAlign w:val="center"/>
                </w:tcPr>
                <w:p>
                  <w:pPr>
                    <w:pStyle w:val="75"/>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废气排放口</w:t>
                  </w:r>
                </w:p>
              </w:tc>
              <w:tc>
                <w:tcPr>
                  <w:tcW w:w="1182" w:type="pct"/>
                  <w:noWrap w:val="0"/>
                  <w:vAlign w:val="center"/>
                </w:tcPr>
                <w:p>
                  <w:pPr>
                    <w:pStyle w:val="75"/>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噪声排放源</w:t>
                  </w:r>
                </w:p>
              </w:tc>
              <w:tc>
                <w:tcPr>
                  <w:tcW w:w="1181" w:type="pct"/>
                  <w:noWrap w:val="0"/>
                  <w:vAlign w:val="center"/>
                </w:tcPr>
                <w:p>
                  <w:pPr>
                    <w:pStyle w:val="75"/>
                    <w:jc w:val="center"/>
                    <w:rPr>
                      <w:rFonts w:hint="default" w:ascii="Times New Roman" w:hAnsi="Times New Roman" w:eastAsia="Calibri" w:cs="Times New Roman"/>
                      <w:bCs/>
                      <w:color w:val="auto"/>
                      <w:sz w:val="21"/>
                      <w:szCs w:val="21"/>
                      <w:highlight w:val="none"/>
                      <w:lang w:eastAsia="zh-CN"/>
                    </w:rPr>
                  </w:pPr>
                  <w:r>
                    <w:rPr>
                      <w:rFonts w:hint="default" w:ascii="Times New Roman" w:hAnsi="Times New Roman" w:cs="Times New Roman"/>
                      <w:bCs/>
                      <w:color w:val="auto"/>
                      <w:sz w:val="21"/>
                      <w:szCs w:val="21"/>
                      <w:highlight w:val="none"/>
                    </w:rPr>
                    <w:t>一般固体废物</w:t>
                  </w:r>
                  <w:r>
                    <w:rPr>
                      <w:rFonts w:hint="default" w:ascii="Times New Roman" w:hAnsi="Times New Roman" w:cs="Times New Roman"/>
                      <w:bCs/>
                      <w:color w:val="auto"/>
                      <w:sz w:val="21"/>
                      <w:szCs w:val="21"/>
                      <w:highlight w:val="none"/>
                      <w:lang w:eastAsia="zh-CN"/>
                    </w:rPr>
                    <w:t>临时贮存区</w:t>
                  </w:r>
                </w:p>
              </w:tc>
              <w:tc>
                <w:tcPr>
                  <w:tcW w:w="1089" w:type="pct"/>
                  <w:noWrap w:val="0"/>
                  <w:vAlign w:val="center"/>
                </w:tcPr>
                <w:p>
                  <w:pPr>
                    <w:pStyle w:val="75"/>
                    <w:jc w:val="center"/>
                    <w:rPr>
                      <w:rFonts w:hint="default" w:ascii="Times New Roman" w:hAnsi="Times New Roman" w:eastAsia="Calibri" w:cs="Times New Roman"/>
                      <w:bCs/>
                      <w:color w:val="auto"/>
                      <w:sz w:val="21"/>
                      <w:szCs w:val="21"/>
                      <w:highlight w:val="none"/>
                      <w:lang w:eastAsia="zh-CN"/>
                    </w:rPr>
                  </w:pPr>
                  <w:r>
                    <w:rPr>
                      <w:rFonts w:hint="default" w:ascii="Times New Roman" w:hAnsi="Times New Roman" w:cs="Times New Roman"/>
                      <w:bCs/>
                      <w:color w:val="auto"/>
                      <w:sz w:val="21"/>
                      <w:szCs w:val="21"/>
                      <w:highlight w:val="none"/>
                      <w:lang w:eastAsia="zh-CN"/>
                    </w:rPr>
                    <w:t>危险废物贮存区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pct"/>
                  <w:noWrap w:val="0"/>
                  <w:vAlign w:val="center"/>
                </w:tcPr>
                <w:p>
                  <w:pPr>
                    <w:pStyle w:val="18"/>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提示标志图形</w:t>
                  </w:r>
                </w:p>
              </w:tc>
              <w:tc>
                <w:tcPr>
                  <w:tcW w:w="1146"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30250" cy="692150"/>
                        <wp:effectExtent l="0" t="0" r="1270" b="8890"/>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14"/>
                                <a:stretch>
                                  <a:fillRect/>
                                </a:stretch>
                              </pic:blipFill>
                              <pic:spPr>
                                <a:xfrm>
                                  <a:off x="0" y="0"/>
                                  <a:ext cx="730250" cy="692150"/>
                                </a:xfrm>
                                <a:prstGeom prst="rect">
                                  <a:avLst/>
                                </a:prstGeom>
                                <a:noFill/>
                                <a:ln>
                                  <a:noFill/>
                                </a:ln>
                              </pic:spPr>
                            </pic:pic>
                          </a:graphicData>
                        </a:graphic>
                      </wp:inline>
                    </w:drawing>
                  </w:r>
                </w:p>
              </w:tc>
              <w:tc>
                <w:tcPr>
                  <w:tcW w:w="118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08660" cy="678180"/>
                        <wp:effectExtent l="0" t="0" r="7620" b="7620"/>
                        <wp:docPr id="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9"/>
                                <pic:cNvPicPr>
                                  <a:picLocks noChangeAspect="1"/>
                                </pic:cNvPicPr>
                              </pic:nvPicPr>
                              <pic:blipFill>
                                <a:blip r:embed="rId15"/>
                                <a:stretch>
                                  <a:fillRect/>
                                </a:stretch>
                              </pic:blipFill>
                              <pic:spPr>
                                <a:xfrm>
                                  <a:off x="0" y="0"/>
                                  <a:ext cx="708660" cy="678180"/>
                                </a:xfrm>
                                <a:prstGeom prst="rect">
                                  <a:avLst/>
                                </a:prstGeom>
                                <a:noFill/>
                                <a:ln>
                                  <a:noFill/>
                                </a:ln>
                              </pic:spPr>
                            </pic:pic>
                          </a:graphicData>
                        </a:graphic>
                      </wp:inline>
                    </w:drawing>
                  </w:r>
                </w:p>
              </w:tc>
              <w:tc>
                <w:tcPr>
                  <w:tcW w:w="118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30250" cy="692150"/>
                        <wp:effectExtent l="0" t="0" r="1270" b="889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pic:cNvPicPr>
                                  <a:picLocks noChangeAspect="1"/>
                                </pic:cNvPicPr>
                              </pic:nvPicPr>
                              <pic:blipFill>
                                <a:blip r:embed="rId16"/>
                                <a:stretch>
                                  <a:fillRect/>
                                </a:stretch>
                              </pic:blipFill>
                              <pic:spPr>
                                <a:xfrm>
                                  <a:off x="0" y="0"/>
                                  <a:ext cx="730250" cy="692150"/>
                                </a:xfrm>
                                <a:prstGeom prst="rect">
                                  <a:avLst/>
                                </a:prstGeom>
                                <a:noFill/>
                                <a:ln>
                                  <a:noFill/>
                                </a:ln>
                              </pic:spPr>
                            </pic:pic>
                          </a:graphicData>
                        </a:graphic>
                      </wp:inline>
                    </w:drawing>
                  </w:r>
                </w:p>
              </w:tc>
              <w:tc>
                <w:tcPr>
                  <w:tcW w:w="108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pct"/>
                  <w:noWrap w:val="0"/>
                  <w:vAlign w:val="center"/>
                </w:tcPr>
                <w:p>
                  <w:pPr>
                    <w:pStyle w:val="18"/>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警告标志图形</w:t>
                  </w:r>
                </w:p>
              </w:tc>
              <w:tc>
                <w:tcPr>
                  <w:tcW w:w="1146"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35965" cy="676910"/>
                        <wp:effectExtent l="0" t="0" r="10795" b="8890"/>
                        <wp:docPr id="1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1"/>
                                <pic:cNvPicPr>
                                  <a:picLocks noChangeAspect="1"/>
                                </pic:cNvPicPr>
                              </pic:nvPicPr>
                              <pic:blipFill>
                                <a:blip r:embed="rId17"/>
                                <a:stretch>
                                  <a:fillRect/>
                                </a:stretch>
                              </pic:blipFill>
                              <pic:spPr>
                                <a:xfrm>
                                  <a:off x="0" y="0"/>
                                  <a:ext cx="735965" cy="676910"/>
                                </a:xfrm>
                                <a:prstGeom prst="rect">
                                  <a:avLst/>
                                </a:prstGeom>
                                <a:noFill/>
                                <a:ln>
                                  <a:noFill/>
                                </a:ln>
                              </pic:spPr>
                            </pic:pic>
                          </a:graphicData>
                        </a:graphic>
                      </wp:inline>
                    </w:drawing>
                  </w:r>
                </w:p>
              </w:tc>
              <w:tc>
                <w:tcPr>
                  <w:tcW w:w="118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89305" cy="661035"/>
                        <wp:effectExtent l="0" t="0" r="3175" b="9525"/>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pic:cNvPicPr>
                              </pic:nvPicPr>
                              <pic:blipFill>
                                <a:blip r:embed="rId18"/>
                                <a:stretch>
                                  <a:fillRect/>
                                </a:stretch>
                              </pic:blipFill>
                              <pic:spPr>
                                <a:xfrm>
                                  <a:off x="0" y="0"/>
                                  <a:ext cx="789305" cy="661035"/>
                                </a:xfrm>
                                <a:prstGeom prst="rect">
                                  <a:avLst/>
                                </a:prstGeom>
                                <a:noFill/>
                                <a:ln>
                                  <a:noFill/>
                                </a:ln>
                              </pic:spPr>
                            </pic:pic>
                          </a:graphicData>
                        </a:graphic>
                      </wp:inline>
                    </w:drawing>
                  </w:r>
                </w:p>
              </w:tc>
              <w:tc>
                <w:tcPr>
                  <w:tcW w:w="118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drawing>
                      <wp:inline distT="0" distB="0" distL="114300" distR="114300">
                        <wp:extent cx="718185" cy="654050"/>
                        <wp:effectExtent l="0" t="0" r="13335" b="127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4"/>
                                <pic:cNvPicPr>
                                  <a:picLocks noChangeAspect="1"/>
                                </pic:cNvPicPr>
                              </pic:nvPicPr>
                              <pic:blipFill>
                                <a:blip r:embed="rId19"/>
                                <a:stretch>
                                  <a:fillRect/>
                                </a:stretch>
                              </pic:blipFill>
                              <pic:spPr>
                                <a:xfrm>
                                  <a:off x="0" y="0"/>
                                  <a:ext cx="718185" cy="654050"/>
                                </a:xfrm>
                                <a:prstGeom prst="rect">
                                  <a:avLst/>
                                </a:prstGeom>
                                <a:noFill/>
                                <a:ln>
                                  <a:noFill/>
                                </a:ln>
                              </pic:spPr>
                            </pic:pic>
                          </a:graphicData>
                        </a:graphic>
                      </wp:inline>
                    </w:drawing>
                  </w:r>
                </w:p>
              </w:tc>
              <w:tc>
                <w:tcPr>
                  <w:tcW w:w="108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color w:val="auto"/>
                      <w:sz w:val="21"/>
                      <w:szCs w:val="21"/>
                      <w:highlight w:val="none"/>
                    </w:rPr>
                    <w:drawing>
                      <wp:inline distT="0" distB="0" distL="114300" distR="114300">
                        <wp:extent cx="744220" cy="718820"/>
                        <wp:effectExtent l="0" t="0" r="2540" b="12700"/>
                        <wp:docPr id="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5"/>
                                <pic:cNvPicPr>
                                  <a:picLocks noChangeAspect="1"/>
                                </pic:cNvPicPr>
                              </pic:nvPicPr>
                              <pic:blipFill>
                                <a:blip r:embed="rId20"/>
                                <a:stretch>
                                  <a:fillRect/>
                                </a:stretch>
                              </pic:blipFill>
                              <pic:spPr>
                                <a:xfrm>
                                  <a:off x="0" y="0"/>
                                  <a:ext cx="744220" cy="71882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（3）竣工环境保护验收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根据《建设项目环境保护管理条例》要求，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编制环境影响报告表的建设项目，其配套建设的环境保护设施经验收合格，方可投入生产或者使用；未经验收或者验收不合格的，不得投入生产或者使用。</w:t>
            </w:r>
          </w:p>
          <w:p>
            <w:pPr>
              <w:spacing w:line="360" w:lineRule="auto"/>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5-2</w:t>
            </w:r>
            <w:r>
              <w:rPr>
                <w:rFonts w:hint="default" w:ascii="Times New Roman" w:hAnsi="Times New Roman" w:cs="Times New Roman"/>
                <w:b/>
                <w:bCs/>
                <w:color w:val="auto"/>
                <w:kern w:val="0"/>
                <w:sz w:val="21"/>
                <w:szCs w:val="21"/>
                <w:highlight w:val="none"/>
              </w:rPr>
              <w:t xml:space="preserve">  项目</w:t>
            </w:r>
            <w:r>
              <w:rPr>
                <w:rFonts w:hint="default" w:ascii="Times New Roman" w:hAnsi="Times New Roman" w:cs="Times New Roman"/>
                <w:b/>
                <w:bCs/>
                <w:color w:val="auto"/>
                <w:kern w:val="0"/>
                <w:sz w:val="21"/>
                <w:szCs w:val="21"/>
                <w:highlight w:val="none"/>
                <w:lang w:eastAsia="zh-CN"/>
              </w:rPr>
              <w:t>“</w:t>
            </w:r>
            <w:r>
              <w:rPr>
                <w:rFonts w:hint="default" w:ascii="Times New Roman" w:hAnsi="Times New Roman" w:cs="Times New Roman"/>
                <w:b/>
                <w:bCs/>
                <w:color w:val="auto"/>
                <w:kern w:val="0"/>
                <w:sz w:val="21"/>
                <w:szCs w:val="21"/>
                <w:highlight w:val="none"/>
              </w:rPr>
              <w:t>三同时</w:t>
            </w:r>
            <w:r>
              <w:rPr>
                <w:rFonts w:hint="default" w:ascii="Times New Roman" w:hAnsi="Times New Roman" w:cs="Times New Roman"/>
                <w:b/>
                <w:bCs/>
                <w:color w:val="auto"/>
                <w:kern w:val="0"/>
                <w:sz w:val="21"/>
                <w:szCs w:val="21"/>
                <w:highlight w:val="none"/>
                <w:lang w:eastAsia="zh-CN"/>
              </w:rPr>
              <w:t>”</w:t>
            </w:r>
            <w:r>
              <w:rPr>
                <w:rFonts w:hint="default" w:ascii="Times New Roman" w:hAnsi="Times New Roman" w:cs="Times New Roman"/>
                <w:b/>
                <w:bCs/>
                <w:color w:val="auto"/>
                <w:kern w:val="0"/>
                <w:sz w:val="21"/>
                <w:szCs w:val="21"/>
                <w:highlight w:val="none"/>
              </w:rPr>
              <w:t>验收一览表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84"/>
              <w:gridCol w:w="1095"/>
              <w:gridCol w:w="1134"/>
              <w:gridCol w:w="119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4"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w:t>
                  </w:r>
                </w:p>
              </w:tc>
              <w:tc>
                <w:tcPr>
                  <w:tcW w:w="631"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排放源</w:t>
                  </w:r>
                </w:p>
              </w:tc>
              <w:tc>
                <w:tcPr>
                  <w:tcW w:w="781"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污染物</w:t>
                  </w:r>
                </w:p>
              </w:tc>
              <w:tc>
                <w:tcPr>
                  <w:tcW w:w="809"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治理措施</w:t>
                  </w:r>
                </w:p>
              </w:tc>
              <w:tc>
                <w:tcPr>
                  <w:tcW w:w="853"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验收指标</w:t>
                  </w:r>
                </w:p>
              </w:tc>
              <w:tc>
                <w:tcPr>
                  <w:tcW w:w="1618"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vMerge w:val="restar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废气</w:t>
                  </w:r>
                </w:p>
              </w:tc>
              <w:tc>
                <w:tcPr>
                  <w:tcW w:w="631" w:type="pct"/>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color w:val="auto"/>
                      <w:sz w:val="21"/>
                      <w:szCs w:val="21"/>
                      <w:highlight w:val="none"/>
                    </w:rPr>
                    <w:t>DA00</w:t>
                  </w:r>
                  <w:r>
                    <w:rPr>
                      <w:rFonts w:hint="default" w:ascii="Times New Roman" w:hAnsi="Times New Roman" w:cs="Times New Roman"/>
                      <w:color w:val="auto"/>
                      <w:sz w:val="21"/>
                      <w:szCs w:val="21"/>
                      <w:highlight w:val="none"/>
                      <w:lang w:val="en-US" w:eastAsia="zh-CN"/>
                    </w:rPr>
                    <w:t>1</w:t>
                  </w:r>
                </w:p>
              </w:tc>
              <w:tc>
                <w:tcPr>
                  <w:tcW w:w="781" w:type="pct"/>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VOCs</w:t>
                  </w:r>
                </w:p>
              </w:tc>
              <w:tc>
                <w:tcPr>
                  <w:tcW w:w="809" w:type="pct"/>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eastAsia"/>
                      <w:lang w:eastAsia="zh-CN"/>
                    </w:rPr>
                    <w:t>集气罩收集后由</w:t>
                  </w:r>
                  <w:r>
                    <w:rPr>
                      <w:rFonts w:hint="eastAsia"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val="en-US" w:eastAsia="zh-CN"/>
                    </w:rPr>
                    <w:t>活性炭装置处理</w:t>
                  </w:r>
                </w:p>
              </w:tc>
              <w:tc>
                <w:tcPr>
                  <w:tcW w:w="853"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.0kg/h</w:t>
                  </w:r>
                </w:p>
              </w:tc>
              <w:tc>
                <w:tcPr>
                  <w:tcW w:w="1618" w:type="pct"/>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《挥发性有机物排放标准 第6部分：有机化工行业》（DB37/2801.6-2018）表1中其他行业Ⅱ时段排放限值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63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eastAsia="zh-CN"/>
                    </w:rPr>
                    <w:t>厂界</w:t>
                  </w:r>
                  <w:r>
                    <w:rPr>
                      <w:rFonts w:hint="default" w:ascii="Times New Roman" w:hAnsi="Times New Roman" w:eastAsia="宋体" w:cs="Times New Roman"/>
                      <w:color w:val="auto"/>
                      <w:kern w:val="0"/>
                      <w:sz w:val="21"/>
                      <w:szCs w:val="21"/>
                      <w:highlight w:val="none"/>
                    </w:rPr>
                    <w:t>无组织废气</w:t>
                  </w:r>
                </w:p>
              </w:tc>
              <w:tc>
                <w:tcPr>
                  <w:tcW w:w="78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VOCs</w:t>
                  </w:r>
                </w:p>
              </w:tc>
              <w:tc>
                <w:tcPr>
                  <w:tcW w:w="809" w:type="pct"/>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加强废气收集</w:t>
                  </w:r>
                </w:p>
              </w:tc>
              <w:tc>
                <w:tcPr>
                  <w:tcW w:w="853"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2.0mg/m</w:t>
                  </w:r>
                  <w:r>
                    <w:rPr>
                      <w:rFonts w:hint="default" w:ascii="Times New Roman" w:hAnsi="Times New Roman" w:eastAsia="宋体" w:cs="Times New Roman"/>
                      <w:color w:val="auto"/>
                      <w:kern w:val="0"/>
                      <w:sz w:val="21"/>
                      <w:szCs w:val="21"/>
                      <w:highlight w:val="none"/>
                      <w:vertAlign w:val="superscript"/>
                      <w:lang w:eastAsia="zh-CN"/>
                    </w:rPr>
                    <w:t>3</w:t>
                  </w:r>
                </w:p>
              </w:tc>
              <w:tc>
                <w:tcPr>
                  <w:tcW w:w="1618" w:type="pct"/>
                  <w:noWrap w:val="0"/>
                  <w:vAlign w:val="center"/>
                </w:tcPr>
                <w:p>
                  <w:pPr>
                    <w:adjustRightInd w:val="0"/>
                    <w:snapToGrid w:val="0"/>
                    <w:jc w:val="center"/>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sz w:val="21"/>
                      <w:szCs w:val="21"/>
                      <w:highlight w:val="none"/>
                    </w:rPr>
                    <w:t>《挥发性有机物排放标准 第 6 部分：有机化工行业》（DB37/2801.6-2018）表</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厂界监控点浓度限值要求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631" w:type="pct"/>
                  <w:noWrap w:val="0"/>
                  <w:vAlign w:val="center"/>
                </w:tcPr>
                <w:p>
                  <w:pPr>
                    <w:autoSpaceDE w:val="0"/>
                    <w:autoSpaceDN w:val="0"/>
                    <w:adjustRightInd w:val="0"/>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厂区内无组织废气</w:t>
                  </w:r>
                </w:p>
              </w:tc>
              <w:tc>
                <w:tcPr>
                  <w:tcW w:w="78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VOCs</w:t>
                  </w:r>
                </w:p>
              </w:tc>
              <w:tc>
                <w:tcPr>
                  <w:tcW w:w="809" w:type="pct"/>
                  <w:noWrap w:val="0"/>
                  <w:vAlign w:val="center"/>
                </w:tcPr>
                <w:p>
                  <w:pPr>
                    <w:pStyle w:val="76"/>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加强废气收集</w:t>
                  </w:r>
                </w:p>
              </w:tc>
              <w:tc>
                <w:tcPr>
                  <w:tcW w:w="853"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r>
                    <w:rPr>
                      <w:rFonts w:hint="eastAsia"/>
                      <w:color w:val="auto"/>
                      <w:highlight w:val="none"/>
                    </w:rPr>
                    <w:t>监控点处1h平均浓度限值6 mg/m</w:t>
                  </w:r>
                  <w:r>
                    <w:rPr>
                      <w:rFonts w:hint="eastAsia"/>
                      <w:color w:val="auto"/>
                      <w:highlight w:val="none"/>
                      <w:vertAlign w:val="superscript"/>
                    </w:rPr>
                    <w:t>3</w:t>
                  </w:r>
                  <w:r>
                    <w:rPr>
                      <w:rFonts w:hint="eastAsia"/>
                      <w:color w:val="auto"/>
                      <w:highlight w:val="none"/>
                    </w:rPr>
                    <w:t>，监控点处任意一次浓度值</w:t>
                  </w:r>
                  <w:r>
                    <w:rPr>
                      <w:color w:val="auto"/>
                      <w:highlight w:val="none"/>
                    </w:rPr>
                    <w:t>20</w:t>
                  </w:r>
                  <w:r>
                    <w:rPr>
                      <w:rFonts w:hint="eastAsia"/>
                      <w:color w:val="auto"/>
                      <w:highlight w:val="none"/>
                    </w:rPr>
                    <w:t>mg/m</w:t>
                  </w:r>
                  <w:r>
                    <w:rPr>
                      <w:rFonts w:hint="eastAsia"/>
                      <w:color w:val="auto"/>
                      <w:highlight w:val="none"/>
                      <w:vertAlign w:val="superscript"/>
                    </w:rPr>
                    <w:t>3</w:t>
                  </w:r>
                </w:p>
              </w:tc>
              <w:tc>
                <w:tcPr>
                  <w:tcW w:w="1618" w:type="pct"/>
                  <w:noWrap w:val="0"/>
                  <w:vAlign w:val="center"/>
                </w:tcPr>
                <w:p>
                  <w:pPr>
                    <w:adjustRightInd w:val="0"/>
                    <w:snapToGrid w:val="0"/>
                    <w:jc w:val="center"/>
                    <w:rPr>
                      <w:rFonts w:hint="default" w:ascii="Times New Roman" w:hAnsi="Times New Roman" w:cs="Times New Roman"/>
                      <w:color w:val="auto"/>
                      <w:sz w:val="21"/>
                      <w:szCs w:val="21"/>
                      <w:highlight w:val="none"/>
                    </w:rPr>
                  </w:pPr>
                  <w:r>
                    <w:rPr>
                      <w:color w:val="auto"/>
                      <w:highlight w:val="none"/>
                    </w:rPr>
                    <w:t>《挥发性有机物无组织排放控制标准》（GB37822-2019）中的污染物排放限值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vMerge w:val="restar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固废</w:t>
                  </w:r>
                </w:p>
              </w:tc>
              <w:tc>
                <w:tcPr>
                  <w:tcW w:w="631" w:type="pct"/>
                  <w:noWrap w:val="0"/>
                  <w:vAlign w:val="center"/>
                </w:tcPr>
                <w:p>
                  <w:pPr>
                    <w:topLinePunct/>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员工生活</w:t>
                  </w:r>
                </w:p>
              </w:tc>
              <w:tc>
                <w:tcPr>
                  <w:tcW w:w="781" w:type="pct"/>
                  <w:noWrap w:val="0"/>
                  <w:vAlign w:val="center"/>
                </w:tcPr>
                <w:p>
                  <w:pPr>
                    <w:topLinePunct/>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color w:val="auto"/>
                      <w:sz w:val="21"/>
                      <w:szCs w:val="21"/>
                      <w:highlight w:val="none"/>
                      <w:lang w:val="en-US" w:eastAsia="zh-CN"/>
                    </w:rPr>
                    <w:t>生活垃圾</w:t>
                  </w:r>
                </w:p>
              </w:tc>
              <w:tc>
                <w:tcPr>
                  <w:tcW w:w="809" w:type="pct"/>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环卫部门清运</w:t>
                  </w:r>
                </w:p>
              </w:tc>
              <w:tc>
                <w:tcPr>
                  <w:tcW w:w="853" w:type="pct"/>
                  <w:vMerge w:val="restar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全部合理处置</w:t>
                  </w:r>
                </w:p>
              </w:tc>
              <w:tc>
                <w:tcPr>
                  <w:tcW w:w="1618" w:type="pct"/>
                  <w:vMerge w:val="restart"/>
                  <w:noWrap w:val="0"/>
                  <w:vAlign w:val="center"/>
                </w:tcPr>
                <w:p>
                  <w:pPr>
                    <w:autoSpaceDE w:val="0"/>
                    <w:autoSpaceDN w:val="0"/>
                    <w:adjustRightInd w:val="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rPr>
                    <w:t>资源化、无害化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631" w:type="pct"/>
                  <w:noWrap w:val="0"/>
                  <w:vAlign w:val="center"/>
                </w:tcPr>
                <w:p>
                  <w:pPr>
                    <w:pStyle w:val="76"/>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生产过程</w:t>
                  </w:r>
                </w:p>
              </w:tc>
              <w:tc>
                <w:tcPr>
                  <w:tcW w:w="781" w:type="pct"/>
                  <w:noWrap w:val="0"/>
                  <w:vAlign w:val="center"/>
                </w:tcPr>
                <w:p>
                  <w:pPr>
                    <w:pStyle w:val="76"/>
                    <w:jc w:val="center"/>
                    <w:rPr>
                      <w:rFonts w:hint="default" w:ascii="Times New Roman" w:hAnsi="Times New Roman" w:eastAsia="宋体" w:cs="Times New Roman"/>
                      <w:color w:val="auto"/>
                      <w:kern w:val="0"/>
                      <w:sz w:val="21"/>
                      <w:szCs w:val="21"/>
                      <w:highlight w:val="none"/>
                    </w:rPr>
                  </w:pPr>
                  <w:r>
                    <w:rPr>
                      <w:rFonts w:hint="eastAsia" w:ascii="Times New Roman" w:cs="Times New Roman"/>
                      <w:color w:val="auto"/>
                      <w:sz w:val="21"/>
                      <w:szCs w:val="21"/>
                      <w:highlight w:val="none"/>
                      <w:lang w:val="en-US" w:eastAsia="zh-CN"/>
                    </w:rPr>
                    <w:t>废包装袋</w:t>
                  </w:r>
                </w:p>
              </w:tc>
              <w:tc>
                <w:tcPr>
                  <w:tcW w:w="809" w:type="pct"/>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cs="Times New Roman"/>
                      <w:color w:val="auto"/>
                      <w:sz w:val="21"/>
                      <w:szCs w:val="21"/>
                      <w:highlight w:val="none"/>
                      <w:lang w:val="en-US" w:eastAsia="zh-CN" w:bidi="ar-SA"/>
                    </w:rPr>
                    <w:t>集中收集后外售</w:t>
                  </w:r>
                </w:p>
              </w:tc>
              <w:tc>
                <w:tcPr>
                  <w:tcW w:w="853"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1618" w:type="pct"/>
                  <w:vMerge w:val="continue"/>
                  <w:noWrap w:val="0"/>
                  <w:vAlign w:val="center"/>
                </w:tcPr>
                <w:p>
                  <w:pPr>
                    <w:adjustRightInd w:val="0"/>
                    <w:snapToGrid w:val="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631" w:type="pct"/>
                  <w:noWrap w:val="0"/>
                  <w:vAlign w:val="center"/>
                </w:tcPr>
                <w:p>
                  <w:pPr>
                    <w:pStyle w:val="76"/>
                    <w:jc w:val="center"/>
                    <w:rPr>
                      <w:rFonts w:hint="eastAsia" w:ascii="Times New Roman" w:hAnsi="Times New Roman" w:eastAsia="宋体" w:cs="Times New Roman"/>
                      <w:color w:val="auto"/>
                      <w:sz w:val="21"/>
                      <w:szCs w:val="21"/>
                      <w:highlight w:val="none"/>
                      <w:lang w:eastAsia="zh-CN"/>
                    </w:rPr>
                  </w:pPr>
                  <w:r>
                    <w:rPr>
                      <w:rFonts w:hint="eastAsia" w:ascii="Times New Roman" w:cs="Times New Roman"/>
                      <w:color w:val="auto"/>
                      <w:sz w:val="21"/>
                      <w:szCs w:val="21"/>
                      <w:highlight w:val="none"/>
                      <w:lang w:eastAsia="zh-CN"/>
                    </w:rPr>
                    <w:t>投料</w:t>
                  </w:r>
                </w:p>
              </w:tc>
              <w:tc>
                <w:tcPr>
                  <w:tcW w:w="781" w:type="pct"/>
                  <w:noWrap w:val="0"/>
                  <w:vAlign w:val="center"/>
                </w:tcPr>
                <w:p>
                  <w:pPr>
                    <w:pStyle w:val="76"/>
                    <w:jc w:val="center"/>
                    <w:rPr>
                      <w:rFonts w:hint="eastAsia"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废边角料及不合格品</w:t>
                  </w:r>
                </w:p>
              </w:tc>
              <w:tc>
                <w:tcPr>
                  <w:tcW w:w="809" w:type="pct"/>
                  <w:noWrap w:val="0"/>
                  <w:vAlign w:val="center"/>
                </w:tcPr>
                <w:p>
                  <w:pPr>
                    <w:pStyle w:val="76"/>
                    <w:jc w:val="center"/>
                    <w:rPr>
                      <w:rFonts w:hint="eastAsia" w:ascii="Times New Roman" w:cs="Times New Roman"/>
                      <w:color w:val="auto"/>
                      <w:sz w:val="21"/>
                      <w:szCs w:val="21"/>
                      <w:highlight w:val="none"/>
                      <w:lang w:val="en-US" w:eastAsia="zh-CN" w:bidi="ar-SA"/>
                    </w:rPr>
                  </w:pPr>
                  <w:r>
                    <w:rPr>
                      <w:rFonts w:hint="eastAsia" w:ascii="Times New Roman" w:cs="Times New Roman"/>
                      <w:color w:val="auto"/>
                      <w:sz w:val="21"/>
                      <w:szCs w:val="21"/>
                      <w:highlight w:val="none"/>
                      <w:lang w:val="en-US" w:eastAsia="zh-CN" w:bidi="ar-SA"/>
                    </w:rPr>
                    <w:t>回用于生产</w:t>
                  </w:r>
                </w:p>
              </w:tc>
              <w:tc>
                <w:tcPr>
                  <w:tcW w:w="853"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1618" w:type="pct"/>
                  <w:vMerge w:val="continue"/>
                  <w:noWrap w:val="0"/>
                  <w:vAlign w:val="center"/>
                </w:tcPr>
                <w:p>
                  <w:pPr>
                    <w:adjustRightInd w:val="0"/>
                    <w:snapToGrid w:val="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p>
              </w:tc>
              <w:tc>
                <w:tcPr>
                  <w:tcW w:w="631" w:type="pct"/>
                  <w:noWrap w:val="0"/>
                  <w:vAlign w:val="center"/>
                </w:tcPr>
                <w:p>
                  <w:pPr>
                    <w:pStyle w:val="76"/>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废气处理</w:t>
                  </w:r>
                </w:p>
              </w:tc>
              <w:tc>
                <w:tcPr>
                  <w:tcW w:w="781" w:type="pct"/>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color w:val="auto"/>
                      <w:sz w:val="21"/>
                      <w:szCs w:val="21"/>
                      <w:highlight w:val="none"/>
                      <w:lang w:val="en-US" w:eastAsia="zh-CN"/>
                    </w:rPr>
                    <w:t>废活性炭</w:t>
                  </w:r>
                </w:p>
              </w:tc>
              <w:tc>
                <w:tcPr>
                  <w:tcW w:w="809" w:type="pct"/>
                  <w:noWrap w:val="0"/>
                  <w:vAlign w:val="center"/>
                </w:tcPr>
                <w:p>
                  <w:pPr>
                    <w:pStyle w:val="76"/>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eastAsia="zh-CN"/>
                    </w:rPr>
                    <w:t>委托资质单位定期处置</w:t>
                  </w:r>
                </w:p>
              </w:tc>
              <w:tc>
                <w:tcPr>
                  <w:tcW w:w="853" w:type="pct"/>
                  <w:vMerge w:val="continue"/>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eastAsia="zh-CN"/>
                    </w:rPr>
                  </w:pPr>
                </w:p>
              </w:tc>
              <w:tc>
                <w:tcPr>
                  <w:tcW w:w="1618" w:type="pct"/>
                  <w:vMerge w:val="continue"/>
                  <w:noWrap w:val="0"/>
                  <w:vAlign w:val="center"/>
                </w:tcPr>
                <w:p>
                  <w:pPr>
                    <w:adjustRightInd w:val="0"/>
                    <w:snapToGrid w:val="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噪声</w:t>
                  </w:r>
                </w:p>
              </w:tc>
              <w:tc>
                <w:tcPr>
                  <w:tcW w:w="63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生产设备</w:t>
                  </w:r>
                </w:p>
              </w:tc>
              <w:tc>
                <w:tcPr>
                  <w:tcW w:w="781"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噪声</w:t>
                  </w:r>
                </w:p>
              </w:tc>
              <w:tc>
                <w:tcPr>
                  <w:tcW w:w="809" w:type="pct"/>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降噪、</w:t>
                  </w:r>
                  <w:r>
                    <w:rPr>
                      <w:rFonts w:hint="default" w:ascii="Times New Roman" w:hAnsi="Times New Roman" w:eastAsia="宋体" w:cs="Times New Roman"/>
                      <w:color w:val="auto"/>
                      <w:kern w:val="0"/>
                      <w:sz w:val="21"/>
                      <w:szCs w:val="21"/>
                      <w:highlight w:val="none"/>
                    </w:rPr>
                    <w:t>减振</w:t>
                  </w:r>
                  <w:r>
                    <w:rPr>
                      <w:rFonts w:hint="default" w:ascii="Times New Roman" w:hAnsi="Times New Roman" w:eastAsia="宋体" w:cs="Times New Roman"/>
                      <w:color w:val="auto"/>
                      <w:kern w:val="0"/>
                      <w:sz w:val="21"/>
                      <w:szCs w:val="21"/>
                      <w:highlight w:val="none"/>
                      <w:lang w:eastAsia="zh-CN"/>
                    </w:rPr>
                    <w:t>、隔声、距离衰减等</w:t>
                  </w:r>
                </w:p>
              </w:tc>
              <w:tc>
                <w:tcPr>
                  <w:tcW w:w="853"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昼间≤6</w:t>
                  </w:r>
                  <w:r>
                    <w:rPr>
                      <w:rFonts w:hint="default" w:ascii="Times New Roman" w:hAnsi="Times New Roman"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rPr>
                    <w:t>dB（A）；夜间≤5</w:t>
                  </w:r>
                  <w:r>
                    <w:rPr>
                      <w:rFonts w:hint="default" w:ascii="Times New Roman" w:hAnsi="Times New Roman"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rPr>
                    <w:t>dB（A）</w:t>
                  </w:r>
                </w:p>
              </w:tc>
              <w:tc>
                <w:tcPr>
                  <w:tcW w:w="1618" w:type="pct"/>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满足《工业企业厂界环境噪声排放标准》（GB12348-2008）</w:t>
                  </w: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类标准限值要求</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Chars="0" w:right="0" w:rightChars="0" w:firstLine="480" w:firstLineChars="20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w:t>
            </w:r>
            <w:r>
              <w:rPr>
                <w:rFonts w:hint="eastAsia"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zh-CN"/>
              </w:rPr>
              <w:t>）排污许可管理</w:t>
            </w:r>
          </w:p>
          <w:p>
            <w:pPr>
              <w:keepNext w:val="0"/>
              <w:keepLines w:val="0"/>
              <w:pageBreakBefore w:val="0"/>
              <w:widowControl w:val="0"/>
              <w:kinsoku/>
              <w:wordWrap/>
              <w:overflowPunct/>
              <w:topLinePunct w:val="0"/>
              <w:bidi w:val="0"/>
              <w:snapToGrid/>
              <w:spacing w:line="360" w:lineRule="auto"/>
              <w:ind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环境影响评价制度是建设项目的环境准入门槛，排污许可制是企事业单位生产运营期排污的法律依据，必须做好充分衔接，实现从污染预防到污染治理和排放控制的全过程监管。根据《环境保护部关于印发〈</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十三五</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环境影响评价改革实施方案〉的通知》（环环评〔2016〕95号）、《国务院办公厅关于印发控制污染物排放许可制实施方案的通知》（国办发〔2016〕81号）及环保部《关于做好环境影响评价制度与排污许可制衔接相关工作的通知》（环办环评[2017]84号）中的相关要求，按行业分步实现对固定污染源的排污许可全覆盖。</w:t>
            </w:r>
          </w:p>
          <w:p>
            <w:pPr>
              <w:keepNext w:val="0"/>
              <w:keepLines w:val="0"/>
              <w:pageBreakBefore w:val="0"/>
              <w:widowControl w:val="0"/>
              <w:kinsoku/>
              <w:wordWrap/>
              <w:overflowPunct/>
              <w:topLinePunct w:val="0"/>
              <w:bidi w:val="0"/>
              <w:snapToGrid/>
              <w:spacing w:line="360" w:lineRule="auto"/>
              <w:ind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根据《固定污染源排污许可分类管理名录（2019年版）》，本项目涉及的分类情况如下。</w:t>
            </w:r>
          </w:p>
          <w:p>
            <w:pPr>
              <w:spacing w:line="360" w:lineRule="auto"/>
              <w:ind w:firstLine="482"/>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kern w:val="0"/>
                <w:sz w:val="24"/>
                <w:szCs w:val="24"/>
                <w:highlight w:val="none"/>
              </w:rPr>
              <w:t>表</w:t>
            </w:r>
            <w:r>
              <w:rPr>
                <w:rFonts w:hint="default" w:ascii="Times New Roman" w:hAnsi="Times New Roman" w:cs="Times New Roman"/>
                <w:b/>
                <w:bCs/>
                <w:color w:val="auto"/>
                <w:kern w:val="0"/>
                <w:sz w:val="24"/>
                <w:szCs w:val="24"/>
                <w:highlight w:val="none"/>
                <w:lang w:val="en-US" w:eastAsia="zh-CN"/>
              </w:rPr>
              <w:t>5-3</w:t>
            </w:r>
            <w:r>
              <w:rPr>
                <w:rFonts w:hint="default" w:ascii="Times New Roman" w:hAnsi="Times New Roman" w:cs="Times New Roman"/>
                <w:b/>
                <w:bCs/>
                <w:color w:val="auto"/>
                <w:kern w:val="0"/>
                <w:sz w:val="24"/>
                <w:szCs w:val="24"/>
                <w:highlight w:val="none"/>
              </w:rPr>
              <w:t xml:space="preserve">  本项目排污许可证分类管理名录一览表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430"/>
              <w:gridCol w:w="1135"/>
              <w:gridCol w:w="2956"/>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87" w:type="pct"/>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 xml:space="preserve">        </w:t>
                  </w:r>
                  <w:r>
                    <w:rPr>
                      <w:rFonts w:hint="default" w:ascii="Times New Roman" w:hAnsi="Times New Roman" w:cs="Times New Roman"/>
                      <w:b/>
                      <w:bCs/>
                      <w:color w:val="auto"/>
                      <w:kern w:val="0"/>
                      <w:sz w:val="21"/>
                      <w:szCs w:val="21"/>
                      <w:highlight w:val="none"/>
                      <w:lang w:val="en-US" w:eastAsia="zh-CN"/>
                    </w:rPr>
                    <w:t>管理</w:t>
                  </w:r>
                  <w:r>
                    <w:rPr>
                      <w:rFonts w:hint="default" w:ascii="Times New Roman" w:hAnsi="Times New Roman" w:eastAsia="宋体" w:cs="Times New Roman"/>
                      <w:b/>
                      <w:bCs/>
                      <w:color w:val="auto"/>
                      <w:kern w:val="0"/>
                      <w:sz w:val="21"/>
                      <w:szCs w:val="21"/>
                      <w:highlight w:val="none"/>
                      <w:lang w:eastAsia="zh-CN"/>
                    </w:rPr>
                    <w:t>类别</w:t>
                  </w:r>
                </w:p>
                <w:p>
                  <w:pPr>
                    <w:autoSpaceDE w:val="0"/>
                    <w:autoSpaceDN w:val="0"/>
                    <w:adjustRightInd w:val="0"/>
                    <w:jc w:val="both"/>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val="en-US" w:eastAsia="zh-CN"/>
                    </w:rPr>
                    <w:t>行业</w:t>
                  </w:r>
                  <w:r>
                    <w:rPr>
                      <w:rFonts w:hint="default" w:ascii="Times New Roman" w:hAnsi="Times New Roman" w:eastAsia="宋体" w:cs="Times New Roman"/>
                      <w:b/>
                      <w:bCs/>
                      <w:color w:val="auto"/>
                      <w:kern w:val="0"/>
                      <w:sz w:val="21"/>
                      <w:szCs w:val="21"/>
                      <w:highlight w:val="none"/>
                      <w:lang w:eastAsia="zh-CN"/>
                    </w:rPr>
                    <w:t>类别</w:t>
                  </w:r>
                </w:p>
              </w:tc>
              <w:tc>
                <w:tcPr>
                  <w:tcW w:w="810" w:type="pct"/>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eastAsia="zh-CN"/>
                    </w:rPr>
                    <w:t>重点管理</w:t>
                  </w:r>
                  <w:r>
                    <w:rPr>
                      <w:rFonts w:hint="default" w:ascii="Times New Roman" w:hAnsi="Times New Roman" w:eastAsia="宋体" w:cs="Times New Roman"/>
                      <w:b/>
                      <w:bCs/>
                      <w:color w:val="auto"/>
                      <w:kern w:val="0"/>
                      <w:sz w:val="21"/>
                      <w:szCs w:val="21"/>
                      <w:highlight w:val="none"/>
                      <w:lang w:val="en-US" w:eastAsia="zh-CN"/>
                    </w:rPr>
                    <w:t xml:space="preserve"> </w:t>
                  </w:r>
                </w:p>
              </w:tc>
              <w:tc>
                <w:tcPr>
                  <w:tcW w:w="2110" w:type="pct"/>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简化管理</w:t>
                  </w:r>
                </w:p>
              </w:tc>
              <w:tc>
                <w:tcPr>
                  <w:tcW w:w="691" w:type="pct"/>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二十四、橡胶和塑料制品业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62</w:t>
                  </w:r>
                </w:p>
              </w:tc>
              <w:tc>
                <w:tcPr>
                  <w:tcW w:w="102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塑料制品业 292</w:t>
                  </w:r>
                </w:p>
              </w:tc>
              <w:tc>
                <w:tcPr>
                  <w:tcW w:w="81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塑料人造革、合成革制造 2925</w:t>
                  </w:r>
                </w:p>
              </w:tc>
              <w:tc>
                <w:tcPr>
                  <w:tcW w:w="211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年产 1 万吨及以上的泡沫塑料制造 2924，年产 1 万吨及以上涉及改性的塑料薄膜制造 2921、塑料板、管、型材制造 2922、塑料丝、绳和编织品制造 2923、塑料包装箱及容器制造 2926、日用塑料品制造 2927、人造草坪制造 2928、</w:t>
                  </w:r>
                  <w:r>
                    <w:rPr>
                      <w:rFonts w:hint="default" w:ascii="Times New Roman" w:hAnsi="Times New Roman" w:eastAsia="宋体" w:cs="Times New Roman"/>
                      <w:b w:val="0"/>
                      <w:bCs w:val="0"/>
                      <w:color w:val="auto"/>
                      <w:kern w:val="0"/>
                      <w:sz w:val="21"/>
                      <w:szCs w:val="21"/>
                      <w:highlight w:val="none"/>
                      <w:lang w:val="en-US" w:eastAsia="zh-CN" w:bidi="ar"/>
                    </w:rPr>
                    <w:t>塑料零件及其他塑料制品制造 2929</w:t>
                  </w:r>
                </w:p>
              </w:tc>
              <w:tc>
                <w:tcPr>
                  <w:tcW w:w="691" w:type="pct"/>
                  <w:tcBorders>
                    <w:top w:val="single" w:color="auto" w:sz="4" w:space="0"/>
                    <w:left w:val="nil"/>
                    <w:bottom w:val="single" w:color="auto" w:sz="4" w:space="0"/>
                    <w:right w:val="single" w:color="auto" w:sz="4" w:space="0"/>
                  </w:tcBorders>
                  <w:noWrap w:val="0"/>
                  <w:vAlign w:val="center"/>
                </w:tcPr>
                <w:p>
                  <w:pPr>
                    <w:bidi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其他</w:t>
                  </w:r>
                </w:p>
              </w:tc>
            </w:tr>
          </w:tbl>
          <w:p>
            <w:pPr>
              <w:spacing w:line="360" w:lineRule="auto"/>
              <w:ind w:right="105" w:rightChars="50"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本项目行业为</w:t>
            </w:r>
            <w:r>
              <w:rPr>
                <w:rFonts w:hint="default" w:ascii="Times New Roman" w:hAnsi="Times New Roman" w:eastAsia="宋体" w:cs="Times New Roman"/>
                <w:color w:val="auto"/>
                <w:sz w:val="24"/>
                <w:szCs w:val="24"/>
                <w:highlight w:val="none"/>
                <w:lang w:val="en-US" w:eastAsia="zh-CN"/>
              </w:rPr>
              <w:t>C2921塑料薄膜制造</w:t>
            </w:r>
            <w:r>
              <w:rPr>
                <w:rFonts w:hint="default" w:ascii="Times New Roman" w:hAnsi="Times New Roman" w:cs="Times New Roman"/>
                <w:color w:val="auto"/>
                <w:sz w:val="24"/>
                <w:szCs w:val="24"/>
                <w:highlight w:val="none"/>
                <w:lang w:val="en-US" w:eastAsia="zh-CN"/>
              </w:rPr>
              <w:t>，根据上表，实行</w:t>
            </w:r>
            <w:r>
              <w:rPr>
                <w:rFonts w:hint="eastAsia" w:cs="Times New Roman"/>
                <w:color w:val="auto"/>
                <w:sz w:val="24"/>
                <w:szCs w:val="24"/>
                <w:highlight w:val="none"/>
                <w:lang w:val="en-US" w:eastAsia="zh-CN"/>
              </w:rPr>
              <w:t>登记</w:t>
            </w:r>
            <w:r>
              <w:rPr>
                <w:rFonts w:hint="default" w:ascii="Times New Roman" w:hAnsi="Times New Roman" w:cs="Times New Roman"/>
                <w:color w:val="auto"/>
                <w:sz w:val="24"/>
                <w:szCs w:val="24"/>
                <w:highlight w:val="none"/>
                <w:lang w:val="en-US" w:eastAsia="zh-CN"/>
              </w:rPr>
              <w:t>管理</w:t>
            </w:r>
            <w:r>
              <w:rPr>
                <w:rFonts w:hint="default" w:ascii="Times New Roman" w:hAnsi="Times New Roman" w:cs="Times New Roman"/>
                <w:color w:val="auto"/>
                <w:sz w:val="24"/>
                <w:szCs w:val="24"/>
                <w:highlight w:val="none"/>
              </w:rPr>
              <w:t>，建设单位应严格执行上述要求，在完成建设后按照环境影响评价文件及批复中与污染物排放相关的内容</w:t>
            </w:r>
            <w:r>
              <w:rPr>
                <w:rFonts w:hint="default" w:ascii="Times New Roman" w:hAnsi="Times New Roman" w:cs="Times New Roman"/>
                <w:color w:val="auto"/>
                <w:sz w:val="24"/>
                <w:szCs w:val="24"/>
                <w:highlight w:val="none"/>
                <w:lang w:val="en-US" w:eastAsia="zh-CN"/>
              </w:rPr>
              <w:t>进行</w:t>
            </w:r>
            <w:r>
              <w:rPr>
                <w:rFonts w:hint="default" w:ascii="Times New Roman" w:hAnsi="Times New Roman" w:cs="Times New Roman"/>
                <w:color w:val="auto"/>
                <w:sz w:val="24"/>
                <w:szCs w:val="24"/>
                <w:highlight w:val="none"/>
              </w:rPr>
              <w:t>排污许</w:t>
            </w:r>
            <w:r>
              <w:rPr>
                <w:rFonts w:hint="default" w:ascii="Times New Roman" w:hAnsi="Times New Roman" w:cs="Times New Roman"/>
                <w:color w:val="auto"/>
                <w:sz w:val="24"/>
                <w:szCs w:val="24"/>
                <w:highlight w:val="none"/>
                <w:lang w:val="en-US" w:eastAsia="zh-CN"/>
              </w:rPr>
              <w:t>可简化管理</w:t>
            </w:r>
            <w:r>
              <w:rPr>
                <w:rFonts w:hint="default" w:ascii="Times New Roman" w:hAnsi="Times New Roman" w:cs="Times New Roman"/>
                <w:color w:val="auto"/>
                <w:sz w:val="24"/>
                <w:szCs w:val="24"/>
                <w:highlight w:val="none"/>
              </w:rPr>
              <w:t>。</w:t>
            </w:r>
          </w:p>
        </w:tc>
      </w:tr>
    </w:tbl>
    <w:p>
      <w:pPr>
        <w:pStyle w:val="19"/>
        <w:jc w:val="center"/>
        <w:outlineLvl w:val="0"/>
        <w:rPr>
          <w:rFonts w:hint="default" w:ascii="Times New Roman" w:hAnsi="Times New Roman" w:eastAsia="黑体" w:cs="Times New Roman"/>
          <w:snapToGrid w:val="0"/>
          <w:color w:val="FF0000"/>
          <w:sz w:val="30"/>
          <w:szCs w:val="30"/>
          <w:highlight w:val="none"/>
        </w:rPr>
      </w:pPr>
      <w:r>
        <w:rPr>
          <w:rFonts w:hint="default" w:ascii="Times New Roman" w:hAnsi="Times New Roman" w:cs="Times New Roman"/>
          <w:snapToGrid w:val="0"/>
          <w:color w:val="FF0000"/>
          <w:highlight w:val="none"/>
        </w:rPr>
        <w:br w:type="page"/>
      </w:r>
      <w:r>
        <w:rPr>
          <w:rFonts w:hint="default" w:ascii="Times New Roman" w:hAnsi="Times New Roman" w:eastAsia="黑体" w:cs="Times New Roman"/>
          <w:snapToGrid w:val="0"/>
          <w:color w:val="auto"/>
          <w:sz w:val="30"/>
          <w:szCs w:val="30"/>
          <w:highlight w:val="none"/>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7" w:hRule="atLeast"/>
          <w:jc w:val="center"/>
        </w:trPr>
        <w:tc>
          <w:tcPr>
            <w:tcW w:w="8865" w:type="dxa"/>
            <w:noWrap w:val="0"/>
            <w:vAlign w:val="center"/>
          </w:tcPr>
          <w:p>
            <w:pPr>
              <w:pStyle w:val="2"/>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sz w:val="24"/>
                <w:szCs w:val="24"/>
                <w:highlight w:val="none"/>
              </w:rPr>
              <w:t>综上所述，本项目建设符合产业政策要求</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选址合理</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生产工艺较先进</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采取了有效的污染防治措施后，污染物实现达标排放</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同时项目具有较好的环境、经济和社会效益。在严格落实本报告表提出的各项措施的基础上，本项目从环境保护角度考虑是可行的。</w:t>
            </w:r>
          </w:p>
        </w:tc>
      </w:tr>
    </w:tbl>
    <w:p>
      <w:pPr>
        <w:rPr>
          <w:rFonts w:hint="default" w:ascii="Times New Roman" w:hAnsi="Times New Roman" w:cs="Times New Roman"/>
          <w:color w:val="FF000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line="480" w:lineRule="auto"/>
        <w:outlineLvl w:val="0"/>
        <w:rPr>
          <w:rFonts w:hint="default" w:ascii="Times New Roman" w:hAnsi="Times New Roman" w:eastAsia="黑体"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附表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jc w:val="center"/>
        <w:textAlignment w:val="auto"/>
        <w:outlineLvl w:val="0"/>
        <w:rPr>
          <w:rFonts w:hint="default" w:ascii="Times New Roman" w:hAnsi="Times New Roman" w:eastAsia="方正小标宋_GBK" w:cs="Times New Roman"/>
          <w:snapToGrid w:val="0"/>
          <w:color w:val="auto"/>
          <w:sz w:val="36"/>
          <w:szCs w:val="36"/>
          <w:highlight w:val="none"/>
        </w:rPr>
      </w:pPr>
      <w:r>
        <w:rPr>
          <w:rFonts w:hint="default" w:ascii="Times New Roman" w:hAnsi="Times New Roman" w:eastAsia="方正小标宋_GBK" w:cs="Times New Roman"/>
          <w:snapToGrid w:val="0"/>
          <w:color w:val="auto"/>
          <w:sz w:val="36"/>
          <w:szCs w:val="36"/>
          <w:highlight w:val="none"/>
        </w:rPr>
        <w:t>建设项目污染物排放量汇总表</w:t>
      </w:r>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579"/>
        <w:gridCol w:w="1616"/>
        <w:gridCol w:w="1212"/>
        <w:gridCol w:w="1616"/>
        <w:gridCol w:w="1481"/>
        <w:gridCol w:w="1673"/>
        <w:gridCol w:w="1859"/>
        <w:gridCol w:w="11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3" w:type="pct"/>
            <w:tcBorders>
              <w:tl2br w:val="single" w:color="auto" w:sz="4" w:space="0"/>
            </w:tcBorders>
            <w:noWrap w:val="0"/>
            <w:tcMar>
              <w:left w:w="28" w:type="dxa"/>
              <w:right w:w="28" w:type="dxa"/>
            </w:tcMar>
            <w:vAlign w:val="center"/>
          </w:tcPr>
          <w:p>
            <w:pPr>
              <w:pStyle w:val="61"/>
              <w:spacing w:beforeLines="0" w:afterLines="0" w:line="240" w:lineRule="auto"/>
              <w:jc w:val="right"/>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项目</w:t>
            </w:r>
          </w:p>
          <w:p>
            <w:pPr>
              <w:pStyle w:val="61"/>
              <w:spacing w:beforeLines="0" w:afterLines="0" w:line="240" w:lineRule="auto"/>
              <w:jc w:val="left"/>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分类</w:t>
            </w:r>
          </w:p>
        </w:tc>
        <w:tc>
          <w:tcPr>
            <w:tcW w:w="585"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污染物名称</w:t>
            </w:r>
          </w:p>
        </w:tc>
        <w:tc>
          <w:tcPr>
            <w:tcW w:w="599"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现有工程</w:t>
            </w:r>
          </w:p>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排放量（固体废物产生量）</w:t>
            </w:r>
            <w:r>
              <w:rPr>
                <w:rFonts w:hint="default" w:ascii="Times New Roman" w:hAnsi="Times New Roman" w:eastAsia="黑体" w:cs="Times New Roman"/>
                <w:snapToGrid w:val="0"/>
                <w:color w:val="auto"/>
                <w:spacing w:val="-6"/>
                <w:kern w:val="21"/>
                <w:sz w:val="21"/>
                <w:szCs w:val="21"/>
                <w:highlight w:val="none"/>
              </w:rPr>
              <w:fldChar w:fldCharType="begin"/>
            </w:r>
            <w:r>
              <w:rPr>
                <w:rFonts w:hint="default" w:ascii="Times New Roman" w:hAnsi="Times New Roman" w:eastAsia="黑体" w:cs="Times New Roman"/>
                <w:snapToGrid w:val="0"/>
                <w:color w:val="auto"/>
                <w:spacing w:val="-6"/>
                <w:kern w:val="21"/>
                <w:sz w:val="21"/>
                <w:szCs w:val="21"/>
                <w:highlight w:val="none"/>
              </w:rPr>
              <w:instrText xml:space="preserve"> = 1 \* GB3 \* MERGEFORMAT </w:instrText>
            </w:r>
            <w:r>
              <w:rPr>
                <w:rFonts w:hint="default" w:ascii="Times New Roman" w:hAnsi="Times New Roman" w:eastAsia="黑体" w:cs="Times New Roman"/>
                <w:snapToGrid w:val="0"/>
                <w:color w:val="auto"/>
                <w:spacing w:val="-6"/>
                <w:kern w:val="21"/>
                <w:sz w:val="21"/>
                <w:szCs w:val="21"/>
                <w:highlight w:val="none"/>
              </w:rPr>
              <w:fldChar w:fldCharType="separate"/>
            </w:r>
            <w:r>
              <w:rPr>
                <w:rFonts w:hint="default" w:ascii="Times New Roman" w:hAnsi="Times New Roman" w:cs="Times New Roman"/>
                <w:color w:val="auto"/>
                <w:kern w:val="2"/>
                <w:sz w:val="21"/>
                <w:szCs w:val="21"/>
                <w:highlight w:val="none"/>
              </w:rPr>
              <w:t>①</w:t>
            </w:r>
            <w:r>
              <w:rPr>
                <w:rFonts w:hint="default" w:ascii="Times New Roman" w:hAnsi="Times New Roman" w:eastAsia="黑体" w:cs="Times New Roman"/>
                <w:snapToGrid w:val="0"/>
                <w:color w:val="auto"/>
                <w:spacing w:val="-6"/>
                <w:kern w:val="21"/>
                <w:sz w:val="21"/>
                <w:szCs w:val="21"/>
                <w:highlight w:val="none"/>
              </w:rPr>
              <w:fldChar w:fldCharType="end"/>
            </w:r>
          </w:p>
        </w:tc>
        <w:tc>
          <w:tcPr>
            <w:tcW w:w="449"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现有工程</w:t>
            </w:r>
          </w:p>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许可排放量</w:t>
            </w:r>
          </w:p>
          <w:p>
            <w:pPr>
              <w:pStyle w:val="61"/>
              <w:spacing w:beforeLines="0" w:afterLines="0"/>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fldChar w:fldCharType="begin"/>
            </w:r>
            <w:r>
              <w:rPr>
                <w:rFonts w:hint="default" w:ascii="Times New Roman" w:hAnsi="Times New Roman" w:eastAsia="黑体" w:cs="Times New Roman"/>
                <w:snapToGrid w:val="0"/>
                <w:color w:val="auto"/>
                <w:spacing w:val="-6"/>
                <w:kern w:val="21"/>
                <w:sz w:val="21"/>
                <w:szCs w:val="21"/>
                <w:highlight w:val="none"/>
              </w:rPr>
              <w:instrText xml:space="preserve"> = 2 \* GB3 \* MERGEFORMAT </w:instrText>
            </w:r>
            <w:r>
              <w:rPr>
                <w:rFonts w:hint="default" w:ascii="Times New Roman" w:hAnsi="Times New Roman" w:eastAsia="黑体" w:cs="Times New Roman"/>
                <w:snapToGrid w:val="0"/>
                <w:color w:val="auto"/>
                <w:spacing w:val="-6"/>
                <w:kern w:val="21"/>
                <w:sz w:val="21"/>
                <w:szCs w:val="21"/>
                <w:highlight w:val="none"/>
              </w:rPr>
              <w:fldChar w:fldCharType="separate"/>
            </w:r>
            <w:r>
              <w:rPr>
                <w:rFonts w:hint="default" w:ascii="Times New Roman" w:hAnsi="Times New Roman" w:cs="Times New Roman"/>
                <w:snapToGrid w:val="0"/>
                <w:color w:val="auto"/>
                <w:spacing w:val="-6"/>
                <w:kern w:val="21"/>
                <w:sz w:val="21"/>
                <w:szCs w:val="21"/>
                <w:highlight w:val="none"/>
              </w:rPr>
              <w:t>②</w:t>
            </w:r>
            <w:r>
              <w:rPr>
                <w:rFonts w:hint="default" w:ascii="Times New Roman" w:hAnsi="Times New Roman" w:eastAsia="黑体" w:cs="Times New Roman"/>
                <w:snapToGrid w:val="0"/>
                <w:color w:val="auto"/>
                <w:spacing w:val="-6"/>
                <w:kern w:val="21"/>
                <w:sz w:val="21"/>
                <w:szCs w:val="21"/>
                <w:highlight w:val="none"/>
              </w:rPr>
              <w:fldChar w:fldCharType="end"/>
            </w:r>
          </w:p>
        </w:tc>
        <w:tc>
          <w:tcPr>
            <w:tcW w:w="599"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在建工程</w:t>
            </w:r>
          </w:p>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排放量（固体废物产生量）</w:t>
            </w:r>
            <w:r>
              <w:rPr>
                <w:rFonts w:hint="default" w:ascii="Times New Roman" w:hAnsi="Times New Roman" w:eastAsia="黑体" w:cs="Times New Roman"/>
                <w:snapToGrid w:val="0"/>
                <w:color w:val="auto"/>
                <w:spacing w:val="-6"/>
                <w:kern w:val="21"/>
                <w:sz w:val="21"/>
                <w:szCs w:val="21"/>
                <w:highlight w:val="none"/>
              </w:rPr>
              <w:fldChar w:fldCharType="begin"/>
            </w:r>
            <w:r>
              <w:rPr>
                <w:rFonts w:hint="default" w:ascii="Times New Roman" w:hAnsi="Times New Roman" w:eastAsia="黑体" w:cs="Times New Roman"/>
                <w:snapToGrid w:val="0"/>
                <w:color w:val="auto"/>
                <w:spacing w:val="-6"/>
                <w:kern w:val="21"/>
                <w:sz w:val="21"/>
                <w:szCs w:val="21"/>
                <w:highlight w:val="none"/>
              </w:rPr>
              <w:instrText xml:space="preserve"> = 3 \* GB3 \* MERGEFORMAT </w:instrText>
            </w:r>
            <w:r>
              <w:rPr>
                <w:rFonts w:hint="default" w:ascii="Times New Roman" w:hAnsi="Times New Roman" w:eastAsia="黑体" w:cs="Times New Roman"/>
                <w:snapToGrid w:val="0"/>
                <w:color w:val="auto"/>
                <w:spacing w:val="-6"/>
                <w:kern w:val="21"/>
                <w:sz w:val="21"/>
                <w:szCs w:val="21"/>
                <w:highlight w:val="none"/>
              </w:rPr>
              <w:fldChar w:fldCharType="separate"/>
            </w:r>
            <w:r>
              <w:rPr>
                <w:rFonts w:hint="default" w:ascii="Times New Roman" w:hAnsi="Times New Roman" w:cs="Times New Roman"/>
                <w:color w:val="auto"/>
                <w:kern w:val="2"/>
                <w:sz w:val="21"/>
                <w:szCs w:val="21"/>
                <w:highlight w:val="none"/>
              </w:rPr>
              <w:t>③</w:t>
            </w:r>
            <w:r>
              <w:rPr>
                <w:rFonts w:hint="default" w:ascii="Times New Roman" w:hAnsi="Times New Roman" w:eastAsia="黑体" w:cs="Times New Roman"/>
                <w:snapToGrid w:val="0"/>
                <w:color w:val="auto"/>
                <w:spacing w:val="-6"/>
                <w:kern w:val="21"/>
                <w:sz w:val="21"/>
                <w:szCs w:val="21"/>
                <w:highlight w:val="none"/>
              </w:rPr>
              <w:fldChar w:fldCharType="end"/>
            </w:r>
          </w:p>
        </w:tc>
        <w:tc>
          <w:tcPr>
            <w:tcW w:w="549"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本项目</w:t>
            </w:r>
          </w:p>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排放量（固体废物产生量）</w:t>
            </w:r>
            <w:r>
              <w:rPr>
                <w:rFonts w:hint="default" w:ascii="Times New Roman" w:hAnsi="Times New Roman" w:eastAsia="黑体" w:cs="Times New Roman"/>
                <w:snapToGrid w:val="0"/>
                <w:color w:val="auto"/>
                <w:spacing w:val="-6"/>
                <w:kern w:val="21"/>
                <w:sz w:val="21"/>
                <w:szCs w:val="21"/>
                <w:highlight w:val="none"/>
              </w:rPr>
              <w:fldChar w:fldCharType="begin"/>
            </w:r>
            <w:r>
              <w:rPr>
                <w:rFonts w:hint="default" w:ascii="Times New Roman" w:hAnsi="Times New Roman" w:eastAsia="黑体" w:cs="Times New Roman"/>
                <w:snapToGrid w:val="0"/>
                <w:color w:val="auto"/>
                <w:spacing w:val="-6"/>
                <w:kern w:val="21"/>
                <w:sz w:val="21"/>
                <w:szCs w:val="21"/>
                <w:highlight w:val="none"/>
              </w:rPr>
              <w:instrText xml:space="preserve"> = 4 \* GB3 \* MERGEFORMAT </w:instrText>
            </w:r>
            <w:r>
              <w:rPr>
                <w:rFonts w:hint="default" w:ascii="Times New Roman" w:hAnsi="Times New Roman" w:eastAsia="黑体" w:cs="Times New Roman"/>
                <w:snapToGrid w:val="0"/>
                <w:color w:val="auto"/>
                <w:spacing w:val="-6"/>
                <w:kern w:val="21"/>
                <w:sz w:val="21"/>
                <w:szCs w:val="21"/>
                <w:highlight w:val="none"/>
              </w:rPr>
              <w:fldChar w:fldCharType="separate"/>
            </w:r>
            <w:r>
              <w:rPr>
                <w:rFonts w:hint="default" w:ascii="Times New Roman" w:hAnsi="Times New Roman" w:cs="Times New Roman"/>
                <w:color w:val="auto"/>
                <w:kern w:val="2"/>
                <w:sz w:val="21"/>
                <w:szCs w:val="21"/>
                <w:highlight w:val="none"/>
              </w:rPr>
              <w:t>④</w:t>
            </w:r>
            <w:r>
              <w:rPr>
                <w:rFonts w:hint="default" w:ascii="Times New Roman" w:hAnsi="Times New Roman" w:eastAsia="黑体" w:cs="Times New Roman"/>
                <w:snapToGrid w:val="0"/>
                <w:color w:val="auto"/>
                <w:spacing w:val="-6"/>
                <w:kern w:val="21"/>
                <w:sz w:val="21"/>
                <w:szCs w:val="21"/>
                <w:highlight w:val="none"/>
              </w:rPr>
              <w:fldChar w:fldCharType="end"/>
            </w:r>
          </w:p>
        </w:tc>
        <w:tc>
          <w:tcPr>
            <w:tcW w:w="620"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16"/>
                <w:kern w:val="21"/>
                <w:sz w:val="21"/>
                <w:szCs w:val="21"/>
                <w:highlight w:val="none"/>
              </w:rPr>
            </w:pPr>
            <w:r>
              <w:rPr>
                <w:rFonts w:hint="default" w:ascii="Times New Roman" w:hAnsi="Times New Roman" w:eastAsia="黑体" w:cs="Times New Roman"/>
                <w:snapToGrid w:val="0"/>
                <w:color w:val="auto"/>
                <w:spacing w:val="-16"/>
                <w:kern w:val="21"/>
                <w:sz w:val="21"/>
                <w:szCs w:val="21"/>
                <w:highlight w:val="none"/>
              </w:rPr>
              <w:t>以新带老削减量</w:t>
            </w:r>
          </w:p>
          <w:p>
            <w:pPr>
              <w:pStyle w:val="61"/>
              <w:spacing w:beforeLines="0" w:afterLines="0" w:line="240" w:lineRule="auto"/>
              <w:rPr>
                <w:rFonts w:hint="default" w:ascii="Times New Roman" w:hAnsi="Times New Roman" w:eastAsia="黑体" w:cs="Times New Roman"/>
                <w:snapToGrid w:val="0"/>
                <w:color w:val="auto"/>
                <w:spacing w:val="-16"/>
                <w:kern w:val="21"/>
                <w:sz w:val="21"/>
                <w:szCs w:val="21"/>
                <w:highlight w:val="none"/>
              </w:rPr>
            </w:pPr>
            <w:r>
              <w:rPr>
                <w:rFonts w:hint="default" w:ascii="Times New Roman" w:hAnsi="Times New Roman" w:eastAsia="黑体" w:cs="Times New Roman"/>
                <w:snapToGrid w:val="0"/>
                <w:color w:val="auto"/>
                <w:spacing w:val="-16"/>
                <w:kern w:val="21"/>
                <w:sz w:val="21"/>
                <w:szCs w:val="21"/>
                <w:highlight w:val="none"/>
              </w:rPr>
              <w:t>（新建项目不填）</w:t>
            </w:r>
            <w:r>
              <w:rPr>
                <w:rFonts w:hint="default" w:ascii="Times New Roman" w:hAnsi="Times New Roman" w:eastAsia="黑体" w:cs="Times New Roman"/>
                <w:snapToGrid w:val="0"/>
                <w:color w:val="auto"/>
                <w:spacing w:val="-16"/>
                <w:kern w:val="21"/>
                <w:sz w:val="21"/>
                <w:szCs w:val="21"/>
                <w:highlight w:val="none"/>
              </w:rPr>
              <w:fldChar w:fldCharType="begin"/>
            </w:r>
            <w:r>
              <w:rPr>
                <w:rFonts w:hint="default" w:ascii="Times New Roman" w:hAnsi="Times New Roman" w:eastAsia="黑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黑体" w:cs="Times New Roman"/>
                <w:snapToGrid w:val="0"/>
                <w:color w:val="auto"/>
                <w:spacing w:val="-16"/>
                <w:kern w:val="21"/>
                <w:sz w:val="21"/>
                <w:szCs w:val="21"/>
                <w:highlight w:val="none"/>
              </w:rPr>
              <w:fldChar w:fldCharType="separate"/>
            </w:r>
            <w:r>
              <w:rPr>
                <w:rFonts w:hint="default" w:ascii="Times New Roman" w:hAnsi="Times New Roman" w:cs="Times New Roman"/>
                <w:color w:val="auto"/>
                <w:kern w:val="2"/>
                <w:sz w:val="21"/>
                <w:szCs w:val="21"/>
                <w:highlight w:val="none"/>
              </w:rPr>
              <w:t>⑤</w:t>
            </w:r>
            <w:r>
              <w:rPr>
                <w:rFonts w:hint="default" w:ascii="Times New Roman" w:hAnsi="Times New Roman" w:eastAsia="黑体" w:cs="Times New Roman"/>
                <w:snapToGrid w:val="0"/>
                <w:color w:val="auto"/>
                <w:spacing w:val="-16"/>
                <w:kern w:val="21"/>
                <w:sz w:val="21"/>
                <w:szCs w:val="21"/>
                <w:highlight w:val="none"/>
              </w:rPr>
              <w:fldChar w:fldCharType="end"/>
            </w:r>
          </w:p>
        </w:tc>
        <w:tc>
          <w:tcPr>
            <w:tcW w:w="689"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16"/>
                <w:kern w:val="21"/>
                <w:sz w:val="21"/>
                <w:szCs w:val="21"/>
                <w:highlight w:val="none"/>
              </w:rPr>
            </w:pPr>
            <w:r>
              <w:rPr>
                <w:rFonts w:hint="default" w:ascii="Times New Roman" w:hAnsi="Times New Roman" w:eastAsia="黑体" w:cs="Times New Roman"/>
                <w:snapToGrid w:val="0"/>
                <w:color w:val="auto"/>
                <w:spacing w:val="-16"/>
                <w:kern w:val="21"/>
                <w:sz w:val="21"/>
                <w:szCs w:val="21"/>
                <w:highlight w:val="none"/>
              </w:rPr>
              <w:t>本项目建成后</w:t>
            </w:r>
          </w:p>
          <w:p>
            <w:pPr>
              <w:pStyle w:val="61"/>
              <w:spacing w:beforeLines="0" w:afterLines="0" w:line="240" w:lineRule="auto"/>
              <w:rPr>
                <w:rFonts w:hint="default" w:ascii="Times New Roman" w:hAnsi="Times New Roman" w:eastAsia="黑体" w:cs="Times New Roman"/>
                <w:snapToGrid w:val="0"/>
                <w:color w:val="auto"/>
                <w:spacing w:val="-16"/>
                <w:kern w:val="21"/>
                <w:sz w:val="21"/>
                <w:szCs w:val="21"/>
                <w:highlight w:val="none"/>
              </w:rPr>
            </w:pPr>
            <w:r>
              <w:rPr>
                <w:rFonts w:hint="default" w:ascii="Times New Roman" w:hAnsi="Times New Roman" w:eastAsia="黑体" w:cs="Times New Roman"/>
                <w:snapToGrid w:val="0"/>
                <w:color w:val="auto"/>
                <w:spacing w:val="-16"/>
                <w:kern w:val="21"/>
                <w:sz w:val="21"/>
                <w:szCs w:val="21"/>
                <w:highlight w:val="none"/>
              </w:rPr>
              <w:t>全厂排放量（固体废物产生量）</w:t>
            </w:r>
            <w:r>
              <w:rPr>
                <w:rFonts w:hint="default" w:ascii="Times New Roman" w:hAnsi="Times New Roman" w:eastAsia="黑体" w:cs="Times New Roman"/>
                <w:snapToGrid w:val="0"/>
                <w:color w:val="auto"/>
                <w:spacing w:val="-16"/>
                <w:kern w:val="21"/>
                <w:sz w:val="21"/>
                <w:szCs w:val="21"/>
                <w:highlight w:val="none"/>
              </w:rPr>
              <w:fldChar w:fldCharType="begin"/>
            </w:r>
            <w:r>
              <w:rPr>
                <w:rFonts w:hint="default" w:ascii="Times New Roman" w:hAnsi="Times New Roman" w:eastAsia="黑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黑体" w:cs="Times New Roman"/>
                <w:snapToGrid w:val="0"/>
                <w:color w:val="auto"/>
                <w:spacing w:val="-16"/>
                <w:kern w:val="21"/>
                <w:sz w:val="21"/>
                <w:szCs w:val="21"/>
                <w:highlight w:val="none"/>
              </w:rPr>
              <w:fldChar w:fldCharType="separate"/>
            </w:r>
            <w:r>
              <w:rPr>
                <w:rFonts w:hint="default" w:ascii="Times New Roman" w:hAnsi="Times New Roman" w:cs="Times New Roman"/>
                <w:color w:val="auto"/>
                <w:kern w:val="2"/>
                <w:sz w:val="21"/>
                <w:szCs w:val="21"/>
                <w:highlight w:val="none"/>
              </w:rPr>
              <w:t>⑥</w:t>
            </w:r>
            <w:r>
              <w:rPr>
                <w:rFonts w:hint="default" w:ascii="Times New Roman" w:hAnsi="Times New Roman" w:eastAsia="黑体" w:cs="Times New Roman"/>
                <w:snapToGrid w:val="0"/>
                <w:color w:val="auto"/>
                <w:spacing w:val="-16"/>
                <w:kern w:val="21"/>
                <w:sz w:val="21"/>
                <w:szCs w:val="21"/>
                <w:highlight w:val="none"/>
              </w:rPr>
              <w:fldChar w:fldCharType="end"/>
            </w:r>
          </w:p>
        </w:tc>
        <w:tc>
          <w:tcPr>
            <w:tcW w:w="434" w:type="pct"/>
            <w:noWrap w:val="0"/>
            <w:tcMar>
              <w:left w:w="28" w:type="dxa"/>
              <w:right w:w="28" w:type="dxa"/>
            </w:tcMar>
            <w:vAlign w:val="center"/>
          </w:tcPr>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t>变化量</w:t>
            </w:r>
          </w:p>
          <w:p>
            <w:pPr>
              <w:pStyle w:val="61"/>
              <w:spacing w:beforeLines="0" w:afterLines="0" w:line="240" w:lineRule="auto"/>
              <w:rPr>
                <w:rFonts w:hint="default" w:ascii="Times New Roman" w:hAnsi="Times New Roman" w:eastAsia="黑体" w:cs="Times New Roman"/>
                <w:snapToGrid w:val="0"/>
                <w:color w:val="auto"/>
                <w:spacing w:val="-6"/>
                <w:kern w:val="21"/>
                <w:sz w:val="21"/>
                <w:szCs w:val="21"/>
                <w:highlight w:val="none"/>
              </w:rPr>
            </w:pPr>
            <w:r>
              <w:rPr>
                <w:rFonts w:hint="default" w:ascii="Times New Roman" w:hAnsi="Times New Roman" w:eastAsia="黑体" w:cs="Times New Roman"/>
                <w:snapToGrid w:val="0"/>
                <w:color w:val="auto"/>
                <w:spacing w:val="-6"/>
                <w:kern w:val="21"/>
                <w:sz w:val="21"/>
                <w:szCs w:val="21"/>
                <w:highlight w:val="none"/>
              </w:rPr>
              <w:fldChar w:fldCharType="begin"/>
            </w:r>
            <w:r>
              <w:rPr>
                <w:rFonts w:hint="default" w:ascii="Times New Roman" w:hAnsi="Times New Roman" w:eastAsia="黑体" w:cs="Times New Roman"/>
                <w:snapToGrid w:val="0"/>
                <w:color w:val="auto"/>
                <w:spacing w:val="-6"/>
                <w:kern w:val="21"/>
                <w:sz w:val="21"/>
                <w:szCs w:val="21"/>
                <w:highlight w:val="none"/>
              </w:rPr>
              <w:instrText xml:space="preserve"> = 7 \* GB3 \* MERGEFORMAT </w:instrText>
            </w:r>
            <w:r>
              <w:rPr>
                <w:rFonts w:hint="default" w:ascii="Times New Roman" w:hAnsi="Times New Roman" w:eastAsia="黑体" w:cs="Times New Roman"/>
                <w:snapToGrid w:val="0"/>
                <w:color w:val="auto"/>
                <w:spacing w:val="-6"/>
                <w:kern w:val="21"/>
                <w:sz w:val="21"/>
                <w:szCs w:val="21"/>
                <w:highlight w:val="none"/>
              </w:rPr>
              <w:fldChar w:fldCharType="separate"/>
            </w:r>
            <w:r>
              <w:rPr>
                <w:rFonts w:hint="default" w:ascii="Times New Roman" w:hAnsi="Times New Roman" w:cs="Times New Roman"/>
                <w:color w:val="auto"/>
                <w:kern w:val="2"/>
                <w:sz w:val="21"/>
                <w:szCs w:val="21"/>
                <w:highlight w:val="none"/>
              </w:rPr>
              <w:t>⑦</w:t>
            </w:r>
            <w:r>
              <w:rPr>
                <w:rFonts w:hint="default" w:ascii="Times New Roman" w:hAnsi="Times New Roman" w:eastAsia="黑体" w:cs="Times New Roman"/>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pct"/>
            <w:noWrap w:val="0"/>
            <w:vAlign w:val="center"/>
          </w:tcPr>
          <w:p>
            <w:pPr>
              <w:pStyle w:val="61"/>
              <w:spacing w:beforeLines="0" w:afterLines="0" w:line="240" w:lineRule="auto"/>
              <w:rPr>
                <w:rFonts w:hint="eastAsia" w:ascii="Times New Roman" w:hAnsi="Times New Roman" w:eastAsia="宋体" w:cs="Times New Roman"/>
                <w:snapToGrid w:val="0"/>
                <w:color w:val="auto"/>
                <w:kern w:val="21"/>
                <w:sz w:val="21"/>
                <w:szCs w:val="21"/>
                <w:highlight w:val="none"/>
                <w:lang w:eastAsia="zh-CN"/>
              </w:rPr>
            </w:pPr>
            <w:r>
              <w:rPr>
                <w:rFonts w:hint="eastAsia" w:ascii="Times New Roman" w:cs="Times New Roman"/>
                <w:snapToGrid w:val="0"/>
                <w:color w:val="auto"/>
                <w:kern w:val="21"/>
                <w:sz w:val="21"/>
                <w:szCs w:val="21"/>
                <w:highlight w:val="none"/>
                <w:lang w:eastAsia="zh-CN"/>
              </w:rPr>
              <w:t>废气</w:t>
            </w:r>
          </w:p>
        </w:tc>
        <w:tc>
          <w:tcPr>
            <w:tcW w:w="585" w:type="pct"/>
            <w:noWrap w:val="0"/>
            <w:vAlign w:val="center"/>
          </w:tcPr>
          <w:p>
            <w:pPr>
              <w:pStyle w:val="61"/>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rPr>
              <w:t>VOC</w:t>
            </w:r>
            <w:r>
              <w:rPr>
                <w:rFonts w:hint="default" w:ascii="Times New Roman" w:hAnsi="Times New Roman" w:cs="Times New Roman"/>
                <w:snapToGrid w:val="0"/>
                <w:color w:val="auto"/>
                <w:kern w:val="21"/>
                <w:sz w:val="21"/>
                <w:szCs w:val="21"/>
                <w:highlight w:val="none"/>
                <w:vertAlign w:val="subscript"/>
              </w:rPr>
              <w:t>S</w:t>
            </w:r>
          </w:p>
        </w:tc>
        <w:tc>
          <w:tcPr>
            <w:tcW w:w="599" w:type="pct"/>
            <w:noWrap w:val="0"/>
            <w:vAlign w:val="center"/>
          </w:tcPr>
          <w:p>
            <w:pPr>
              <w:pStyle w:val="61"/>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p>
        </w:tc>
        <w:tc>
          <w:tcPr>
            <w:tcW w:w="449" w:type="pct"/>
            <w:noWrap w:val="0"/>
            <w:vAlign w:val="center"/>
          </w:tcPr>
          <w:p>
            <w:pPr>
              <w:pStyle w:val="61"/>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p>
        </w:tc>
        <w:tc>
          <w:tcPr>
            <w:tcW w:w="599" w:type="pct"/>
            <w:noWrap w:val="0"/>
            <w:vAlign w:val="center"/>
          </w:tcPr>
          <w:p>
            <w:pPr>
              <w:pStyle w:val="61"/>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p>
        </w:tc>
        <w:tc>
          <w:tcPr>
            <w:tcW w:w="54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lang w:val="en-US" w:eastAsia="zh-CN"/>
              </w:rPr>
            </w:pPr>
            <w:r>
              <w:rPr>
                <w:rFonts w:hint="eastAsia" w:ascii="Times New Roman" w:cs="Times New Roman"/>
                <w:snapToGrid w:val="0"/>
                <w:color w:val="auto"/>
                <w:kern w:val="21"/>
                <w:sz w:val="21"/>
                <w:szCs w:val="21"/>
                <w:highlight w:val="none"/>
                <w:lang w:val="en-US" w:eastAsia="zh-CN"/>
              </w:rPr>
              <w:t>0.12</w:t>
            </w:r>
            <w:r>
              <w:rPr>
                <w:rFonts w:hint="default" w:ascii="Times New Roman" w:hAnsi="Times New Roman" w:cs="Times New Roman"/>
                <w:snapToGrid w:val="0"/>
                <w:color w:val="auto"/>
                <w:kern w:val="21"/>
                <w:sz w:val="21"/>
                <w:szCs w:val="21"/>
                <w:highlight w:val="none"/>
              </w:rPr>
              <w:t>t/a</w:t>
            </w:r>
          </w:p>
        </w:tc>
        <w:tc>
          <w:tcPr>
            <w:tcW w:w="620" w:type="pct"/>
            <w:noWrap w:val="0"/>
            <w:vAlign w:val="center"/>
          </w:tcPr>
          <w:p>
            <w:pPr>
              <w:pStyle w:val="61"/>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p>
        </w:tc>
        <w:tc>
          <w:tcPr>
            <w:tcW w:w="68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lang w:val="en-US" w:eastAsia="zh-CN"/>
              </w:rPr>
            </w:pPr>
            <w:r>
              <w:rPr>
                <w:rFonts w:hint="eastAsia" w:ascii="Times New Roman" w:cs="Times New Roman"/>
                <w:snapToGrid w:val="0"/>
                <w:color w:val="auto"/>
                <w:kern w:val="21"/>
                <w:sz w:val="21"/>
                <w:szCs w:val="21"/>
                <w:highlight w:val="none"/>
                <w:lang w:val="en-US" w:eastAsia="zh-CN"/>
              </w:rPr>
              <w:t>0.12</w:t>
            </w:r>
            <w:r>
              <w:rPr>
                <w:rFonts w:hint="default" w:ascii="Times New Roman" w:hAnsi="Times New Roman" w:cs="Times New Roman"/>
                <w:snapToGrid w:val="0"/>
                <w:color w:val="auto"/>
                <w:kern w:val="21"/>
                <w:sz w:val="21"/>
                <w:szCs w:val="21"/>
                <w:highlight w:val="none"/>
              </w:rPr>
              <w:t>t/a</w:t>
            </w:r>
          </w:p>
        </w:tc>
        <w:tc>
          <w:tcPr>
            <w:tcW w:w="434"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r>
              <w:rPr>
                <w:rFonts w:hint="eastAsia" w:ascii="Times New Roman" w:cs="Times New Roman"/>
                <w:snapToGrid w:val="0"/>
                <w:color w:val="auto"/>
                <w:kern w:val="21"/>
                <w:sz w:val="21"/>
                <w:szCs w:val="21"/>
                <w:highlight w:val="none"/>
                <w:lang w:val="en-US" w:eastAsia="zh-CN"/>
              </w:rPr>
              <w:t>0.12</w:t>
            </w:r>
            <w:r>
              <w:rPr>
                <w:rFonts w:hint="default" w:ascii="Times New Roman" w:hAnsi="Times New Roman" w:cs="Times New Roman"/>
                <w:snapToGrid w:val="0"/>
                <w:color w:val="auto"/>
                <w:kern w:val="21"/>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pct"/>
            <w:vMerge w:val="restar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一般工业</w:t>
            </w:r>
          </w:p>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固体废物</w:t>
            </w:r>
          </w:p>
        </w:tc>
        <w:tc>
          <w:tcPr>
            <w:tcW w:w="585" w:type="pct"/>
            <w:noWrap w:val="0"/>
            <w:vAlign w:val="center"/>
          </w:tcPr>
          <w:p>
            <w:pPr>
              <w:topLinePunct/>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生活垃圾</w:t>
            </w: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44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599" w:type="pct"/>
            <w:noWrap w:val="0"/>
            <w:vAlign w:val="center"/>
          </w:tcPr>
          <w:p>
            <w:pPr>
              <w:pStyle w:val="61"/>
              <w:spacing w:beforeLines="0" w:afterLines="0" w:line="240" w:lineRule="auto"/>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kern w:val="21"/>
                <w:sz w:val="21"/>
                <w:szCs w:val="21"/>
                <w:highlight w:val="none"/>
              </w:rPr>
              <w:t>/</w:t>
            </w:r>
          </w:p>
        </w:tc>
        <w:tc>
          <w:tcPr>
            <w:tcW w:w="549" w:type="pct"/>
            <w:noWrap w:val="0"/>
            <w:vAlign w:val="center"/>
          </w:tcPr>
          <w:p>
            <w:pPr>
              <w:topLinePunct/>
              <w:adjustRightInd w:val="0"/>
              <w:snapToGrid w:val="0"/>
              <w:jc w:val="center"/>
              <w:rPr>
                <w:rFonts w:hint="default" w:ascii="Times New Roman" w:hAnsi="Times New Roman" w:cs="Times New Roman"/>
                <w:bCs/>
                <w:snapToGrid w:val="0"/>
                <w:color w:val="auto"/>
                <w:kern w:val="21"/>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snapToGrid w:val="0"/>
                <w:color w:val="auto"/>
                <w:kern w:val="21"/>
                <w:sz w:val="21"/>
                <w:szCs w:val="21"/>
                <w:highlight w:val="none"/>
              </w:rPr>
              <w:t>t/a</w:t>
            </w:r>
          </w:p>
        </w:tc>
        <w:tc>
          <w:tcPr>
            <w:tcW w:w="620" w:type="pct"/>
            <w:noWrap w:val="0"/>
            <w:vAlign w:val="center"/>
          </w:tcPr>
          <w:p>
            <w:pPr>
              <w:pStyle w:val="61"/>
              <w:spacing w:beforeLines="0" w:afterLines="0" w:line="240" w:lineRule="auto"/>
              <w:rPr>
                <w:rFonts w:hint="default" w:ascii="Times New Roman" w:hAnsi="Times New Roman" w:cs="Times New Roman"/>
                <w:bCs/>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689" w:type="pct"/>
            <w:noWrap w:val="0"/>
            <w:vAlign w:val="center"/>
          </w:tcPr>
          <w:p>
            <w:pPr>
              <w:topLinePunct/>
              <w:adjustRightInd w:val="0"/>
              <w:snapToGrid w:val="0"/>
              <w:jc w:val="center"/>
              <w:rPr>
                <w:rFonts w:hint="default" w:ascii="Times New Roman" w:hAnsi="Times New Roman" w:cs="Times New Roman"/>
                <w:bCs/>
                <w:snapToGrid w:val="0"/>
                <w:color w:val="auto"/>
                <w:kern w:val="21"/>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snapToGrid w:val="0"/>
                <w:color w:val="auto"/>
                <w:kern w:val="21"/>
                <w:sz w:val="21"/>
                <w:szCs w:val="21"/>
                <w:highlight w:val="none"/>
              </w:rPr>
              <w:t>t/a</w:t>
            </w:r>
          </w:p>
        </w:tc>
        <w:tc>
          <w:tcPr>
            <w:tcW w:w="434" w:type="pct"/>
            <w:noWrap w:val="0"/>
            <w:vAlign w:val="center"/>
          </w:tcPr>
          <w:p>
            <w:pPr>
              <w:topLinePunct/>
              <w:adjustRightInd w:val="0"/>
              <w:snapToGrid w:val="0"/>
              <w:jc w:val="center"/>
              <w:rPr>
                <w:rFonts w:hint="default" w:ascii="Times New Roman" w:hAnsi="Times New Roman" w:cs="Times New Roman"/>
                <w:bCs/>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snapToGrid w:val="0"/>
                <w:color w:val="auto"/>
                <w:kern w:val="21"/>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pct"/>
            <w:vMerge w:val="continue"/>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585" w:type="pct"/>
            <w:noWrap w:val="0"/>
            <w:vAlign w:val="center"/>
          </w:tcPr>
          <w:p>
            <w:pPr>
              <w:pStyle w:val="76"/>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废包装袋</w:t>
            </w: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44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599" w:type="pct"/>
            <w:noWrap w:val="0"/>
            <w:vAlign w:val="center"/>
          </w:tcPr>
          <w:p>
            <w:pPr>
              <w:pStyle w:val="61"/>
              <w:spacing w:beforeLines="0" w:afterLines="0" w:line="240" w:lineRule="auto"/>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kern w:val="21"/>
                <w:sz w:val="21"/>
                <w:szCs w:val="21"/>
                <w:highlight w:val="none"/>
              </w:rPr>
              <w:t>/</w:t>
            </w:r>
          </w:p>
        </w:tc>
        <w:tc>
          <w:tcPr>
            <w:tcW w:w="549" w:type="pct"/>
            <w:noWrap w:val="0"/>
            <w:vAlign w:val="center"/>
          </w:tcPr>
          <w:p>
            <w:pPr>
              <w:pStyle w:val="76"/>
              <w:jc w:val="center"/>
              <w:rPr>
                <w:rFonts w:hint="default" w:ascii="Times New Roman" w:hAnsi="Times New Roman" w:cs="Times New Roman"/>
                <w:bCs/>
                <w:snapToGrid w:val="0"/>
                <w:color w:val="auto"/>
                <w:kern w:val="21"/>
                <w:sz w:val="21"/>
                <w:szCs w:val="21"/>
                <w:highlight w:val="none"/>
              </w:rPr>
            </w:pPr>
            <w:r>
              <w:rPr>
                <w:rFonts w:hint="eastAsia" w:ascii="Times New Roman" w:cs="Times New Roman"/>
                <w:color w:val="auto"/>
                <w:sz w:val="21"/>
                <w:szCs w:val="21"/>
                <w:highlight w:val="none"/>
                <w:lang w:val="en-US" w:eastAsia="zh-CN"/>
              </w:rPr>
              <w:t>0.1</w:t>
            </w:r>
            <w:r>
              <w:rPr>
                <w:rFonts w:hint="default" w:ascii="Times New Roman" w:hAnsi="Times New Roman" w:cs="Times New Roman"/>
                <w:snapToGrid w:val="0"/>
                <w:color w:val="auto"/>
                <w:kern w:val="21"/>
                <w:sz w:val="21"/>
                <w:szCs w:val="21"/>
                <w:highlight w:val="none"/>
              </w:rPr>
              <w:t>t/a</w:t>
            </w:r>
          </w:p>
        </w:tc>
        <w:tc>
          <w:tcPr>
            <w:tcW w:w="620" w:type="pct"/>
            <w:noWrap w:val="0"/>
            <w:vAlign w:val="center"/>
          </w:tcPr>
          <w:p>
            <w:pPr>
              <w:pStyle w:val="61"/>
              <w:spacing w:beforeLines="0" w:afterLines="0" w:line="240" w:lineRule="auto"/>
              <w:rPr>
                <w:rFonts w:hint="default" w:ascii="Times New Roman" w:hAnsi="Times New Roman" w:cs="Times New Roman"/>
                <w:bCs/>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689" w:type="pct"/>
            <w:noWrap w:val="0"/>
            <w:vAlign w:val="center"/>
          </w:tcPr>
          <w:p>
            <w:pPr>
              <w:pStyle w:val="76"/>
              <w:jc w:val="center"/>
              <w:rPr>
                <w:rFonts w:hint="default" w:ascii="Times New Roman" w:hAnsi="Times New Roman" w:cs="Times New Roman"/>
                <w:bCs/>
                <w:snapToGrid w:val="0"/>
                <w:color w:val="auto"/>
                <w:kern w:val="21"/>
                <w:sz w:val="21"/>
                <w:szCs w:val="21"/>
                <w:highlight w:val="none"/>
              </w:rPr>
            </w:pPr>
            <w:r>
              <w:rPr>
                <w:rFonts w:hint="eastAsia" w:ascii="Times New Roman" w:cs="Times New Roman"/>
                <w:color w:val="auto"/>
                <w:sz w:val="21"/>
                <w:szCs w:val="21"/>
                <w:highlight w:val="none"/>
                <w:lang w:val="en-US" w:eastAsia="zh-CN"/>
              </w:rPr>
              <w:t>0.1</w:t>
            </w:r>
            <w:r>
              <w:rPr>
                <w:rFonts w:hint="default" w:ascii="Times New Roman" w:hAnsi="Times New Roman" w:cs="Times New Roman"/>
                <w:snapToGrid w:val="0"/>
                <w:color w:val="auto"/>
                <w:kern w:val="21"/>
                <w:sz w:val="21"/>
                <w:szCs w:val="21"/>
                <w:highlight w:val="none"/>
              </w:rPr>
              <w:t>t/a</w:t>
            </w:r>
          </w:p>
        </w:tc>
        <w:tc>
          <w:tcPr>
            <w:tcW w:w="434" w:type="pct"/>
            <w:noWrap w:val="0"/>
            <w:vAlign w:val="center"/>
          </w:tcPr>
          <w:p>
            <w:pPr>
              <w:pStyle w:val="76"/>
              <w:jc w:val="center"/>
              <w:rPr>
                <w:rFonts w:hint="default" w:ascii="Times New Roman" w:hAnsi="Times New Roman" w:cs="Times New Roman"/>
                <w:bCs/>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 w:val="21"/>
                <w:szCs w:val="21"/>
                <w:highlight w:val="none"/>
                <w:lang w:val="en-US" w:eastAsia="zh-CN"/>
              </w:rPr>
              <w:t>+</w:t>
            </w:r>
            <w:r>
              <w:rPr>
                <w:rFonts w:hint="eastAsia" w:ascii="Times New Roman" w:cs="Times New Roman"/>
                <w:color w:val="auto"/>
                <w:sz w:val="21"/>
                <w:szCs w:val="21"/>
                <w:highlight w:val="none"/>
                <w:lang w:val="en-US" w:eastAsia="zh-CN"/>
              </w:rPr>
              <w:t>0.1</w:t>
            </w:r>
            <w:r>
              <w:rPr>
                <w:rFonts w:hint="default" w:ascii="Times New Roman" w:hAnsi="Times New Roman" w:cs="Times New Roman"/>
                <w:snapToGrid w:val="0"/>
                <w:color w:val="auto"/>
                <w:kern w:val="21"/>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pct"/>
            <w:vMerge w:val="continue"/>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585" w:type="pct"/>
            <w:noWrap w:val="0"/>
            <w:vAlign w:val="center"/>
          </w:tcPr>
          <w:p>
            <w:pPr>
              <w:pStyle w:val="76"/>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废边角料及不合格品</w:t>
            </w: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44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549" w:type="pct"/>
            <w:noWrap w:val="0"/>
            <w:vAlign w:val="center"/>
          </w:tcPr>
          <w:p>
            <w:pPr>
              <w:pStyle w:val="76"/>
              <w:jc w:val="center"/>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150t/a</w:t>
            </w:r>
          </w:p>
        </w:tc>
        <w:tc>
          <w:tcPr>
            <w:tcW w:w="620"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p>
        </w:tc>
        <w:tc>
          <w:tcPr>
            <w:tcW w:w="689" w:type="pct"/>
            <w:noWrap w:val="0"/>
            <w:vAlign w:val="center"/>
          </w:tcPr>
          <w:p>
            <w:pPr>
              <w:pStyle w:val="76"/>
              <w:jc w:val="center"/>
              <w:rPr>
                <w:rFonts w:hint="eastAsia"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150t/a</w:t>
            </w:r>
          </w:p>
        </w:tc>
        <w:tc>
          <w:tcPr>
            <w:tcW w:w="434" w:type="pct"/>
            <w:noWrap w:val="0"/>
            <w:vAlign w:val="center"/>
          </w:tcPr>
          <w:p>
            <w:pPr>
              <w:pStyle w:val="76"/>
              <w:jc w:val="center"/>
              <w:rPr>
                <w:rFonts w:hint="default" w:ascii="Times New Roman" w:hAnsi="Times New Roman" w:cs="Times New Roman"/>
                <w:snapToGrid w:val="0"/>
                <w:color w:val="auto"/>
                <w:kern w:val="21"/>
                <w:sz w:val="21"/>
                <w:szCs w:val="21"/>
                <w:highlight w:val="none"/>
                <w:lang w:val="en-US" w:eastAsia="zh-CN"/>
              </w:rPr>
            </w:pPr>
            <w:r>
              <w:rPr>
                <w:rFonts w:hint="eastAsia" w:ascii="Times New Roman" w:cs="Times New Roman"/>
                <w:color w:val="auto"/>
                <w:sz w:val="21"/>
                <w:szCs w:val="21"/>
                <w:highlight w:val="none"/>
                <w:lang w:val="en-US" w:eastAsia="zh-CN"/>
              </w:rPr>
              <w:t>+150t/a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危险废物</w:t>
            </w:r>
          </w:p>
        </w:tc>
        <w:tc>
          <w:tcPr>
            <w:tcW w:w="585" w:type="pct"/>
            <w:noWrap w:val="0"/>
            <w:vAlign w:val="center"/>
          </w:tcPr>
          <w:p>
            <w:pPr>
              <w:jc w:val="center"/>
              <w:rPr>
                <w:rFonts w:hint="default" w:ascii="Times New Roman" w:hAnsi="Times New Roman" w:cs="Times New Roman"/>
                <w:color w:val="auto"/>
                <w:sz w:val="21"/>
                <w:szCs w:val="21"/>
                <w:highlight w:val="none"/>
                <w:shd w:val="clear" w:color="auto" w:fill="FFFFFF"/>
              </w:rPr>
            </w:pPr>
            <w:r>
              <w:rPr>
                <w:rFonts w:hint="default" w:ascii="Times New Roman" w:hAnsi="Times New Roman" w:cs="Times New Roman"/>
                <w:color w:val="auto"/>
                <w:sz w:val="21"/>
                <w:szCs w:val="21"/>
                <w:highlight w:val="none"/>
                <w:lang w:val="en-US" w:eastAsia="zh-CN"/>
              </w:rPr>
              <w:t>废活性炭</w:t>
            </w: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44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599" w:type="pct"/>
            <w:noWrap w:val="0"/>
            <w:vAlign w:val="center"/>
          </w:tcPr>
          <w:p>
            <w:pPr>
              <w:pStyle w:val="61"/>
              <w:spacing w:beforeLines="0" w:afterLines="0" w:line="240" w:lineRule="auto"/>
              <w:rPr>
                <w:rFonts w:hint="default" w:ascii="Times New Roman" w:hAnsi="Times New Roman" w:cs="Times New Roman"/>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549" w:type="pct"/>
            <w:noWrap w:val="0"/>
            <w:vAlign w:val="center"/>
          </w:tcPr>
          <w:p>
            <w:pPr>
              <w:pStyle w:val="76"/>
              <w:jc w:val="center"/>
              <w:rPr>
                <w:rFonts w:hint="default" w:ascii="Times New Roman" w:hAnsi="Times New Roman" w:cs="Times New Roman"/>
                <w:color w:val="auto"/>
                <w:sz w:val="21"/>
                <w:szCs w:val="21"/>
                <w:highlight w:val="none"/>
                <w:shd w:val="clear" w:color="auto" w:fill="FFFFFF"/>
                <w:lang w:val="en-US" w:eastAsia="zh-CN"/>
              </w:rPr>
            </w:pPr>
            <w:r>
              <w:rPr>
                <w:rFonts w:hint="eastAsia" w:ascii="Times New Roman" w:cs="Times New Roman"/>
                <w:color w:val="auto"/>
                <w:sz w:val="21"/>
                <w:szCs w:val="21"/>
                <w:highlight w:val="none"/>
                <w:lang w:val="en-US" w:eastAsia="zh-CN"/>
              </w:rPr>
              <w:t>6.89</w:t>
            </w:r>
            <w:r>
              <w:rPr>
                <w:rFonts w:hint="default" w:ascii="Times New Roman" w:hAnsi="Times New Roman" w:cs="Times New Roman"/>
                <w:snapToGrid w:val="0"/>
                <w:color w:val="auto"/>
                <w:kern w:val="21"/>
                <w:sz w:val="21"/>
                <w:szCs w:val="21"/>
                <w:highlight w:val="none"/>
              </w:rPr>
              <w:t>t/a</w:t>
            </w:r>
          </w:p>
        </w:tc>
        <w:tc>
          <w:tcPr>
            <w:tcW w:w="620" w:type="pct"/>
            <w:noWrap w:val="0"/>
            <w:vAlign w:val="center"/>
          </w:tcPr>
          <w:p>
            <w:pPr>
              <w:pStyle w:val="61"/>
              <w:spacing w:beforeLines="0" w:afterLines="0" w:line="240" w:lineRule="auto"/>
              <w:rPr>
                <w:rFonts w:hint="default" w:ascii="Times New Roman" w:hAnsi="Times New Roman" w:cs="Times New Roman"/>
                <w:bCs/>
                <w:snapToGrid w:val="0"/>
                <w:color w:val="auto"/>
                <w:kern w:val="21"/>
                <w:sz w:val="21"/>
                <w:szCs w:val="21"/>
                <w:highlight w:val="none"/>
              </w:rPr>
            </w:pPr>
            <w:r>
              <w:rPr>
                <w:rFonts w:hint="default" w:ascii="Times New Roman" w:hAnsi="Times New Roman" w:cs="Times New Roman"/>
                <w:snapToGrid w:val="0"/>
                <w:color w:val="auto"/>
                <w:kern w:val="21"/>
                <w:sz w:val="21"/>
                <w:szCs w:val="21"/>
                <w:highlight w:val="none"/>
              </w:rPr>
              <w:t>/</w:t>
            </w:r>
          </w:p>
        </w:tc>
        <w:tc>
          <w:tcPr>
            <w:tcW w:w="689" w:type="pct"/>
            <w:noWrap w:val="0"/>
            <w:vAlign w:val="center"/>
          </w:tcPr>
          <w:p>
            <w:pPr>
              <w:pStyle w:val="76"/>
              <w:jc w:val="center"/>
              <w:rPr>
                <w:rFonts w:hint="default" w:ascii="Times New Roman" w:hAnsi="Times New Roman" w:cs="Times New Roman"/>
                <w:color w:val="auto"/>
                <w:sz w:val="21"/>
                <w:szCs w:val="21"/>
                <w:highlight w:val="none"/>
                <w:shd w:val="clear" w:color="auto" w:fill="FFFFFF"/>
                <w:lang w:val="en-US" w:eastAsia="zh-CN"/>
              </w:rPr>
            </w:pPr>
            <w:r>
              <w:rPr>
                <w:rFonts w:hint="eastAsia" w:ascii="Times New Roman" w:cs="Times New Roman"/>
                <w:color w:val="auto"/>
                <w:sz w:val="21"/>
                <w:szCs w:val="21"/>
                <w:highlight w:val="none"/>
                <w:lang w:val="en-US" w:eastAsia="zh-CN"/>
              </w:rPr>
              <w:t>6.89</w:t>
            </w:r>
            <w:r>
              <w:rPr>
                <w:rFonts w:hint="default" w:ascii="Times New Roman" w:hAnsi="Times New Roman" w:cs="Times New Roman"/>
                <w:snapToGrid w:val="0"/>
                <w:color w:val="auto"/>
                <w:kern w:val="21"/>
                <w:sz w:val="21"/>
                <w:szCs w:val="21"/>
                <w:highlight w:val="none"/>
              </w:rPr>
              <w:t>t/a</w:t>
            </w:r>
          </w:p>
        </w:tc>
        <w:tc>
          <w:tcPr>
            <w:tcW w:w="434" w:type="pct"/>
            <w:noWrap w:val="0"/>
            <w:vAlign w:val="center"/>
          </w:tcPr>
          <w:p>
            <w:pPr>
              <w:pStyle w:val="76"/>
              <w:jc w:val="center"/>
              <w:rPr>
                <w:rFonts w:hint="default" w:ascii="Times New Roman" w:hAnsi="Times New Roman" w:cs="Times New Roman"/>
                <w:snapToGrid w:val="0"/>
                <w:color w:val="auto"/>
                <w:kern w:val="21"/>
                <w:sz w:val="21"/>
                <w:szCs w:val="21"/>
                <w:highlight w:val="none"/>
                <w:lang w:val="en-US" w:eastAsia="zh-CN"/>
              </w:rPr>
            </w:pPr>
            <w:r>
              <w:rPr>
                <w:rFonts w:hint="default" w:ascii="Times New Roman" w:hAnsi="Times New Roman" w:cs="Times New Roman"/>
                <w:snapToGrid w:val="0"/>
                <w:color w:val="auto"/>
                <w:kern w:val="21"/>
                <w:sz w:val="21"/>
                <w:szCs w:val="21"/>
                <w:highlight w:val="none"/>
                <w:lang w:val="en-US" w:eastAsia="zh-CN"/>
              </w:rPr>
              <w:t>+</w:t>
            </w:r>
            <w:r>
              <w:rPr>
                <w:rFonts w:hint="eastAsia" w:ascii="Times New Roman" w:cs="Times New Roman"/>
                <w:color w:val="auto"/>
                <w:sz w:val="21"/>
                <w:szCs w:val="21"/>
                <w:highlight w:val="none"/>
                <w:lang w:val="en-US" w:eastAsia="zh-CN"/>
              </w:rPr>
              <w:t>6.89</w:t>
            </w:r>
            <w:r>
              <w:rPr>
                <w:rFonts w:hint="default" w:ascii="Times New Roman" w:hAnsi="Times New Roman" w:cs="Times New Roman"/>
                <w:snapToGrid w:val="0"/>
                <w:color w:val="auto"/>
                <w:kern w:val="21"/>
                <w:sz w:val="21"/>
                <w:szCs w:val="21"/>
                <w:highlight w:val="none"/>
              </w:rPr>
              <w:t>t/a</w:t>
            </w:r>
          </w:p>
        </w:tc>
      </w:tr>
    </w:tbl>
    <w:p>
      <w:pPr>
        <w:pStyle w:val="61"/>
        <w:spacing w:before="192" w:beforeLines="80" w:after="24"/>
        <w:jc w:val="left"/>
        <w:rPr>
          <w:rFonts w:hint="default" w:ascii="Times New Roman" w:hAnsi="Times New Roman" w:eastAsia="黑体" w:cs="Times New Roman"/>
          <w:color w:val="auto"/>
          <w:highlight w:val="none"/>
          <w:lang w:eastAsia="zh-CN"/>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swiss"/>
    <w:pitch w:val="default"/>
    <w:sig w:usb0="A10006FF" w:usb1="4000205B" w:usb2="0000001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sz w:val="26"/>
        <w:szCs w:val="26"/>
      </w:rPr>
      <w:fldChar w:fldCharType="begin"/>
    </w:r>
    <w:r>
      <w:rPr>
        <w:rStyle w:val="27"/>
        <w:sz w:val="26"/>
        <w:szCs w:val="26"/>
      </w:rPr>
      <w:instrText xml:space="preserve">PAGE   \* MERGEFORMAT</w:instrText>
    </w:r>
    <w:r>
      <w:rPr>
        <w:sz w:val="26"/>
        <w:szCs w:val="26"/>
      </w:rPr>
      <w:fldChar w:fldCharType="separate"/>
    </w:r>
    <w:r>
      <w:rPr>
        <w:rStyle w:val="27"/>
        <w:sz w:val="26"/>
        <w:szCs w:val="26"/>
        <w:lang w:val="zh-CN"/>
      </w:rPr>
      <w:t>9</w:t>
    </w:r>
    <w:r>
      <w:rPr>
        <w:sz w:val="26"/>
        <w:szCs w:val="26"/>
      </w:rPr>
      <w:fldChar w:fldCharType="end"/>
    </w:r>
    <w:r>
      <w:rPr>
        <w:rStyle w:val="27"/>
        <w:sz w:val="26"/>
        <w:szCs w:val="26"/>
      </w:rPr>
      <w:t xml:space="preserve"> </w:t>
    </w:r>
    <w:r>
      <w:rPr>
        <w:rStyle w:val="27"/>
        <w:rFonts w:hint="eastAsia" w:ascii="宋体" w:hAnsi="宋体"/>
        <w:sz w:val="20"/>
      </w:rPr>
      <w:t xml:space="preserve"> </w:t>
    </w:r>
    <w:r>
      <w:rPr>
        <w:rStyle w:val="27"/>
        <w:rFonts w:hint="eastAsia" w:ascii="宋体" w:hAnsi="宋体"/>
        <w:sz w:val="28"/>
        <w:szCs w:val="28"/>
      </w:rPr>
      <w:t>—</w:t>
    </w:r>
  </w:p>
  <w:p>
    <w:pPr>
      <w:pStyle w:val="1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47</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32A60"/>
    <w:multiLevelType w:val="singleLevel"/>
    <w:tmpl w:val="8BB32A60"/>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
    <w:nsid w:val="D5F1FD88"/>
    <w:multiLevelType w:val="singleLevel"/>
    <w:tmpl w:val="D5F1FD88"/>
    <w:lvl w:ilvl="0" w:tentative="0">
      <w:start w:val="2"/>
      <w:numFmt w:val="decimal"/>
      <w:suff w:val="nothing"/>
      <w:lvlText w:val="（%1）"/>
      <w:lvlJc w:val="left"/>
      <w:rPr>
        <w:rFonts w:hint="default"/>
        <w:sz w:val="24"/>
        <w:szCs w:val="24"/>
      </w:rPr>
    </w:lvl>
  </w:abstractNum>
  <w:abstractNum w:abstractNumId="2">
    <w:nsid w:val="13513E0A"/>
    <w:multiLevelType w:val="singleLevel"/>
    <w:tmpl w:val="13513E0A"/>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mVlNzY1MjY2NDExYjJkMTQ2ZjkwZWYyMDRjMDMifQ=="/>
  </w:docVars>
  <w:rsids>
    <w:rsidRoot w:val="00172A27"/>
    <w:rsid w:val="000040EB"/>
    <w:rsid w:val="000060B3"/>
    <w:rsid w:val="00042652"/>
    <w:rsid w:val="0004364B"/>
    <w:rsid w:val="00056FFA"/>
    <w:rsid w:val="00061B1F"/>
    <w:rsid w:val="00066EBC"/>
    <w:rsid w:val="000733C4"/>
    <w:rsid w:val="00074783"/>
    <w:rsid w:val="0008070B"/>
    <w:rsid w:val="000810AC"/>
    <w:rsid w:val="00081A02"/>
    <w:rsid w:val="00082231"/>
    <w:rsid w:val="00086020"/>
    <w:rsid w:val="000875DE"/>
    <w:rsid w:val="00092D38"/>
    <w:rsid w:val="0009377B"/>
    <w:rsid w:val="00095B9F"/>
    <w:rsid w:val="000A20C9"/>
    <w:rsid w:val="000A3ABB"/>
    <w:rsid w:val="000B058F"/>
    <w:rsid w:val="000B1BF2"/>
    <w:rsid w:val="000B4467"/>
    <w:rsid w:val="000B4DB9"/>
    <w:rsid w:val="000B6CAC"/>
    <w:rsid w:val="000C09AC"/>
    <w:rsid w:val="000C767F"/>
    <w:rsid w:val="000D36C9"/>
    <w:rsid w:val="000D5A44"/>
    <w:rsid w:val="000E3ED2"/>
    <w:rsid w:val="000E44C7"/>
    <w:rsid w:val="0011218D"/>
    <w:rsid w:val="00114C5E"/>
    <w:rsid w:val="00116301"/>
    <w:rsid w:val="00131F42"/>
    <w:rsid w:val="0013541B"/>
    <w:rsid w:val="00135779"/>
    <w:rsid w:val="001357F1"/>
    <w:rsid w:val="00140FA8"/>
    <w:rsid w:val="00142FEB"/>
    <w:rsid w:val="00143A2D"/>
    <w:rsid w:val="00145A41"/>
    <w:rsid w:val="00151675"/>
    <w:rsid w:val="00157435"/>
    <w:rsid w:val="0017504D"/>
    <w:rsid w:val="0017671A"/>
    <w:rsid w:val="00177422"/>
    <w:rsid w:val="001813AA"/>
    <w:rsid w:val="00183E78"/>
    <w:rsid w:val="00184590"/>
    <w:rsid w:val="00184A5B"/>
    <w:rsid w:val="001870D1"/>
    <w:rsid w:val="0018781E"/>
    <w:rsid w:val="0019262D"/>
    <w:rsid w:val="001A1B35"/>
    <w:rsid w:val="001A48A2"/>
    <w:rsid w:val="001A6F61"/>
    <w:rsid w:val="001B5753"/>
    <w:rsid w:val="001B72B8"/>
    <w:rsid w:val="001C2443"/>
    <w:rsid w:val="001C467E"/>
    <w:rsid w:val="001C55A4"/>
    <w:rsid w:val="001C69B3"/>
    <w:rsid w:val="001C6B73"/>
    <w:rsid w:val="001D06F4"/>
    <w:rsid w:val="001D5595"/>
    <w:rsid w:val="001D5F85"/>
    <w:rsid w:val="001D7874"/>
    <w:rsid w:val="001D7F22"/>
    <w:rsid w:val="001E6F57"/>
    <w:rsid w:val="001F0F17"/>
    <w:rsid w:val="001F3347"/>
    <w:rsid w:val="001F41C1"/>
    <w:rsid w:val="001F69E4"/>
    <w:rsid w:val="001F770D"/>
    <w:rsid w:val="001F7A8C"/>
    <w:rsid w:val="002125B4"/>
    <w:rsid w:val="00213C34"/>
    <w:rsid w:val="002155B8"/>
    <w:rsid w:val="002233F6"/>
    <w:rsid w:val="00224839"/>
    <w:rsid w:val="002249B2"/>
    <w:rsid w:val="00226574"/>
    <w:rsid w:val="002278EC"/>
    <w:rsid w:val="0023280E"/>
    <w:rsid w:val="002377D1"/>
    <w:rsid w:val="002506BC"/>
    <w:rsid w:val="00253D14"/>
    <w:rsid w:val="00254345"/>
    <w:rsid w:val="00257DC9"/>
    <w:rsid w:val="00264557"/>
    <w:rsid w:val="0026527B"/>
    <w:rsid w:val="00277B13"/>
    <w:rsid w:val="002805AB"/>
    <w:rsid w:val="00284204"/>
    <w:rsid w:val="00291773"/>
    <w:rsid w:val="00292F15"/>
    <w:rsid w:val="00294218"/>
    <w:rsid w:val="002A168C"/>
    <w:rsid w:val="002A3DC7"/>
    <w:rsid w:val="002B49E2"/>
    <w:rsid w:val="002B7B00"/>
    <w:rsid w:val="002B7C44"/>
    <w:rsid w:val="002C2B17"/>
    <w:rsid w:val="002D3DD0"/>
    <w:rsid w:val="002E1B8C"/>
    <w:rsid w:val="002E1F3A"/>
    <w:rsid w:val="002E298A"/>
    <w:rsid w:val="00301978"/>
    <w:rsid w:val="0030332C"/>
    <w:rsid w:val="0030334C"/>
    <w:rsid w:val="003051C2"/>
    <w:rsid w:val="00312296"/>
    <w:rsid w:val="00314F0E"/>
    <w:rsid w:val="00321D8E"/>
    <w:rsid w:val="00325928"/>
    <w:rsid w:val="00325ED7"/>
    <w:rsid w:val="003272B0"/>
    <w:rsid w:val="00332863"/>
    <w:rsid w:val="0033684D"/>
    <w:rsid w:val="00337B42"/>
    <w:rsid w:val="00341B42"/>
    <w:rsid w:val="0034348F"/>
    <w:rsid w:val="00356653"/>
    <w:rsid w:val="0035743F"/>
    <w:rsid w:val="00357BE2"/>
    <w:rsid w:val="0036170C"/>
    <w:rsid w:val="00366E0F"/>
    <w:rsid w:val="00381A72"/>
    <w:rsid w:val="00384676"/>
    <w:rsid w:val="00390857"/>
    <w:rsid w:val="00390D83"/>
    <w:rsid w:val="00397297"/>
    <w:rsid w:val="003A4BF3"/>
    <w:rsid w:val="003A7E90"/>
    <w:rsid w:val="003B0045"/>
    <w:rsid w:val="003B420D"/>
    <w:rsid w:val="003B553F"/>
    <w:rsid w:val="003C28F4"/>
    <w:rsid w:val="003C6C16"/>
    <w:rsid w:val="003C7FF2"/>
    <w:rsid w:val="003D1002"/>
    <w:rsid w:val="003D27B2"/>
    <w:rsid w:val="003D794D"/>
    <w:rsid w:val="003D7FA1"/>
    <w:rsid w:val="003E2099"/>
    <w:rsid w:val="003E3058"/>
    <w:rsid w:val="003E76A9"/>
    <w:rsid w:val="003E7CD0"/>
    <w:rsid w:val="003F0809"/>
    <w:rsid w:val="003F6A8C"/>
    <w:rsid w:val="003F755C"/>
    <w:rsid w:val="00406F01"/>
    <w:rsid w:val="00414A58"/>
    <w:rsid w:val="00416D50"/>
    <w:rsid w:val="00416FD5"/>
    <w:rsid w:val="00417772"/>
    <w:rsid w:val="00420E6A"/>
    <w:rsid w:val="004248AD"/>
    <w:rsid w:val="00425A9E"/>
    <w:rsid w:val="00426D6B"/>
    <w:rsid w:val="00431E6C"/>
    <w:rsid w:val="00433CE7"/>
    <w:rsid w:val="00452738"/>
    <w:rsid w:val="00454CBB"/>
    <w:rsid w:val="00456091"/>
    <w:rsid w:val="00462657"/>
    <w:rsid w:val="00464D26"/>
    <w:rsid w:val="00466321"/>
    <w:rsid w:val="0047109A"/>
    <w:rsid w:val="00474DD6"/>
    <w:rsid w:val="00484B9B"/>
    <w:rsid w:val="004855F6"/>
    <w:rsid w:val="0048661E"/>
    <w:rsid w:val="00494670"/>
    <w:rsid w:val="004A1711"/>
    <w:rsid w:val="004A2842"/>
    <w:rsid w:val="004A3823"/>
    <w:rsid w:val="004A7877"/>
    <w:rsid w:val="004C4AE0"/>
    <w:rsid w:val="004D0118"/>
    <w:rsid w:val="004D5776"/>
    <w:rsid w:val="004E6946"/>
    <w:rsid w:val="004F1AD8"/>
    <w:rsid w:val="0050256A"/>
    <w:rsid w:val="005036FF"/>
    <w:rsid w:val="005039CB"/>
    <w:rsid w:val="0050558F"/>
    <w:rsid w:val="00506286"/>
    <w:rsid w:val="00510813"/>
    <w:rsid w:val="00511990"/>
    <w:rsid w:val="00511DE0"/>
    <w:rsid w:val="00514870"/>
    <w:rsid w:val="00514B9B"/>
    <w:rsid w:val="00514F82"/>
    <w:rsid w:val="00517F02"/>
    <w:rsid w:val="005208C7"/>
    <w:rsid w:val="00524303"/>
    <w:rsid w:val="005258A2"/>
    <w:rsid w:val="00527AEF"/>
    <w:rsid w:val="00532106"/>
    <w:rsid w:val="005401AE"/>
    <w:rsid w:val="00542E07"/>
    <w:rsid w:val="005433BA"/>
    <w:rsid w:val="00545424"/>
    <w:rsid w:val="0055085B"/>
    <w:rsid w:val="00554A7B"/>
    <w:rsid w:val="0055571A"/>
    <w:rsid w:val="0055572C"/>
    <w:rsid w:val="00557BD5"/>
    <w:rsid w:val="0056106A"/>
    <w:rsid w:val="005720AE"/>
    <w:rsid w:val="00573328"/>
    <w:rsid w:val="00594D77"/>
    <w:rsid w:val="005969E4"/>
    <w:rsid w:val="005A06B7"/>
    <w:rsid w:val="005A1759"/>
    <w:rsid w:val="005A1EDA"/>
    <w:rsid w:val="005A3167"/>
    <w:rsid w:val="005A38AF"/>
    <w:rsid w:val="005A68A7"/>
    <w:rsid w:val="005A7FD9"/>
    <w:rsid w:val="005B0604"/>
    <w:rsid w:val="005B44F5"/>
    <w:rsid w:val="005B75C0"/>
    <w:rsid w:val="005D36AB"/>
    <w:rsid w:val="005E2BE5"/>
    <w:rsid w:val="005E436E"/>
    <w:rsid w:val="006168AB"/>
    <w:rsid w:val="00617CC3"/>
    <w:rsid w:val="00625DFF"/>
    <w:rsid w:val="006300D4"/>
    <w:rsid w:val="006377A6"/>
    <w:rsid w:val="00637A3D"/>
    <w:rsid w:val="006411EF"/>
    <w:rsid w:val="00643208"/>
    <w:rsid w:val="006542A8"/>
    <w:rsid w:val="00673756"/>
    <w:rsid w:val="006748B8"/>
    <w:rsid w:val="0067758B"/>
    <w:rsid w:val="006775C3"/>
    <w:rsid w:val="006776C6"/>
    <w:rsid w:val="0069290A"/>
    <w:rsid w:val="006938FE"/>
    <w:rsid w:val="00693ED0"/>
    <w:rsid w:val="006941E2"/>
    <w:rsid w:val="00696D08"/>
    <w:rsid w:val="0069775A"/>
    <w:rsid w:val="00697813"/>
    <w:rsid w:val="006A3EE8"/>
    <w:rsid w:val="006A471D"/>
    <w:rsid w:val="006A72BF"/>
    <w:rsid w:val="006B03F2"/>
    <w:rsid w:val="006B0533"/>
    <w:rsid w:val="006B147A"/>
    <w:rsid w:val="006B28C6"/>
    <w:rsid w:val="006B37DC"/>
    <w:rsid w:val="006B4F68"/>
    <w:rsid w:val="006B77D9"/>
    <w:rsid w:val="006C00B6"/>
    <w:rsid w:val="006C0592"/>
    <w:rsid w:val="006C272E"/>
    <w:rsid w:val="006C5479"/>
    <w:rsid w:val="006C668B"/>
    <w:rsid w:val="006D13B5"/>
    <w:rsid w:val="006D162E"/>
    <w:rsid w:val="006E12FF"/>
    <w:rsid w:val="006E607E"/>
    <w:rsid w:val="00706C5D"/>
    <w:rsid w:val="00721899"/>
    <w:rsid w:val="00721D70"/>
    <w:rsid w:val="00721E54"/>
    <w:rsid w:val="007308CD"/>
    <w:rsid w:val="00730E0C"/>
    <w:rsid w:val="00732922"/>
    <w:rsid w:val="00735BB1"/>
    <w:rsid w:val="007402CA"/>
    <w:rsid w:val="00740984"/>
    <w:rsid w:val="0075162E"/>
    <w:rsid w:val="00754034"/>
    <w:rsid w:val="00756556"/>
    <w:rsid w:val="007618C4"/>
    <w:rsid w:val="00762FE3"/>
    <w:rsid w:val="00767980"/>
    <w:rsid w:val="00770B19"/>
    <w:rsid w:val="0077463F"/>
    <w:rsid w:val="007836EA"/>
    <w:rsid w:val="00784CDA"/>
    <w:rsid w:val="0078528F"/>
    <w:rsid w:val="007906C4"/>
    <w:rsid w:val="00791F11"/>
    <w:rsid w:val="007923BF"/>
    <w:rsid w:val="007940EA"/>
    <w:rsid w:val="007967E8"/>
    <w:rsid w:val="007A2170"/>
    <w:rsid w:val="007A22BF"/>
    <w:rsid w:val="007A3323"/>
    <w:rsid w:val="007A38C0"/>
    <w:rsid w:val="007B41FE"/>
    <w:rsid w:val="007B72B8"/>
    <w:rsid w:val="007B7A58"/>
    <w:rsid w:val="007C21B5"/>
    <w:rsid w:val="007C6690"/>
    <w:rsid w:val="007D3AE7"/>
    <w:rsid w:val="007E4BD2"/>
    <w:rsid w:val="007F0B64"/>
    <w:rsid w:val="007F2E8D"/>
    <w:rsid w:val="00801393"/>
    <w:rsid w:val="00802F88"/>
    <w:rsid w:val="008076D7"/>
    <w:rsid w:val="0081293E"/>
    <w:rsid w:val="00815465"/>
    <w:rsid w:val="00817DC2"/>
    <w:rsid w:val="00817E9A"/>
    <w:rsid w:val="008306BD"/>
    <w:rsid w:val="00831A80"/>
    <w:rsid w:val="00833743"/>
    <w:rsid w:val="008340A4"/>
    <w:rsid w:val="00840D88"/>
    <w:rsid w:val="00844BFE"/>
    <w:rsid w:val="008575D5"/>
    <w:rsid w:val="00860C48"/>
    <w:rsid w:val="00864521"/>
    <w:rsid w:val="0087135F"/>
    <w:rsid w:val="00872D94"/>
    <w:rsid w:val="00880364"/>
    <w:rsid w:val="00881DB1"/>
    <w:rsid w:val="00883FD6"/>
    <w:rsid w:val="00891592"/>
    <w:rsid w:val="00891E9E"/>
    <w:rsid w:val="008A2F68"/>
    <w:rsid w:val="008B4FA6"/>
    <w:rsid w:val="008B5282"/>
    <w:rsid w:val="008B7C17"/>
    <w:rsid w:val="008C2D01"/>
    <w:rsid w:val="008C40E6"/>
    <w:rsid w:val="008D0F7A"/>
    <w:rsid w:val="008D1952"/>
    <w:rsid w:val="008D68E4"/>
    <w:rsid w:val="008D6AEF"/>
    <w:rsid w:val="008E0506"/>
    <w:rsid w:val="008E0CFF"/>
    <w:rsid w:val="008E5D6B"/>
    <w:rsid w:val="008E76F0"/>
    <w:rsid w:val="008F08E3"/>
    <w:rsid w:val="008F15FE"/>
    <w:rsid w:val="008F17D6"/>
    <w:rsid w:val="008F2A2B"/>
    <w:rsid w:val="008F2D29"/>
    <w:rsid w:val="008F5187"/>
    <w:rsid w:val="008F60D8"/>
    <w:rsid w:val="008F6DA7"/>
    <w:rsid w:val="00902727"/>
    <w:rsid w:val="0090312B"/>
    <w:rsid w:val="00903DB3"/>
    <w:rsid w:val="009114E7"/>
    <w:rsid w:val="00911710"/>
    <w:rsid w:val="0091736D"/>
    <w:rsid w:val="0093037A"/>
    <w:rsid w:val="009304FD"/>
    <w:rsid w:val="00930E9D"/>
    <w:rsid w:val="0094154D"/>
    <w:rsid w:val="00944FE5"/>
    <w:rsid w:val="0095155F"/>
    <w:rsid w:val="00954429"/>
    <w:rsid w:val="009563CE"/>
    <w:rsid w:val="00976328"/>
    <w:rsid w:val="0097680D"/>
    <w:rsid w:val="00981FC8"/>
    <w:rsid w:val="00982438"/>
    <w:rsid w:val="0098404C"/>
    <w:rsid w:val="00985283"/>
    <w:rsid w:val="0099481E"/>
    <w:rsid w:val="00995992"/>
    <w:rsid w:val="009961FC"/>
    <w:rsid w:val="009A03E5"/>
    <w:rsid w:val="009A0F3B"/>
    <w:rsid w:val="009A1BB4"/>
    <w:rsid w:val="009A1D79"/>
    <w:rsid w:val="009A2628"/>
    <w:rsid w:val="009A2EF7"/>
    <w:rsid w:val="009A3200"/>
    <w:rsid w:val="009A3E74"/>
    <w:rsid w:val="009B0897"/>
    <w:rsid w:val="009B2096"/>
    <w:rsid w:val="009B7018"/>
    <w:rsid w:val="009B7BD9"/>
    <w:rsid w:val="009C1FE7"/>
    <w:rsid w:val="009C7C59"/>
    <w:rsid w:val="009C7DD5"/>
    <w:rsid w:val="009D31D5"/>
    <w:rsid w:val="009D4250"/>
    <w:rsid w:val="009E11BF"/>
    <w:rsid w:val="009E227D"/>
    <w:rsid w:val="009E434B"/>
    <w:rsid w:val="009E5019"/>
    <w:rsid w:val="009F1789"/>
    <w:rsid w:val="009F2CD4"/>
    <w:rsid w:val="009F6503"/>
    <w:rsid w:val="00A01E66"/>
    <w:rsid w:val="00A04F1B"/>
    <w:rsid w:val="00A0501B"/>
    <w:rsid w:val="00A057C5"/>
    <w:rsid w:val="00A11776"/>
    <w:rsid w:val="00A1470A"/>
    <w:rsid w:val="00A14947"/>
    <w:rsid w:val="00A32A83"/>
    <w:rsid w:val="00A35CEA"/>
    <w:rsid w:val="00A368DB"/>
    <w:rsid w:val="00A423AA"/>
    <w:rsid w:val="00A45E7D"/>
    <w:rsid w:val="00A52D0F"/>
    <w:rsid w:val="00A53EC6"/>
    <w:rsid w:val="00A55C0F"/>
    <w:rsid w:val="00A819B9"/>
    <w:rsid w:val="00A8713F"/>
    <w:rsid w:val="00A87580"/>
    <w:rsid w:val="00A90BA1"/>
    <w:rsid w:val="00A97A9A"/>
    <w:rsid w:val="00AA0671"/>
    <w:rsid w:val="00AA0C87"/>
    <w:rsid w:val="00AA123A"/>
    <w:rsid w:val="00AA2531"/>
    <w:rsid w:val="00AA54A8"/>
    <w:rsid w:val="00AA614D"/>
    <w:rsid w:val="00AB1E09"/>
    <w:rsid w:val="00AB5330"/>
    <w:rsid w:val="00AB7747"/>
    <w:rsid w:val="00AC14CE"/>
    <w:rsid w:val="00AC2A56"/>
    <w:rsid w:val="00AC60E4"/>
    <w:rsid w:val="00AC722A"/>
    <w:rsid w:val="00AD055E"/>
    <w:rsid w:val="00AD1DA8"/>
    <w:rsid w:val="00AD21E0"/>
    <w:rsid w:val="00AD47A7"/>
    <w:rsid w:val="00AD6452"/>
    <w:rsid w:val="00AE0F5B"/>
    <w:rsid w:val="00AF0CBF"/>
    <w:rsid w:val="00AF257F"/>
    <w:rsid w:val="00AF33CF"/>
    <w:rsid w:val="00AF4D50"/>
    <w:rsid w:val="00AF6179"/>
    <w:rsid w:val="00B00AE7"/>
    <w:rsid w:val="00B05EEA"/>
    <w:rsid w:val="00B1295A"/>
    <w:rsid w:val="00B20A45"/>
    <w:rsid w:val="00B22C5C"/>
    <w:rsid w:val="00B24F30"/>
    <w:rsid w:val="00B27B1B"/>
    <w:rsid w:val="00B315CA"/>
    <w:rsid w:val="00B31ABF"/>
    <w:rsid w:val="00B33BE3"/>
    <w:rsid w:val="00B46C07"/>
    <w:rsid w:val="00B53B5D"/>
    <w:rsid w:val="00B53ECE"/>
    <w:rsid w:val="00B54968"/>
    <w:rsid w:val="00B6055E"/>
    <w:rsid w:val="00B6317D"/>
    <w:rsid w:val="00B65460"/>
    <w:rsid w:val="00B7200D"/>
    <w:rsid w:val="00B7723F"/>
    <w:rsid w:val="00B77D49"/>
    <w:rsid w:val="00B80534"/>
    <w:rsid w:val="00B83D98"/>
    <w:rsid w:val="00B8433C"/>
    <w:rsid w:val="00B87491"/>
    <w:rsid w:val="00B87547"/>
    <w:rsid w:val="00B97855"/>
    <w:rsid w:val="00BA29E9"/>
    <w:rsid w:val="00BA7142"/>
    <w:rsid w:val="00BA7529"/>
    <w:rsid w:val="00BB237C"/>
    <w:rsid w:val="00BB3118"/>
    <w:rsid w:val="00BB41A3"/>
    <w:rsid w:val="00BC32DC"/>
    <w:rsid w:val="00BC35B6"/>
    <w:rsid w:val="00BC42FD"/>
    <w:rsid w:val="00BD1B51"/>
    <w:rsid w:val="00BD4596"/>
    <w:rsid w:val="00BD7F1C"/>
    <w:rsid w:val="00BE1405"/>
    <w:rsid w:val="00BE312D"/>
    <w:rsid w:val="00BE36BB"/>
    <w:rsid w:val="00BF040E"/>
    <w:rsid w:val="00BF1C20"/>
    <w:rsid w:val="00BF4FCD"/>
    <w:rsid w:val="00C10578"/>
    <w:rsid w:val="00C135BC"/>
    <w:rsid w:val="00C15C95"/>
    <w:rsid w:val="00C2596A"/>
    <w:rsid w:val="00C265EB"/>
    <w:rsid w:val="00C27537"/>
    <w:rsid w:val="00C328FE"/>
    <w:rsid w:val="00C33507"/>
    <w:rsid w:val="00C40B72"/>
    <w:rsid w:val="00C4409D"/>
    <w:rsid w:val="00C44E72"/>
    <w:rsid w:val="00C45A06"/>
    <w:rsid w:val="00C47427"/>
    <w:rsid w:val="00C47E5B"/>
    <w:rsid w:val="00C543D8"/>
    <w:rsid w:val="00C54AB0"/>
    <w:rsid w:val="00C55E7A"/>
    <w:rsid w:val="00C563DB"/>
    <w:rsid w:val="00C564FA"/>
    <w:rsid w:val="00C61E4B"/>
    <w:rsid w:val="00C64174"/>
    <w:rsid w:val="00C64BFF"/>
    <w:rsid w:val="00C704E9"/>
    <w:rsid w:val="00C749DB"/>
    <w:rsid w:val="00C763C9"/>
    <w:rsid w:val="00C80057"/>
    <w:rsid w:val="00C82232"/>
    <w:rsid w:val="00C82913"/>
    <w:rsid w:val="00C90443"/>
    <w:rsid w:val="00C93FC8"/>
    <w:rsid w:val="00C9556A"/>
    <w:rsid w:val="00C972B1"/>
    <w:rsid w:val="00CA0791"/>
    <w:rsid w:val="00CA2CCE"/>
    <w:rsid w:val="00CA43FD"/>
    <w:rsid w:val="00CA7EF8"/>
    <w:rsid w:val="00CC0A14"/>
    <w:rsid w:val="00CC19D8"/>
    <w:rsid w:val="00CC489B"/>
    <w:rsid w:val="00CD2BCD"/>
    <w:rsid w:val="00CD3A4C"/>
    <w:rsid w:val="00CE10E9"/>
    <w:rsid w:val="00CE2910"/>
    <w:rsid w:val="00CE44BB"/>
    <w:rsid w:val="00CE5393"/>
    <w:rsid w:val="00CF36BE"/>
    <w:rsid w:val="00CF392B"/>
    <w:rsid w:val="00CF6000"/>
    <w:rsid w:val="00CF6796"/>
    <w:rsid w:val="00D003F3"/>
    <w:rsid w:val="00D016A6"/>
    <w:rsid w:val="00D01B6B"/>
    <w:rsid w:val="00D0364F"/>
    <w:rsid w:val="00D06834"/>
    <w:rsid w:val="00D106B4"/>
    <w:rsid w:val="00D23B0E"/>
    <w:rsid w:val="00D308ED"/>
    <w:rsid w:val="00D36D86"/>
    <w:rsid w:val="00D41076"/>
    <w:rsid w:val="00D428AA"/>
    <w:rsid w:val="00D50A34"/>
    <w:rsid w:val="00D53EFA"/>
    <w:rsid w:val="00D654AC"/>
    <w:rsid w:val="00D71E4D"/>
    <w:rsid w:val="00D72B74"/>
    <w:rsid w:val="00D8407A"/>
    <w:rsid w:val="00D92D2E"/>
    <w:rsid w:val="00D94A7C"/>
    <w:rsid w:val="00D95896"/>
    <w:rsid w:val="00DA4E1D"/>
    <w:rsid w:val="00DB2983"/>
    <w:rsid w:val="00DB2B7A"/>
    <w:rsid w:val="00DB6E37"/>
    <w:rsid w:val="00DC1257"/>
    <w:rsid w:val="00DC3DC0"/>
    <w:rsid w:val="00DC5B2B"/>
    <w:rsid w:val="00DD318D"/>
    <w:rsid w:val="00DF2721"/>
    <w:rsid w:val="00DF2E12"/>
    <w:rsid w:val="00DF514A"/>
    <w:rsid w:val="00DF6690"/>
    <w:rsid w:val="00DF6804"/>
    <w:rsid w:val="00E00923"/>
    <w:rsid w:val="00E0358D"/>
    <w:rsid w:val="00E03E62"/>
    <w:rsid w:val="00E04323"/>
    <w:rsid w:val="00E070A2"/>
    <w:rsid w:val="00E15598"/>
    <w:rsid w:val="00E16D52"/>
    <w:rsid w:val="00E2656A"/>
    <w:rsid w:val="00E41064"/>
    <w:rsid w:val="00E412D0"/>
    <w:rsid w:val="00E55BC4"/>
    <w:rsid w:val="00E56322"/>
    <w:rsid w:val="00E60982"/>
    <w:rsid w:val="00E62C62"/>
    <w:rsid w:val="00E654C1"/>
    <w:rsid w:val="00E65D97"/>
    <w:rsid w:val="00E72A5A"/>
    <w:rsid w:val="00E73354"/>
    <w:rsid w:val="00E734C7"/>
    <w:rsid w:val="00E735E6"/>
    <w:rsid w:val="00E9242D"/>
    <w:rsid w:val="00E941A7"/>
    <w:rsid w:val="00E97974"/>
    <w:rsid w:val="00EA4092"/>
    <w:rsid w:val="00EB2448"/>
    <w:rsid w:val="00EB5255"/>
    <w:rsid w:val="00EB5C47"/>
    <w:rsid w:val="00EB75BD"/>
    <w:rsid w:val="00EC27E1"/>
    <w:rsid w:val="00EC5E74"/>
    <w:rsid w:val="00ED0639"/>
    <w:rsid w:val="00ED7E46"/>
    <w:rsid w:val="00EE2735"/>
    <w:rsid w:val="00EE6747"/>
    <w:rsid w:val="00EF08D3"/>
    <w:rsid w:val="00EF4755"/>
    <w:rsid w:val="00EF681D"/>
    <w:rsid w:val="00EF7135"/>
    <w:rsid w:val="00F027DB"/>
    <w:rsid w:val="00F14A7A"/>
    <w:rsid w:val="00F175C1"/>
    <w:rsid w:val="00F20568"/>
    <w:rsid w:val="00F22985"/>
    <w:rsid w:val="00F3196D"/>
    <w:rsid w:val="00F3383E"/>
    <w:rsid w:val="00F40C2A"/>
    <w:rsid w:val="00F465A7"/>
    <w:rsid w:val="00F50B7C"/>
    <w:rsid w:val="00F51092"/>
    <w:rsid w:val="00F550E6"/>
    <w:rsid w:val="00F61EFC"/>
    <w:rsid w:val="00F74345"/>
    <w:rsid w:val="00F80A0A"/>
    <w:rsid w:val="00F82B19"/>
    <w:rsid w:val="00F84C58"/>
    <w:rsid w:val="00F9212D"/>
    <w:rsid w:val="00F965DA"/>
    <w:rsid w:val="00FA406A"/>
    <w:rsid w:val="00FA484B"/>
    <w:rsid w:val="00FA5095"/>
    <w:rsid w:val="00FA5160"/>
    <w:rsid w:val="00FA65DF"/>
    <w:rsid w:val="00FB0E11"/>
    <w:rsid w:val="00FB503A"/>
    <w:rsid w:val="00FB516C"/>
    <w:rsid w:val="00FB6F23"/>
    <w:rsid w:val="00FC41FA"/>
    <w:rsid w:val="00FD0236"/>
    <w:rsid w:val="00FD18F4"/>
    <w:rsid w:val="00FD54DB"/>
    <w:rsid w:val="00FD619F"/>
    <w:rsid w:val="01290F7E"/>
    <w:rsid w:val="012B27EB"/>
    <w:rsid w:val="015D1E09"/>
    <w:rsid w:val="01C46B70"/>
    <w:rsid w:val="02356B8E"/>
    <w:rsid w:val="02697903"/>
    <w:rsid w:val="02F96569"/>
    <w:rsid w:val="037A58B9"/>
    <w:rsid w:val="03C561E4"/>
    <w:rsid w:val="03D67597"/>
    <w:rsid w:val="03EA7B21"/>
    <w:rsid w:val="042F29CB"/>
    <w:rsid w:val="043B1E4C"/>
    <w:rsid w:val="04817EF1"/>
    <w:rsid w:val="051D7EDD"/>
    <w:rsid w:val="05244FC5"/>
    <w:rsid w:val="053911EF"/>
    <w:rsid w:val="05452DFC"/>
    <w:rsid w:val="05F83EAE"/>
    <w:rsid w:val="060D6AAC"/>
    <w:rsid w:val="0633208D"/>
    <w:rsid w:val="063E7D85"/>
    <w:rsid w:val="06662F74"/>
    <w:rsid w:val="06831D23"/>
    <w:rsid w:val="068F3D16"/>
    <w:rsid w:val="06DC2725"/>
    <w:rsid w:val="072365A6"/>
    <w:rsid w:val="07293586"/>
    <w:rsid w:val="07295285"/>
    <w:rsid w:val="07434BE5"/>
    <w:rsid w:val="07636392"/>
    <w:rsid w:val="07770C56"/>
    <w:rsid w:val="079E5C2C"/>
    <w:rsid w:val="07A81D65"/>
    <w:rsid w:val="07AA1D68"/>
    <w:rsid w:val="07B05960"/>
    <w:rsid w:val="07C37441"/>
    <w:rsid w:val="07CD4DF3"/>
    <w:rsid w:val="08C2594B"/>
    <w:rsid w:val="08FF7358"/>
    <w:rsid w:val="092217DD"/>
    <w:rsid w:val="092642D9"/>
    <w:rsid w:val="093A7294"/>
    <w:rsid w:val="0961699B"/>
    <w:rsid w:val="09B01E1C"/>
    <w:rsid w:val="09B732D2"/>
    <w:rsid w:val="09E520FA"/>
    <w:rsid w:val="0A263993"/>
    <w:rsid w:val="0A2D3AC2"/>
    <w:rsid w:val="0AA755DF"/>
    <w:rsid w:val="0ABA2B1A"/>
    <w:rsid w:val="0B120D44"/>
    <w:rsid w:val="0BD27BF6"/>
    <w:rsid w:val="0C360B29"/>
    <w:rsid w:val="0C3B3C7D"/>
    <w:rsid w:val="0C537316"/>
    <w:rsid w:val="0C9C6AC0"/>
    <w:rsid w:val="0CAB2EAE"/>
    <w:rsid w:val="0CBD75E0"/>
    <w:rsid w:val="0D063B20"/>
    <w:rsid w:val="0D0C3007"/>
    <w:rsid w:val="0D621C7D"/>
    <w:rsid w:val="0D78796B"/>
    <w:rsid w:val="0DB16273"/>
    <w:rsid w:val="0DF2282E"/>
    <w:rsid w:val="0DF67D04"/>
    <w:rsid w:val="0E214EC1"/>
    <w:rsid w:val="0E73034D"/>
    <w:rsid w:val="0ED63D9A"/>
    <w:rsid w:val="0F0C5439"/>
    <w:rsid w:val="0F13775A"/>
    <w:rsid w:val="0F5F45FE"/>
    <w:rsid w:val="0F6554BB"/>
    <w:rsid w:val="0F9A112B"/>
    <w:rsid w:val="0FA04990"/>
    <w:rsid w:val="1024691C"/>
    <w:rsid w:val="106D2F64"/>
    <w:rsid w:val="10A9642B"/>
    <w:rsid w:val="10B63710"/>
    <w:rsid w:val="10C31D4E"/>
    <w:rsid w:val="10F10820"/>
    <w:rsid w:val="111C2F7A"/>
    <w:rsid w:val="11665CA1"/>
    <w:rsid w:val="121906A9"/>
    <w:rsid w:val="12C64289"/>
    <w:rsid w:val="130F074E"/>
    <w:rsid w:val="136D4AC4"/>
    <w:rsid w:val="13951726"/>
    <w:rsid w:val="142F5DA9"/>
    <w:rsid w:val="14396509"/>
    <w:rsid w:val="14CE3873"/>
    <w:rsid w:val="14DD2C3C"/>
    <w:rsid w:val="157F566A"/>
    <w:rsid w:val="15C26CFC"/>
    <w:rsid w:val="15C300FD"/>
    <w:rsid w:val="15C32AF1"/>
    <w:rsid w:val="15CF3955"/>
    <w:rsid w:val="16087E1D"/>
    <w:rsid w:val="1614075E"/>
    <w:rsid w:val="16481B85"/>
    <w:rsid w:val="165A18B8"/>
    <w:rsid w:val="17672D31"/>
    <w:rsid w:val="17701D14"/>
    <w:rsid w:val="17735226"/>
    <w:rsid w:val="17E70F2A"/>
    <w:rsid w:val="17F2374C"/>
    <w:rsid w:val="17F60CF7"/>
    <w:rsid w:val="188449CB"/>
    <w:rsid w:val="189F624C"/>
    <w:rsid w:val="18A70482"/>
    <w:rsid w:val="18CA232D"/>
    <w:rsid w:val="18E44E4E"/>
    <w:rsid w:val="195B1BCF"/>
    <w:rsid w:val="19874D4A"/>
    <w:rsid w:val="19A464D8"/>
    <w:rsid w:val="19F677A5"/>
    <w:rsid w:val="1A0E074B"/>
    <w:rsid w:val="1A1C66C0"/>
    <w:rsid w:val="1A42393B"/>
    <w:rsid w:val="1A631EC8"/>
    <w:rsid w:val="1AAD45DE"/>
    <w:rsid w:val="1AAE3F81"/>
    <w:rsid w:val="1B046F80"/>
    <w:rsid w:val="1B3267B5"/>
    <w:rsid w:val="1B40161D"/>
    <w:rsid w:val="1B441859"/>
    <w:rsid w:val="1B6606B1"/>
    <w:rsid w:val="1B854D33"/>
    <w:rsid w:val="1BD366F8"/>
    <w:rsid w:val="1BDE43F2"/>
    <w:rsid w:val="1BF27E9D"/>
    <w:rsid w:val="1BF56457"/>
    <w:rsid w:val="1C03307C"/>
    <w:rsid w:val="1C1A2A4D"/>
    <w:rsid w:val="1C5E7925"/>
    <w:rsid w:val="1CBE732C"/>
    <w:rsid w:val="1CCD4770"/>
    <w:rsid w:val="1CFD070F"/>
    <w:rsid w:val="1D5F6196"/>
    <w:rsid w:val="1D6132A5"/>
    <w:rsid w:val="1D721295"/>
    <w:rsid w:val="1D8E56D5"/>
    <w:rsid w:val="1E0A6C60"/>
    <w:rsid w:val="1E380AFC"/>
    <w:rsid w:val="1E4569AA"/>
    <w:rsid w:val="1E7A43DA"/>
    <w:rsid w:val="1E8D688F"/>
    <w:rsid w:val="1EE336A1"/>
    <w:rsid w:val="1F615A66"/>
    <w:rsid w:val="1F684868"/>
    <w:rsid w:val="1F90657F"/>
    <w:rsid w:val="1FE7539E"/>
    <w:rsid w:val="1FEB3EF1"/>
    <w:rsid w:val="20671BE0"/>
    <w:rsid w:val="20963CB8"/>
    <w:rsid w:val="20A81A1B"/>
    <w:rsid w:val="20B07FB6"/>
    <w:rsid w:val="20B646FB"/>
    <w:rsid w:val="20E36188"/>
    <w:rsid w:val="21121665"/>
    <w:rsid w:val="211319FF"/>
    <w:rsid w:val="213B74B1"/>
    <w:rsid w:val="215A2310"/>
    <w:rsid w:val="21DE318A"/>
    <w:rsid w:val="21EF5B80"/>
    <w:rsid w:val="223C1E72"/>
    <w:rsid w:val="225329ED"/>
    <w:rsid w:val="22576990"/>
    <w:rsid w:val="229F635C"/>
    <w:rsid w:val="22F47480"/>
    <w:rsid w:val="23DE1C48"/>
    <w:rsid w:val="23F34EA3"/>
    <w:rsid w:val="23FC3BF5"/>
    <w:rsid w:val="240210CD"/>
    <w:rsid w:val="24474722"/>
    <w:rsid w:val="24B623B0"/>
    <w:rsid w:val="24BF09F7"/>
    <w:rsid w:val="24F43452"/>
    <w:rsid w:val="2525446E"/>
    <w:rsid w:val="252D53FE"/>
    <w:rsid w:val="257D4FC7"/>
    <w:rsid w:val="25E90563"/>
    <w:rsid w:val="25EC2D81"/>
    <w:rsid w:val="26D44ED6"/>
    <w:rsid w:val="271534A5"/>
    <w:rsid w:val="2728009D"/>
    <w:rsid w:val="277057A2"/>
    <w:rsid w:val="27A8393F"/>
    <w:rsid w:val="27CE017C"/>
    <w:rsid w:val="2820638F"/>
    <w:rsid w:val="283D41B0"/>
    <w:rsid w:val="287733F1"/>
    <w:rsid w:val="28893937"/>
    <w:rsid w:val="28B33957"/>
    <w:rsid w:val="28B83071"/>
    <w:rsid w:val="290A4913"/>
    <w:rsid w:val="29206EB8"/>
    <w:rsid w:val="2950008F"/>
    <w:rsid w:val="29595666"/>
    <w:rsid w:val="29874881"/>
    <w:rsid w:val="29E325E0"/>
    <w:rsid w:val="2A086191"/>
    <w:rsid w:val="2A452503"/>
    <w:rsid w:val="2A662182"/>
    <w:rsid w:val="2A807BEC"/>
    <w:rsid w:val="2ADC064A"/>
    <w:rsid w:val="2B8E22FA"/>
    <w:rsid w:val="2BA936A8"/>
    <w:rsid w:val="2BCE2EA5"/>
    <w:rsid w:val="2C200B45"/>
    <w:rsid w:val="2C315A5A"/>
    <w:rsid w:val="2C4B1C25"/>
    <w:rsid w:val="2D0E21D6"/>
    <w:rsid w:val="2D7E1582"/>
    <w:rsid w:val="2D9D1BEA"/>
    <w:rsid w:val="2D9E56F5"/>
    <w:rsid w:val="2E3D1B44"/>
    <w:rsid w:val="2E667F96"/>
    <w:rsid w:val="2E8226AB"/>
    <w:rsid w:val="2E876B6B"/>
    <w:rsid w:val="2EB27766"/>
    <w:rsid w:val="2F677179"/>
    <w:rsid w:val="2F8A7F9C"/>
    <w:rsid w:val="2FB51429"/>
    <w:rsid w:val="2FD065E6"/>
    <w:rsid w:val="2FD96870"/>
    <w:rsid w:val="30055F99"/>
    <w:rsid w:val="30463A3D"/>
    <w:rsid w:val="30580BC9"/>
    <w:rsid w:val="311E2ED7"/>
    <w:rsid w:val="315118D8"/>
    <w:rsid w:val="315619EE"/>
    <w:rsid w:val="315C449C"/>
    <w:rsid w:val="31B82709"/>
    <w:rsid w:val="31D05482"/>
    <w:rsid w:val="31F64769"/>
    <w:rsid w:val="322625CC"/>
    <w:rsid w:val="32400B34"/>
    <w:rsid w:val="329E6876"/>
    <w:rsid w:val="32A147BA"/>
    <w:rsid w:val="331D184C"/>
    <w:rsid w:val="333015F2"/>
    <w:rsid w:val="334B6320"/>
    <w:rsid w:val="336F59F9"/>
    <w:rsid w:val="33A20D93"/>
    <w:rsid w:val="33AC6E2B"/>
    <w:rsid w:val="33AE34CB"/>
    <w:rsid w:val="33D934D4"/>
    <w:rsid w:val="33F94067"/>
    <w:rsid w:val="33FE2F6A"/>
    <w:rsid w:val="340E07E5"/>
    <w:rsid w:val="34235BF7"/>
    <w:rsid w:val="349322E6"/>
    <w:rsid w:val="34B23B09"/>
    <w:rsid w:val="35474F80"/>
    <w:rsid w:val="358C5FA8"/>
    <w:rsid w:val="35C15DF1"/>
    <w:rsid w:val="35FA19AF"/>
    <w:rsid w:val="36074A7F"/>
    <w:rsid w:val="364A7C91"/>
    <w:rsid w:val="36545459"/>
    <w:rsid w:val="36663136"/>
    <w:rsid w:val="36923549"/>
    <w:rsid w:val="36A84347"/>
    <w:rsid w:val="36B75FBF"/>
    <w:rsid w:val="36BD0C45"/>
    <w:rsid w:val="36D8680C"/>
    <w:rsid w:val="372D3E46"/>
    <w:rsid w:val="37343D3E"/>
    <w:rsid w:val="37AF33BA"/>
    <w:rsid w:val="37E00298"/>
    <w:rsid w:val="387E2D8D"/>
    <w:rsid w:val="389A7425"/>
    <w:rsid w:val="38A945A5"/>
    <w:rsid w:val="38B302F9"/>
    <w:rsid w:val="38F12CD3"/>
    <w:rsid w:val="38F94775"/>
    <w:rsid w:val="392971ED"/>
    <w:rsid w:val="392E3829"/>
    <w:rsid w:val="39325651"/>
    <w:rsid w:val="3A470CD7"/>
    <w:rsid w:val="3A683CF4"/>
    <w:rsid w:val="3A872856"/>
    <w:rsid w:val="3AA86B37"/>
    <w:rsid w:val="3ACA577F"/>
    <w:rsid w:val="3B3763D1"/>
    <w:rsid w:val="3B671BDF"/>
    <w:rsid w:val="3BCD47A7"/>
    <w:rsid w:val="3C2F6E1E"/>
    <w:rsid w:val="3C4F64BA"/>
    <w:rsid w:val="3C773E48"/>
    <w:rsid w:val="3C861EB4"/>
    <w:rsid w:val="3CDA245A"/>
    <w:rsid w:val="3D0306CC"/>
    <w:rsid w:val="3D1E06B7"/>
    <w:rsid w:val="3E7F7DB3"/>
    <w:rsid w:val="3EA33068"/>
    <w:rsid w:val="3EDA0523"/>
    <w:rsid w:val="3EE36891"/>
    <w:rsid w:val="400224F5"/>
    <w:rsid w:val="400742F7"/>
    <w:rsid w:val="40112955"/>
    <w:rsid w:val="40330D6F"/>
    <w:rsid w:val="40660921"/>
    <w:rsid w:val="407A6407"/>
    <w:rsid w:val="40EB2F89"/>
    <w:rsid w:val="4144326A"/>
    <w:rsid w:val="4200449D"/>
    <w:rsid w:val="423A3BCC"/>
    <w:rsid w:val="424E57D2"/>
    <w:rsid w:val="42B26C49"/>
    <w:rsid w:val="4322598C"/>
    <w:rsid w:val="433A6FE6"/>
    <w:rsid w:val="43480868"/>
    <w:rsid w:val="4350713C"/>
    <w:rsid w:val="435C77AD"/>
    <w:rsid w:val="436653E0"/>
    <w:rsid w:val="43773AB7"/>
    <w:rsid w:val="439312FA"/>
    <w:rsid w:val="43BE7E30"/>
    <w:rsid w:val="43C4431A"/>
    <w:rsid w:val="440C36A4"/>
    <w:rsid w:val="4419588E"/>
    <w:rsid w:val="44B951CC"/>
    <w:rsid w:val="44CD14E0"/>
    <w:rsid w:val="44DB26F1"/>
    <w:rsid w:val="44F20B0B"/>
    <w:rsid w:val="44FC7292"/>
    <w:rsid w:val="452E5F4C"/>
    <w:rsid w:val="455455A1"/>
    <w:rsid w:val="455F6678"/>
    <w:rsid w:val="45612018"/>
    <w:rsid w:val="45742457"/>
    <w:rsid w:val="457F474D"/>
    <w:rsid w:val="458946E9"/>
    <w:rsid w:val="45A47C0E"/>
    <w:rsid w:val="45AE2537"/>
    <w:rsid w:val="45C91EC9"/>
    <w:rsid w:val="45F725B4"/>
    <w:rsid w:val="46530FE5"/>
    <w:rsid w:val="46577FD6"/>
    <w:rsid w:val="46D955A7"/>
    <w:rsid w:val="46FC283C"/>
    <w:rsid w:val="47133957"/>
    <w:rsid w:val="47A07E0C"/>
    <w:rsid w:val="47CE1FDE"/>
    <w:rsid w:val="481E051F"/>
    <w:rsid w:val="4870272E"/>
    <w:rsid w:val="48702DDE"/>
    <w:rsid w:val="48E35734"/>
    <w:rsid w:val="49320975"/>
    <w:rsid w:val="49AC56A1"/>
    <w:rsid w:val="49DC7715"/>
    <w:rsid w:val="4A023139"/>
    <w:rsid w:val="4A7B576F"/>
    <w:rsid w:val="4AB27AD8"/>
    <w:rsid w:val="4ADA6F8B"/>
    <w:rsid w:val="4AF561A9"/>
    <w:rsid w:val="4C2537F3"/>
    <w:rsid w:val="4C2555A1"/>
    <w:rsid w:val="4C4A0649"/>
    <w:rsid w:val="4C7E5ECA"/>
    <w:rsid w:val="4C876AA5"/>
    <w:rsid w:val="4D0E00FB"/>
    <w:rsid w:val="4D176606"/>
    <w:rsid w:val="4D797E0A"/>
    <w:rsid w:val="4DD42E92"/>
    <w:rsid w:val="4DEC4FB0"/>
    <w:rsid w:val="4E075D8A"/>
    <w:rsid w:val="4E487495"/>
    <w:rsid w:val="4E61488B"/>
    <w:rsid w:val="4E946A0E"/>
    <w:rsid w:val="4EB726FD"/>
    <w:rsid w:val="4EC00FAD"/>
    <w:rsid w:val="4F7505EE"/>
    <w:rsid w:val="4F9843DC"/>
    <w:rsid w:val="4FC62A8C"/>
    <w:rsid w:val="4FE20F0D"/>
    <w:rsid w:val="4FE51552"/>
    <w:rsid w:val="5023629C"/>
    <w:rsid w:val="50326F64"/>
    <w:rsid w:val="50482FB7"/>
    <w:rsid w:val="50504C4B"/>
    <w:rsid w:val="509C6E7C"/>
    <w:rsid w:val="51404C2B"/>
    <w:rsid w:val="51573D26"/>
    <w:rsid w:val="5162104E"/>
    <w:rsid w:val="51850A11"/>
    <w:rsid w:val="519F0474"/>
    <w:rsid w:val="51B56845"/>
    <w:rsid w:val="51F872D5"/>
    <w:rsid w:val="521A5946"/>
    <w:rsid w:val="528D3EA0"/>
    <w:rsid w:val="52CF44B9"/>
    <w:rsid w:val="52D86809"/>
    <w:rsid w:val="537021BE"/>
    <w:rsid w:val="538B7893"/>
    <w:rsid w:val="539B25ED"/>
    <w:rsid w:val="53A039CC"/>
    <w:rsid w:val="53A1505A"/>
    <w:rsid w:val="54063E08"/>
    <w:rsid w:val="543437E8"/>
    <w:rsid w:val="549A4653"/>
    <w:rsid w:val="54DD5636"/>
    <w:rsid w:val="54F73313"/>
    <w:rsid w:val="54F80955"/>
    <w:rsid w:val="55045EF6"/>
    <w:rsid w:val="550B5550"/>
    <w:rsid w:val="555170A7"/>
    <w:rsid w:val="5560589C"/>
    <w:rsid w:val="5587536D"/>
    <w:rsid w:val="559B174B"/>
    <w:rsid w:val="55CD6D40"/>
    <w:rsid w:val="55CE0CF4"/>
    <w:rsid w:val="55EB1A1C"/>
    <w:rsid w:val="5650748A"/>
    <w:rsid w:val="567242E2"/>
    <w:rsid w:val="56B22A9C"/>
    <w:rsid w:val="56CD0D0F"/>
    <w:rsid w:val="57245E3B"/>
    <w:rsid w:val="576E4F6A"/>
    <w:rsid w:val="577959FD"/>
    <w:rsid w:val="57B72A76"/>
    <w:rsid w:val="57C3426C"/>
    <w:rsid w:val="57CE1F93"/>
    <w:rsid w:val="57ED3766"/>
    <w:rsid w:val="582C7CB7"/>
    <w:rsid w:val="58867E68"/>
    <w:rsid w:val="588743D1"/>
    <w:rsid w:val="5887701A"/>
    <w:rsid w:val="58A54914"/>
    <w:rsid w:val="59210749"/>
    <w:rsid w:val="59416D83"/>
    <w:rsid w:val="59C0439F"/>
    <w:rsid w:val="59D44C1D"/>
    <w:rsid w:val="5AA17A9A"/>
    <w:rsid w:val="5ABE2233"/>
    <w:rsid w:val="5BDF5D95"/>
    <w:rsid w:val="5BFE7528"/>
    <w:rsid w:val="5C1C5D0A"/>
    <w:rsid w:val="5C207B33"/>
    <w:rsid w:val="5C35446D"/>
    <w:rsid w:val="5C8B4E57"/>
    <w:rsid w:val="5CB12713"/>
    <w:rsid w:val="5CBF559E"/>
    <w:rsid w:val="5CE122F4"/>
    <w:rsid w:val="5D2250DF"/>
    <w:rsid w:val="5D296EBB"/>
    <w:rsid w:val="5D5A7360"/>
    <w:rsid w:val="5D7072ED"/>
    <w:rsid w:val="5DC7295C"/>
    <w:rsid w:val="5DEE6478"/>
    <w:rsid w:val="5E2467F1"/>
    <w:rsid w:val="5E5A37D0"/>
    <w:rsid w:val="5E5D71A3"/>
    <w:rsid w:val="5E6836A7"/>
    <w:rsid w:val="5EA52572"/>
    <w:rsid w:val="5EC96A58"/>
    <w:rsid w:val="5F007E8C"/>
    <w:rsid w:val="5F1A2B43"/>
    <w:rsid w:val="5F5C54EE"/>
    <w:rsid w:val="5FB837BB"/>
    <w:rsid w:val="601E438A"/>
    <w:rsid w:val="60244AA5"/>
    <w:rsid w:val="603C0B15"/>
    <w:rsid w:val="60623F7F"/>
    <w:rsid w:val="606D2829"/>
    <w:rsid w:val="609B34F1"/>
    <w:rsid w:val="60A435A9"/>
    <w:rsid w:val="60CC405A"/>
    <w:rsid w:val="60E700C0"/>
    <w:rsid w:val="61E215D8"/>
    <w:rsid w:val="621B3775"/>
    <w:rsid w:val="62364782"/>
    <w:rsid w:val="62F86EB1"/>
    <w:rsid w:val="634B0878"/>
    <w:rsid w:val="6394356A"/>
    <w:rsid w:val="63AC2566"/>
    <w:rsid w:val="63C61B2C"/>
    <w:rsid w:val="63D14186"/>
    <w:rsid w:val="63D40BE9"/>
    <w:rsid w:val="63DB5652"/>
    <w:rsid w:val="63ED479F"/>
    <w:rsid w:val="64102431"/>
    <w:rsid w:val="64A5243A"/>
    <w:rsid w:val="64F531DE"/>
    <w:rsid w:val="65373578"/>
    <w:rsid w:val="65907FA5"/>
    <w:rsid w:val="65B8702E"/>
    <w:rsid w:val="66183124"/>
    <w:rsid w:val="66395F4B"/>
    <w:rsid w:val="66546D57"/>
    <w:rsid w:val="66D41C46"/>
    <w:rsid w:val="66ED2A39"/>
    <w:rsid w:val="66F73F14"/>
    <w:rsid w:val="67193518"/>
    <w:rsid w:val="671F124A"/>
    <w:rsid w:val="67403B96"/>
    <w:rsid w:val="674364B0"/>
    <w:rsid w:val="6767098E"/>
    <w:rsid w:val="677A33C6"/>
    <w:rsid w:val="681F6961"/>
    <w:rsid w:val="68610A2F"/>
    <w:rsid w:val="6874004F"/>
    <w:rsid w:val="68805514"/>
    <w:rsid w:val="689160F1"/>
    <w:rsid w:val="68A05F41"/>
    <w:rsid w:val="68B87505"/>
    <w:rsid w:val="69316E2F"/>
    <w:rsid w:val="694E2071"/>
    <w:rsid w:val="696F7E6F"/>
    <w:rsid w:val="69766163"/>
    <w:rsid w:val="697A3B33"/>
    <w:rsid w:val="699E78A0"/>
    <w:rsid w:val="69A11E6B"/>
    <w:rsid w:val="69D44760"/>
    <w:rsid w:val="6A06646B"/>
    <w:rsid w:val="6A4D21F4"/>
    <w:rsid w:val="6A520EC7"/>
    <w:rsid w:val="6A7F011B"/>
    <w:rsid w:val="6ADE3093"/>
    <w:rsid w:val="6AED25D7"/>
    <w:rsid w:val="6AF87E20"/>
    <w:rsid w:val="6B0F45FB"/>
    <w:rsid w:val="6B322639"/>
    <w:rsid w:val="6C4D758C"/>
    <w:rsid w:val="6C636C38"/>
    <w:rsid w:val="6CD739A0"/>
    <w:rsid w:val="6CF21078"/>
    <w:rsid w:val="6D023CD7"/>
    <w:rsid w:val="6D1F7E3E"/>
    <w:rsid w:val="6DB34098"/>
    <w:rsid w:val="6DB545B6"/>
    <w:rsid w:val="6DBC283E"/>
    <w:rsid w:val="6DE02FB4"/>
    <w:rsid w:val="6E514CED"/>
    <w:rsid w:val="6E85002C"/>
    <w:rsid w:val="6EA67AAB"/>
    <w:rsid w:val="6EAF6015"/>
    <w:rsid w:val="6EB563D5"/>
    <w:rsid w:val="6ED92677"/>
    <w:rsid w:val="6F225983"/>
    <w:rsid w:val="6F490F2C"/>
    <w:rsid w:val="6F7C01AC"/>
    <w:rsid w:val="6F9873B4"/>
    <w:rsid w:val="6FD162B1"/>
    <w:rsid w:val="6FFC5590"/>
    <w:rsid w:val="703612B8"/>
    <w:rsid w:val="706D1DD0"/>
    <w:rsid w:val="70856B87"/>
    <w:rsid w:val="70CF7294"/>
    <w:rsid w:val="70D2378C"/>
    <w:rsid w:val="70D527EE"/>
    <w:rsid w:val="70D67B85"/>
    <w:rsid w:val="70F80352"/>
    <w:rsid w:val="715B5300"/>
    <w:rsid w:val="71AD37BF"/>
    <w:rsid w:val="71D27F8A"/>
    <w:rsid w:val="72553024"/>
    <w:rsid w:val="728E35F1"/>
    <w:rsid w:val="72936E59"/>
    <w:rsid w:val="73122968"/>
    <w:rsid w:val="731F5D5E"/>
    <w:rsid w:val="7322287F"/>
    <w:rsid w:val="73C51AD5"/>
    <w:rsid w:val="74012E0F"/>
    <w:rsid w:val="741E793C"/>
    <w:rsid w:val="745E3944"/>
    <w:rsid w:val="748925BD"/>
    <w:rsid w:val="748B4291"/>
    <w:rsid w:val="74D21AE3"/>
    <w:rsid w:val="74FB65AD"/>
    <w:rsid w:val="752C5FED"/>
    <w:rsid w:val="755D5056"/>
    <w:rsid w:val="75607FFA"/>
    <w:rsid w:val="75803824"/>
    <w:rsid w:val="75AF0671"/>
    <w:rsid w:val="75E869B5"/>
    <w:rsid w:val="7635099D"/>
    <w:rsid w:val="765119F1"/>
    <w:rsid w:val="770F65D8"/>
    <w:rsid w:val="77446974"/>
    <w:rsid w:val="776C3F1C"/>
    <w:rsid w:val="77762421"/>
    <w:rsid w:val="77B56B1F"/>
    <w:rsid w:val="780F09F4"/>
    <w:rsid w:val="784F737E"/>
    <w:rsid w:val="78655210"/>
    <w:rsid w:val="7866691B"/>
    <w:rsid w:val="78A90480"/>
    <w:rsid w:val="78D70574"/>
    <w:rsid w:val="791B15CC"/>
    <w:rsid w:val="79463F58"/>
    <w:rsid w:val="79A436FA"/>
    <w:rsid w:val="79AD6117"/>
    <w:rsid w:val="79BF4BB7"/>
    <w:rsid w:val="7A230AC3"/>
    <w:rsid w:val="7A364017"/>
    <w:rsid w:val="7A8265E1"/>
    <w:rsid w:val="7B2965AD"/>
    <w:rsid w:val="7B5B0730"/>
    <w:rsid w:val="7B672C31"/>
    <w:rsid w:val="7B686D42"/>
    <w:rsid w:val="7B841746"/>
    <w:rsid w:val="7C2E693B"/>
    <w:rsid w:val="7C6C5AC7"/>
    <w:rsid w:val="7CB86D7F"/>
    <w:rsid w:val="7CC6544B"/>
    <w:rsid w:val="7D0239FF"/>
    <w:rsid w:val="7D5E40CD"/>
    <w:rsid w:val="7D8B70AB"/>
    <w:rsid w:val="7DCD56F2"/>
    <w:rsid w:val="7E461224"/>
    <w:rsid w:val="7E765CE2"/>
    <w:rsid w:val="7E9D431E"/>
    <w:rsid w:val="7EB73ECF"/>
    <w:rsid w:val="7F001CE7"/>
    <w:rsid w:val="7F1772B0"/>
    <w:rsid w:val="7F8D093A"/>
    <w:rsid w:val="7FAF4BA7"/>
    <w:rsid w:val="7FC32B59"/>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line="360" w:lineRule="auto"/>
      <w:outlineLvl w:val="1"/>
    </w:pPr>
    <w:rPr>
      <w:b/>
    </w:rPr>
  </w:style>
  <w:style w:type="paragraph" w:styleId="5">
    <w:name w:val="heading 3"/>
    <w:basedOn w:val="1"/>
    <w:next w:val="1"/>
    <w:link w:val="36"/>
    <w:qFormat/>
    <w:locked/>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Plain Text"/>
    <w:basedOn w:val="1"/>
    <w:link w:val="39"/>
    <w:qFormat/>
    <w:locked/>
    <w:uiPriority w:val="0"/>
    <w:rPr>
      <w:rFonts w:ascii="宋体" w:hAnsi="Courier New"/>
      <w:sz w:val="30"/>
    </w:rPr>
  </w:style>
  <w:style w:type="paragraph" w:styleId="6">
    <w:name w:val="Normal Indent"/>
    <w:basedOn w:val="1"/>
    <w:next w:val="7"/>
    <w:link w:val="34"/>
    <w:qFormat/>
    <w:locked/>
    <w:uiPriority w:val="0"/>
    <w:pPr>
      <w:ind w:firstLine="420" w:firstLineChars="200"/>
    </w:pPr>
  </w:style>
  <w:style w:type="paragraph" w:styleId="7">
    <w:name w:val="Body Text"/>
    <w:basedOn w:val="1"/>
    <w:link w:val="35"/>
    <w:qFormat/>
    <w:uiPriority w:val="0"/>
    <w:pPr>
      <w:widowControl/>
      <w:snapToGrid w:val="0"/>
      <w:spacing w:before="60" w:after="160" w:line="259" w:lineRule="auto"/>
      <w:ind w:right="113"/>
    </w:pPr>
    <w:rPr>
      <w:kern w:val="0"/>
      <w:sz w:val="18"/>
      <w:szCs w:val="20"/>
    </w:rPr>
  </w:style>
  <w:style w:type="paragraph" w:styleId="8">
    <w:name w:val="annotation text"/>
    <w:basedOn w:val="1"/>
    <w:link w:val="37"/>
    <w:semiHidden/>
    <w:qFormat/>
    <w:uiPriority w:val="0"/>
    <w:pPr>
      <w:jc w:val="left"/>
    </w:pPr>
    <w:rPr>
      <w:kern w:val="0"/>
      <w:sz w:val="24"/>
      <w:szCs w:val="20"/>
    </w:rPr>
  </w:style>
  <w:style w:type="paragraph" w:styleId="9">
    <w:name w:val="Body Text Indent"/>
    <w:basedOn w:val="1"/>
    <w:next w:val="10"/>
    <w:link w:val="38"/>
    <w:qFormat/>
    <w:uiPriority w:val="0"/>
    <w:pPr>
      <w:spacing w:after="120"/>
      <w:ind w:left="420" w:leftChars="200"/>
    </w:pPr>
    <w:rPr>
      <w:kern w:val="0"/>
      <w:sz w:val="24"/>
      <w:szCs w:val="20"/>
    </w:rPr>
  </w:style>
  <w:style w:type="paragraph" w:styleId="10">
    <w:name w:val="Body Text First Indent 2"/>
    <w:basedOn w:val="9"/>
    <w:next w:val="1"/>
    <w:link w:val="48"/>
    <w:qFormat/>
    <w:locked/>
    <w:uiPriority w:val="0"/>
    <w:pPr>
      <w:ind w:firstLine="420" w:firstLineChars="200"/>
    </w:pPr>
    <w:rPr>
      <w:kern w:val="2"/>
      <w:sz w:val="21"/>
      <w:szCs w:val="24"/>
    </w:rPr>
  </w:style>
  <w:style w:type="paragraph" w:styleId="11">
    <w:name w:val="List Bullet 5"/>
    <w:basedOn w:val="1"/>
    <w:qFormat/>
    <w:locked/>
    <w:uiPriority w:val="0"/>
    <w:pPr>
      <w:numPr>
        <w:ilvl w:val="0"/>
        <w:numId w:val="1"/>
      </w:numPr>
    </w:pPr>
  </w:style>
  <w:style w:type="paragraph" w:styleId="12">
    <w:name w:val="Date"/>
    <w:basedOn w:val="1"/>
    <w:next w:val="1"/>
    <w:link w:val="40"/>
    <w:qFormat/>
    <w:uiPriority w:val="0"/>
    <w:pPr>
      <w:ind w:left="100" w:leftChars="2500"/>
    </w:pPr>
    <w:rPr>
      <w:kern w:val="0"/>
      <w:sz w:val="24"/>
      <w:szCs w:val="20"/>
    </w:rPr>
  </w:style>
  <w:style w:type="paragraph" w:styleId="13">
    <w:name w:val="Body Text Indent 2"/>
    <w:basedOn w:val="1"/>
    <w:link w:val="41"/>
    <w:qFormat/>
    <w:locked/>
    <w:uiPriority w:val="0"/>
    <w:pPr>
      <w:spacing w:after="120" w:line="480" w:lineRule="auto"/>
      <w:ind w:left="420" w:leftChars="200"/>
    </w:pPr>
  </w:style>
  <w:style w:type="paragraph" w:styleId="14">
    <w:name w:val="Balloon Text"/>
    <w:basedOn w:val="1"/>
    <w:link w:val="42"/>
    <w:semiHidden/>
    <w:qFormat/>
    <w:uiPriority w:val="0"/>
    <w:rPr>
      <w:kern w:val="0"/>
      <w:sz w:val="18"/>
      <w:szCs w:val="20"/>
    </w:rPr>
  </w:style>
  <w:style w:type="paragraph" w:styleId="15">
    <w:name w:val="footer"/>
    <w:basedOn w:val="1"/>
    <w:link w:val="43"/>
    <w:qFormat/>
    <w:uiPriority w:val="99"/>
    <w:pPr>
      <w:tabs>
        <w:tab w:val="center" w:pos="4153"/>
        <w:tab w:val="right" w:pos="8306"/>
      </w:tabs>
      <w:snapToGrid w:val="0"/>
      <w:jc w:val="left"/>
    </w:pPr>
    <w:rPr>
      <w:kern w:val="0"/>
      <w:sz w:val="18"/>
      <w:szCs w:val="20"/>
    </w:rPr>
  </w:style>
  <w:style w:type="paragraph" w:styleId="16">
    <w:name w:val="header"/>
    <w:basedOn w:val="1"/>
    <w:next w:val="17"/>
    <w:link w:val="4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7">
    <w:name w:val="样式5"/>
    <w:basedOn w:val="18"/>
    <w:next w:val="1"/>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8">
    <w:name w:val="正文1"/>
    <w:basedOn w:val="1"/>
    <w:next w:val="1"/>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仿宋_GB2312" w:hAnsi="Times New Roman" w:eastAsia="仿宋_GB2312" w:cs="宋体"/>
      <w:kern w:val="2"/>
      <w:sz w:val="21"/>
      <w:szCs w:val="20"/>
      <w:lang w:val="en-US" w:eastAsia="zh-CN" w:bidi="ar"/>
    </w:rPr>
  </w:style>
  <w:style w:type="paragraph" w:styleId="19">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0">
    <w:name w:val="Title"/>
    <w:basedOn w:val="1"/>
    <w:next w:val="1"/>
    <w:qFormat/>
    <w:locked/>
    <w:uiPriority w:val="0"/>
    <w:pPr>
      <w:spacing w:line="500" w:lineRule="exact"/>
      <w:jc w:val="center"/>
    </w:pPr>
    <w:rPr>
      <w:rFonts w:ascii="黑体" w:hAnsi="黑体" w:eastAsia="黑体"/>
      <w:bCs/>
      <w:sz w:val="24"/>
    </w:rPr>
  </w:style>
  <w:style w:type="paragraph" w:styleId="21">
    <w:name w:val="annotation subject"/>
    <w:basedOn w:val="8"/>
    <w:next w:val="8"/>
    <w:link w:val="46"/>
    <w:semiHidden/>
    <w:qFormat/>
    <w:uiPriority w:val="0"/>
    <w:rPr>
      <w:b/>
      <w:sz w:val="24"/>
      <w:szCs w:val="20"/>
    </w:rPr>
  </w:style>
  <w:style w:type="paragraph" w:styleId="22">
    <w:name w:val="Body Text First Indent"/>
    <w:basedOn w:val="7"/>
    <w:next w:val="1"/>
    <w:link w:val="47"/>
    <w:unhideWhenUsed/>
    <w:qFormat/>
    <w:locked/>
    <w:uiPriority w:val="99"/>
    <w:pPr>
      <w:widowControl w:val="0"/>
      <w:snapToGrid/>
      <w:spacing w:before="0" w:after="120" w:line="240" w:lineRule="auto"/>
      <w:ind w:right="0" w:firstLine="420" w:firstLineChars="100"/>
    </w:pPr>
    <w:rPr>
      <w:rFonts w:ascii="Calibri" w:hAnsi="Calibri" w:eastAsia="宋体" w:cs="Times New Roman"/>
      <w:kern w:val="2"/>
      <w:sz w:val="21"/>
      <w:szCs w:val="22"/>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b/>
    </w:rPr>
  </w:style>
  <w:style w:type="character" w:styleId="27">
    <w:name w:val="page number"/>
    <w:basedOn w:val="25"/>
    <w:qFormat/>
    <w:locked/>
    <w:uiPriority w:val="0"/>
  </w:style>
  <w:style w:type="character" w:styleId="28">
    <w:name w:val="Emphasis"/>
    <w:qFormat/>
    <w:locked/>
    <w:uiPriority w:val="20"/>
    <w:rPr>
      <w:i/>
      <w:iCs/>
    </w:rPr>
  </w:style>
  <w:style w:type="character" w:styleId="29">
    <w:name w:val="Hyperlink"/>
    <w:qFormat/>
    <w:locked/>
    <w:uiPriority w:val="0"/>
    <w:rPr>
      <w:color w:val="000000"/>
      <w:u w:val="none"/>
    </w:rPr>
  </w:style>
  <w:style w:type="character" w:styleId="30">
    <w:name w:val="annotation reference"/>
    <w:qFormat/>
    <w:uiPriority w:val="0"/>
    <w:rPr>
      <w:sz w:val="21"/>
    </w:rPr>
  </w:style>
  <w:style w:type="paragraph" w:customStyle="1" w:styleId="31">
    <w:name w:val="样式 正文文本缩进 + 行距: 1.5 倍行距"/>
    <w:basedOn w:val="32"/>
    <w:next w:val="16"/>
    <w:qFormat/>
    <w:uiPriority w:val="99"/>
    <w:pPr>
      <w:spacing w:after="120" w:line="360" w:lineRule="auto"/>
      <w:ind w:left="90" w:leftChars="32" w:firstLine="560" w:firstLineChars="200"/>
    </w:pPr>
    <w:rPr>
      <w:rFonts w:cs="宋体"/>
    </w:rPr>
  </w:style>
  <w:style w:type="paragraph" w:customStyle="1" w:styleId="32">
    <w:name w:val="正文文本缩进1"/>
    <w:basedOn w:val="1"/>
    <w:next w:val="31"/>
    <w:qFormat/>
    <w:uiPriority w:val="0"/>
    <w:pPr>
      <w:spacing w:after="120"/>
      <w:ind w:left="420"/>
    </w:pPr>
    <w:rPr>
      <w:szCs w:val="21"/>
    </w:rPr>
  </w:style>
  <w:style w:type="paragraph" w:customStyle="1" w:styleId="33">
    <w:name w:val="Body Text Indent"/>
    <w:basedOn w:val="1"/>
    <w:next w:val="31"/>
    <w:qFormat/>
    <w:uiPriority w:val="0"/>
    <w:pPr>
      <w:spacing w:after="120" w:afterLines="0"/>
      <w:ind w:left="420" w:leftChars="200"/>
    </w:pPr>
    <w:rPr>
      <w:rFonts w:ascii="Times New Roman" w:hAnsi="Times New Roman" w:eastAsia="宋体"/>
      <w:sz w:val="24"/>
    </w:rPr>
  </w:style>
  <w:style w:type="character" w:customStyle="1" w:styleId="34">
    <w:name w:val="正文缩进 Char"/>
    <w:link w:val="6"/>
    <w:qFormat/>
    <w:uiPriority w:val="0"/>
    <w:rPr>
      <w:kern w:val="2"/>
      <w:sz w:val="21"/>
      <w:szCs w:val="24"/>
    </w:rPr>
  </w:style>
  <w:style w:type="character" w:customStyle="1" w:styleId="35">
    <w:name w:val="正文文本 Char"/>
    <w:link w:val="7"/>
    <w:qFormat/>
    <w:locked/>
    <w:uiPriority w:val="0"/>
    <w:rPr>
      <w:sz w:val="18"/>
    </w:rPr>
  </w:style>
  <w:style w:type="character" w:customStyle="1" w:styleId="36">
    <w:name w:val="标题 3 Char"/>
    <w:link w:val="5"/>
    <w:semiHidden/>
    <w:qFormat/>
    <w:uiPriority w:val="0"/>
    <w:rPr>
      <w:b/>
      <w:bCs/>
      <w:kern w:val="2"/>
      <w:sz w:val="32"/>
      <w:szCs w:val="32"/>
    </w:rPr>
  </w:style>
  <w:style w:type="character" w:customStyle="1" w:styleId="37">
    <w:name w:val="批注文字 Char"/>
    <w:link w:val="8"/>
    <w:qFormat/>
    <w:locked/>
    <w:uiPriority w:val="0"/>
    <w:rPr>
      <w:rFonts w:ascii="Times New Roman" w:hAnsi="Times New Roman" w:eastAsia="宋体"/>
      <w:sz w:val="24"/>
    </w:rPr>
  </w:style>
  <w:style w:type="character" w:customStyle="1" w:styleId="38">
    <w:name w:val="正文文本缩进 Char"/>
    <w:link w:val="9"/>
    <w:semiHidden/>
    <w:qFormat/>
    <w:locked/>
    <w:uiPriority w:val="0"/>
    <w:rPr>
      <w:rFonts w:ascii="Times New Roman" w:hAnsi="Times New Roman" w:eastAsia="宋体"/>
      <w:sz w:val="24"/>
    </w:rPr>
  </w:style>
  <w:style w:type="character" w:customStyle="1" w:styleId="39">
    <w:name w:val="纯文本 Char1"/>
    <w:link w:val="2"/>
    <w:qFormat/>
    <w:uiPriority w:val="0"/>
    <w:rPr>
      <w:rFonts w:ascii="宋体" w:hAnsi="Courier New"/>
      <w:kern w:val="2"/>
      <w:sz w:val="30"/>
      <w:szCs w:val="24"/>
    </w:rPr>
  </w:style>
  <w:style w:type="character" w:customStyle="1" w:styleId="40">
    <w:name w:val="日期 Char"/>
    <w:link w:val="12"/>
    <w:qFormat/>
    <w:locked/>
    <w:uiPriority w:val="0"/>
    <w:rPr>
      <w:rFonts w:ascii="Times New Roman" w:hAnsi="Times New Roman" w:eastAsia="宋体"/>
      <w:sz w:val="24"/>
    </w:rPr>
  </w:style>
  <w:style w:type="character" w:customStyle="1" w:styleId="41">
    <w:name w:val="正文文本缩进 2 Char"/>
    <w:link w:val="13"/>
    <w:qFormat/>
    <w:uiPriority w:val="0"/>
    <w:rPr>
      <w:kern w:val="2"/>
      <w:sz w:val="21"/>
      <w:szCs w:val="24"/>
    </w:rPr>
  </w:style>
  <w:style w:type="character" w:customStyle="1" w:styleId="42">
    <w:name w:val="批注框文本 Char"/>
    <w:link w:val="14"/>
    <w:semiHidden/>
    <w:qFormat/>
    <w:locked/>
    <w:uiPriority w:val="0"/>
    <w:rPr>
      <w:rFonts w:ascii="Times New Roman" w:hAnsi="Times New Roman" w:eastAsia="宋体"/>
      <w:sz w:val="18"/>
    </w:rPr>
  </w:style>
  <w:style w:type="character" w:customStyle="1" w:styleId="43">
    <w:name w:val="页脚 Char"/>
    <w:link w:val="15"/>
    <w:qFormat/>
    <w:locked/>
    <w:uiPriority w:val="99"/>
    <w:rPr>
      <w:sz w:val="18"/>
    </w:rPr>
  </w:style>
  <w:style w:type="character" w:customStyle="1" w:styleId="44">
    <w:name w:val="页眉 Char"/>
    <w:link w:val="16"/>
    <w:qFormat/>
    <w:locked/>
    <w:uiPriority w:val="0"/>
    <w:rPr>
      <w:sz w:val="18"/>
    </w:rPr>
  </w:style>
  <w:style w:type="character" w:customStyle="1" w:styleId="45">
    <w:name w:val="普通(网站) Char"/>
    <w:link w:val="19"/>
    <w:qFormat/>
    <w:locked/>
    <w:uiPriority w:val="0"/>
    <w:rPr>
      <w:rFonts w:ascii="宋体" w:hAnsi="宋体" w:eastAsia="宋体"/>
      <w:sz w:val="24"/>
    </w:rPr>
  </w:style>
  <w:style w:type="character" w:customStyle="1" w:styleId="46">
    <w:name w:val="批注主题 Char"/>
    <w:link w:val="21"/>
    <w:semiHidden/>
    <w:qFormat/>
    <w:locked/>
    <w:uiPriority w:val="0"/>
    <w:rPr>
      <w:rFonts w:ascii="Times New Roman" w:hAnsi="Times New Roman" w:eastAsia="宋体"/>
      <w:b/>
      <w:kern w:val="2"/>
      <w:sz w:val="24"/>
    </w:rPr>
  </w:style>
  <w:style w:type="character" w:customStyle="1" w:styleId="47">
    <w:name w:val="正文首行缩进 Char"/>
    <w:link w:val="22"/>
    <w:qFormat/>
    <w:uiPriority w:val="99"/>
    <w:rPr>
      <w:rFonts w:ascii="Calibri" w:hAnsi="Calibri"/>
      <w:kern w:val="2"/>
      <w:sz w:val="21"/>
      <w:szCs w:val="22"/>
    </w:rPr>
  </w:style>
  <w:style w:type="character" w:customStyle="1" w:styleId="48">
    <w:name w:val="正文首行缩进 2 Char"/>
    <w:link w:val="10"/>
    <w:qFormat/>
    <w:uiPriority w:val="0"/>
    <w:rPr>
      <w:rFonts w:ascii="Times New Roman" w:hAnsi="Times New Roman" w:eastAsia="宋体"/>
      <w:kern w:val="2"/>
      <w:sz w:val="21"/>
      <w:szCs w:val="24"/>
    </w:rPr>
  </w:style>
  <w:style w:type="character" w:customStyle="1" w:styleId="49">
    <w:name w:val="NormalCharacter"/>
    <w:qFormat/>
    <w:uiPriority w:val="0"/>
    <w:rPr>
      <w:kern w:val="2"/>
      <w:sz w:val="21"/>
      <w:szCs w:val="24"/>
      <w:lang w:val="en-US" w:eastAsia="zh-CN" w:bidi="ar-SA"/>
    </w:rPr>
  </w:style>
  <w:style w:type="paragraph" w:customStyle="1" w:styleId="5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1">
    <w:name w:val="表格文字 Char"/>
    <w:link w:val="52"/>
    <w:qFormat/>
    <w:uiPriority w:val="0"/>
    <w:rPr>
      <w:position w:val="-10"/>
      <w:sz w:val="18"/>
    </w:rPr>
  </w:style>
  <w:style w:type="paragraph" w:customStyle="1" w:styleId="52">
    <w:name w:val="表格文字"/>
    <w:basedOn w:val="6"/>
    <w:link w:val="51"/>
    <w:qFormat/>
    <w:uiPriority w:val="0"/>
    <w:pPr>
      <w:tabs>
        <w:tab w:val="left" w:pos="-2848"/>
      </w:tabs>
      <w:spacing w:before="40" w:after="40" w:line="240" w:lineRule="atLeast"/>
      <w:jc w:val="center"/>
    </w:pPr>
    <w:rPr>
      <w:position w:val="-10"/>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 Char Char Char Char1"/>
    <w:link w:val="56"/>
    <w:qFormat/>
    <w:uiPriority w:val="0"/>
    <w:rPr>
      <w:kern w:val="2"/>
      <w:sz w:val="24"/>
      <w:szCs w:val="24"/>
    </w:rPr>
  </w:style>
  <w:style w:type="paragraph" w:customStyle="1" w:styleId="56">
    <w:name w:val=" Char Char Char"/>
    <w:basedOn w:val="1"/>
    <w:link w:val="55"/>
    <w:qFormat/>
    <w:uiPriority w:val="0"/>
    <w:rPr>
      <w:sz w:val="24"/>
    </w:rPr>
  </w:style>
  <w:style w:type="character" w:customStyle="1" w:styleId="57">
    <w:name w:val="font41"/>
    <w:qFormat/>
    <w:uiPriority w:val="0"/>
    <w:rPr>
      <w:rFonts w:hint="eastAsia" w:ascii="Microsoft JhengHei" w:hAnsi="Microsoft JhengHei" w:eastAsia="Microsoft JhengHei" w:cs="Microsoft JhengHei"/>
      <w:b/>
      <w:color w:val="000000"/>
      <w:sz w:val="22"/>
      <w:szCs w:val="22"/>
      <w:u w:val="none"/>
    </w:rPr>
  </w:style>
  <w:style w:type="character" w:customStyle="1" w:styleId="58">
    <w:name w:val="页脚 字符"/>
    <w:basedOn w:val="25"/>
    <w:qFormat/>
    <w:uiPriority w:val="99"/>
  </w:style>
  <w:style w:type="character" w:customStyle="1" w:styleId="59">
    <w:name w:val="日期 字符"/>
    <w:semiHidden/>
    <w:qFormat/>
    <w:uiPriority w:val="0"/>
    <w:rPr>
      <w:rFonts w:ascii="Times New Roman" w:hAnsi="Times New Roman" w:eastAsia="宋体"/>
      <w:sz w:val="24"/>
    </w:rPr>
  </w:style>
  <w:style w:type="character" w:customStyle="1" w:styleId="60">
    <w:name w:val="表格 Char"/>
    <w:link w:val="61"/>
    <w:qFormat/>
    <w:locked/>
    <w:uiPriority w:val="0"/>
    <w:rPr>
      <w:rFonts w:ascii="宋体"/>
      <w:sz w:val="21"/>
    </w:rPr>
  </w:style>
  <w:style w:type="paragraph" w:customStyle="1" w:styleId="61">
    <w:name w:val="表格"/>
    <w:basedOn w:val="1"/>
    <w:next w:val="1"/>
    <w:link w:val="60"/>
    <w:qFormat/>
    <w:uiPriority w:val="0"/>
    <w:pPr>
      <w:adjustRightInd w:val="0"/>
      <w:snapToGrid w:val="0"/>
      <w:spacing w:beforeLines="10" w:afterLines="10" w:line="259" w:lineRule="auto"/>
      <w:jc w:val="center"/>
    </w:pPr>
    <w:rPr>
      <w:rFonts w:ascii="宋体"/>
      <w:kern w:val="0"/>
      <w:szCs w:val="20"/>
    </w:rPr>
  </w:style>
  <w:style w:type="character" w:customStyle="1" w:styleId="62">
    <w:name w:val="font81"/>
    <w:qFormat/>
    <w:uiPriority w:val="0"/>
    <w:rPr>
      <w:rFonts w:hint="eastAsia" w:ascii="Microsoft JhengHei" w:hAnsi="Microsoft JhengHei" w:eastAsia="Microsoft JhengHei" w:cs="Microsoft JhengHei"/>
      <w:b/>
      <w:color w:val="000000"/>
      <w:sz w:val="22"/>
      <w:szCs w:val="22"/>
      <w:u w:val="none"/>
    </w:rPr>
  </w:style>
  <w:style w:type="character" w:customStyle="1" w:styleId="63">
    <w:name w:val="纯文本 Char"/>
    <w:qFormat/>
    <w:uiPriority w:val="0"/>
    <w:rPr>
      <w:rFonts w:ascii="宋体" w:hAnsi="Courier New" w:cs="Courier New"/>
      <w:kern w:val="2"/>
      <w:sz w:val="21"/>
      <w:szCs w:val="21"/>
    </w:rPr>
  </w:style>
  <w:style w:type="character" w:customStyle="1" w:styleId="64">
    <w:name w:val="纯文本 Char3"/>
    <w:qFormat/>
    <w:uiPriority w:val="0"/>
    <w:rPr>
      <w:rFonts w:ascii="宋体" w:hAnsi="Courier New" w:cs="Courier New"/>
      <w:kern w:val="2"/>
      <w:sz w:val="21"/>
      <w:szCs w:val="21"/>
    </w:rPr>
  </w:style>
  <w:style w:type="character" w:customStyle="1" w:styleId="65">
    <w:name w:val="正文 首行缩进:  2 字符 Char"/>
    <w:link w:val="66"/>
    <w:qFormat/>
    <w:uiPriority w:val="0"/>
    <w:rPr>
      <w:kern w:val="2"/>
      <w:sz w:val="24"/>
    </w:rPr>
  </w:style>
  <w:style w:type="paragraph" w:customStyle="1" w:styleId="66">
    <w:name w:val="正文 首行缩进:  2 字符"/>
    <w:basedOn w:val="1"/>
    <w:link w:val="65"/>
    <w:qFormat/>
    <w:uiPriority w:val="0"/>
    <w:pPr>
      <w:adjustRightInd w:val="0"/>
      <w:snapToGrid w:val="0"/>
      <w:spacing w:line="500" w:lineRule="exact"/>
      <w:ind w:firstLine="200" w:firstLineChars="200"/>
      <w:jc w:val="left"/>
    </w:pPr>
    <w:rPr>
      <w:sz w:val="24"/>
      <w:szCs w:val="20"/>
    </w:rPr>
  </w:style>
  <w:style w:type="paragraph" w:customStyle="1" w:styleId="6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报告表格"/>
    <w:basedOn w:val="1"/>
    <w:qFormat/>
    <w:uiPriority w:val="0"/>
    <w:pPr>
      <w:autoSpaceDE w:val="0"/>
      <w:autoSpaceDN w:val="0"/>
      <w:adjustRightInd w:val="0"/>
      <w:jc w:val="center"/>
      <w:textAlignment w:val="bottom"/>
    </w:pPr>
    <w:rPr>
      <w:kern w:val="0"/>
    </w:rPr>
  </w:style>
  <w:style w:type="paragraph" w:customStyle="1" w:styleId="69">
    <w:name w:val="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表格a"/>
    <w:basedOn w:val="1"/>
    <w:qFormat/>
    <w:uiPriority w:val="0"/>
    <w:pPr>
      <w:adjustRightInd w:val="0"/>
      <w:spacing w:before="60" w:after="60" w:line="360" w:lineRule="auto"/>
      <w:jc w:val="center"/>
      <w:textAlignment w:val="baseline"/>
    </w:pPr>
    <w:rPr>
      <w:color w:val="000000"/>
      <w:kern w:val="0"/>
      <w:szCs w:val="22"/>
    </w:rPr>
  </w:style>
  <w:style w:type="paragraph" w:customStyle="1" w:styleId="71">
    <w:name w:val="Char Char Char"/>
    <w:basedOn w:val="1"/>
    <w:qFormat/>
    <w:uiPriority w:val="0"/>
    <w:rPr>
      <w:sz w:val="24"/>
    </w:rPr>
  </w:style>
  <w:style w:type="paragraph" w:customStyle="1" w:styleId="72">
    <w:name w:val="表格内文字格式"/>
    <w:basedOn w:val="1"/>
    <w:next w:val="1"/>
    <w:qFormat/>
    <w:uiPriority w:val="0"/>
    <w:pPr>
      <w:spacing w:line="360" w:lineRule="auto"/>
      <w:ind w:right="-49" w:rightChars="-26" w:firstLine="436" w:firstLineChars="200"/>
      <w:jc w:val="left"/>
    </w:pPr>
    <w:rPr>
      <w:rFonts w:ascii="Arial" w:hAnsi="Arial" w:cs="Arial"/>
      <w:bCs/>
      <w:kern w:val="10"/>
      <w:sz w:val="24"/>
      <w:szCs w:val="21"/>
    </w:rPr>
  </w:style>
  <w:style w:type="paragraph" w:customStyle="1" w:styleId="7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4">
    <w:name w:val="店子正文"/>
    <w:basedOn w:val="1"/>
    <w:qFormat/>
    <w:uiPriority w:val="0"/>
    <w:pPr>
      <w:spacing w:line="360" w:lineRule="auto"/>
      <w:ind w:firstLine="200" w:firstLineChars="200"/>
    </w:pPr>
    <w:rPr>
      <w:sz w:val="24"/>
    </w:rPr>
  </w:style>
  <w:style w:type="paragraph" w:customStyle="1" w:styleId="75">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76">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正文-我的正文"/>
    <w:basedOn w:val="1"/>
    <w:qFormat/>
    <w:uiPriority w:val="0"/>
    <w:pPr>
      <w:spacing w:line="360" w:lineRule="auto"/>
      <w:ind w:firstLine="200" w:firstLineChars="200"/>
    </w:pPr>
    <w:rPr>
      <w:sz w:val="24"/>
      <w:szCs w:val="22"/>
    </w:rPr>
  </w:style>
  <w:style w:type="paragraph" w:customStyle="1" w:styleId="78">
    <w:name w:val="表格字体"/>
    <w:basedOn w:val="1"/>
    <w:qFormat/>
    <w:uiPriority w:val="0"/>
    <w:pPr>
      <w:adjustRightInd w:val="0"/>
      <w:spacing w:line="300" w:lineRule="exact"/>
      <w:jc w:val="center"/>
    </w:pPr>
    <w:rPr>
      <w:color w:val="000000"/>
      <w:sz w:val="18"/>
    </w:rPr>
  </w:style>
  <w:style w:type="paragraph" w:customStyle="1" w:styleId="79">
    <w:name w:val="表内容"/>
    <w:basedOn w:val="1"/>
    <w:next w:val="1"/>
    <w:qFormat/>
    <w:uiPriority w:val="0"/>
    <w:pPr>
      <w:spacing w:line="320" w:lineRule="exact"/>
      <w:jc w:val="center"/>
    </w:pPr>
    <w:rPr>
      <w:szCs w:val="20"/>
    </w:rPr>
  </w:style>
  <w:style w:type="paragraph" w:customStyle="1" w:styleId="80">
    <w:name w:val="li_正文"/>
    <w:basedOn w:val="1"/>
    <w:qFormat/>
    <w:uiPriority w:val="0"/>
    <w:pPr>
      <w:ind w:firstLine="200" w:firstLineChars="200"/>
      <w:jc w:val="left"/>
    </w:pPr>
    <w:rPr>
      <w:sz w:val="28"/>
      <w:szCs w:val="28"/>
    </w:rPr>
  </w:style>
  <w:style w:type="paragraph" w:customStyle="1" w:styleId="81">
    <w:name w:val="Date1"/>
    <w:basedOn w:val="1"/>
    <w:next w:val="1"/>
    <w:qFormat/>
    <w:uiPriority w:val="0"/>
    <w:rPr>
      <w:sz w:val="21"/>
      <w:szCs w:val="20"/>
    </w:rPr>
  </w:style>
  <w:style w:type="paragraph" w:customStyle="1" w:styleId="82">
    <w:name w:val="_Style 88"/>
    <w:basedOn w:val="9"/>
    <w:next w:val="1"/>
    <w:qFormat/>
    <w:uiPriority w:val="0"/>
    <w:pPr>
      <w:ind w:firstLine="420" w:firstLineChars="200"/>
    </w:pPr>
    <w:rPr>
      <w:kern w:val="2"/>
      <w:sz w:val="21"/>
      <w:szCs w:val="24"/>
    </w:rPr>
  </w:style>
  <w:style w:type="paragraph" w:customStyle="1" w:styleId="83">
    <w:name w:val="聪表标题"/>
    <w:basedOn w:val="1"/>
    <w:qFormat/>
    <w:uiPriority w:val="0"/>
    <w:pPr>
      <w:widowControl/>
      <w:spacing w:line="360" w:lineRule="auto"/>
      <w:jc w:val="center"/>
    </w:pPr>
    <w:rPr>
      <w:rFonts w:ascii="黑体" w:hAnsi="黑体" w:eastAsia="黑体"/>
      <w:sz w:val="24"/>
    </w:rPr>
  </w:style>
  <w:style w:type="paragraph" w:customStyle="1" w:styleId="84">
    <w:name w:val="表格内容111"/>
    <w:basedOn w:val="1"/>
    <w:qFormat/>
    <w:uiPriority w:val="0"/>
    <w:pPr>
      <w:spacing w:line="312" w:lineRule="atLeast"/>
      <w:ind w:firstLine="0" w:firstLineChars="0"/>
      <w:jc w:val="center"/>
      <w:textAlignment w:val="center"/>
    </w:pPr>
    <w:rPr>
      <w:sz w:val="21"/>
      <w:szCs w:val="18"/>
    </w:rPr>
  </w:style>
  <w:style w:type="paragraph" w:customStyle="1" w:styleId="85">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86">
    <w:name w:val="报告书表格"/>
    <w:basedOn w:val="1"/>
    <w:qFormat/>
    <w:uiPriority w:val="0"/>
    <w:pPr>
      <w:adjustRightInd w:val="0"/>
      <w:spacing w:before="60" w:beforeLines="0" w:after="60" w:afterLines="0" w:line="240" w:lineRule="atLeast"/>
      <w:jc w:val="center"/>
      <w:textAlignment w:val="baseline"/>
    </w:pPr>
    <w:rPr>
      <w:kern w:val="0"/>
      <w:szCs w:val="20"/>
    </w:rPr>
  </w:style>
  <w:style w:type="paragraph" w:customStyle="1" w:styleId="87">
    <w:name w:val="报告书正文"/>
    <w:basedOn w:val="1"/>
    <w:qFormat/>
    <w:uiPriority w:val="0"/>
    <w:pPr>
      <w:adjustRightInd w:val="0"/>
      <w:snapToGrid w:val="0"/>
      <w:spacing w:line="360" w:lineRule="auto"/>
      <w:ind w:firstLine="200" w:firstLineChars="200"/>
    </w:pPr>
    <w:rPr>
      <w:rFonts w:cs="新宋体-18030"/>
      <w:color w:val="000000"/>
      <w:sz w:val="24"/>
    </w:rPr>
  </w:style>
  <w:style w:type="paragraph" w:styleId="88">
    <w:name w:val="List Paragraph"/>
    <w:basedOn w:val="1"/>
    <w:qFormat/>
    <w:uiPriority w:val="1"/>
    <w:pPr>
      <w:snapToGrid w:val="0"/>
      <w:spacing w:line="500" w:lineRule="exact"/>
      <w:ind w:firstLine="42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extobjs>
    <extobj name="ECB019B1-382A-4266-B25C-5B523AA43C14-1">
      <extobjdata type="ECB019B1-382A-4266-B25C-5B523AA43C14" data="ewoJIkZpbGVJZCIgOiAiMjE4Mjc2MjQ0Mzk5IiwKCSJHcm91cElkIiA6ICI1NTc2OTY0NjQiLAoJIkltYWdlIiA6ICJpVkJPUncwS0dnb0FBQUFOU1VoRVVnQUFBd2dBQUFEUENBWUFBQUJSQVBhR0FBQUFDWEJJV1hNQUFBc1RBQUFMRXdFQW1wd1lBQUFnQUVsRVFWUjRuTzNkZVh4VTliMy84ZmVaeWNJRXNwQUVpUVFUV1dXNUpFeWlVb0VhdE9vdFNMV0tpbExBYWxHdlJmbHBaVlBFb2x5d1lrWEtGVWlFSWkxb2dZSVVjYUhnQWdKU0VCSVdneFhDdmdjSUlXU2JTU2J6K3lQTU5KTk1BQ0ZrWnNMcitYandZTTQ1M3puelBmREp5WHpPZDV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"/>
    </extobj>
    <extobj name="ECB019B1-382A-4266-B25C-5B523AA43C14-2">
      <extobjdata type="ECB019B1-382A-4266-B25C-5B523AA43C14" data="ewoJIkZpbGVJZCIgOiAiMjE4NzExMTg3MjUyIiwKCSJHcm91cElkIiA6ICI1NTc2OTY0NjQiLAoJIkltYWdlIiA6ICJpVkJPUncwS0dnb0FBQUFOU1VoRVVnQUFBd3NBQUFGV0NBWUFBQUFtS1FHNkFBQUFDWEJJV1hNQUFBc1RBQUFMRXdFQW1wd1lBQUFnQUVsRVFWUjRuT3pkZVhoVFZmNC84UGROMm9TMjdIdlpsVTJzUUhPRG9vNi9BYXNvUzVGTmtFMi9ESXU0RENJVzJSU1ZRY2R4RkhEVUFVRkhHRVhScW15V3hRVXNZdG0wQ1NDTVZKQ3RwZENXcFJ1bFRaTjdmbitVeEtaNzJ0eXM3OWZ6OE5DYzNOeDg3aWMzSi9mY2M4NjlB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nFpZjRmUzNkbHNVY0IxUXdBQUFBQVNVVk9SSzVDWUlJPSIsCgkiVGhlbWUiIDogIiIsCgkiVHlwZSIgOiAiZmxvdyIsCgkiVmVyc2lvbiIgOiAiOD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50</Pages>
  <Words>32110</Words>
  <Characters>35814</Characters>
  <Lines>317</Lines>
  <Paragraphs>89</Paragraphs>
  <TotalTime>16</TotalTime>
  <ScaleCrop>false</ScaleCrop>
  <LinksUpToDate>false</LinksUpToDate>
  <CharactersWithSpaces>36143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飞飞~~</cp:lastModifiedBy>
  <cp:lastPrinted>2022-09-05T07:57:00Z</cp:lastPrinted>
  <dcterms:modified xsi:type="dcterms:W3CDTF">2023-02-28T09:09:26Z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C7214E49ABF944ADAD23DC028EEF9534</vt:lpwstr>
  </property>
</Properties>
</file>