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50" w:rsidRDefault="008D1550" w:rsidP="00200FAB">
      <w:pPr>
        <w:spacing w:line="560" w:lineRule="exact"/>
        <w:jc w:val="center"/>
        <w:rPr>
          <w:rFonts w:ascii="宋体" w:hAnsi="宋体"/>
          <w:sz w:val="28"/>
          <w:szCs w:val="28"/>
        </w:rPr>
      </w:pPr>
    </w:p>
    <w:p w:rsidR="008D1550" w:rsidRDefault="008D1550" w:rsidP="00200FAB">
      <w:pPr>
        <w:spacing w:line="560" w:lineRule="exact"/>
        <w:jc w:val="center"/>
        <w:rPr>
          <w:rFonts w:ascii="宋体" w:hAnsi="宋体"/>
          <w:sz w:val="28"/>
          <w:szCs w:val="28"/>
        </w:rPr>
      </w:pPr>
    </w:p>
    <w:p w:rsidR="008D1550" w:rsidRDefault="008D1550" w:rsidP="00200FAB">
      <w:pPr>
        <w:spacing w:line="560" w:lineRule="exact"/>
        <w:jc w:val="center"/>
        <w:rPr>
          <w:rFonts w:ascii="宋体" w:hAnsi="宋体" w:hint="eastAsia"/>
          <w:sz w:val="28"/>
          <w:szCs w:val="28"/>
        </w:rPr>
      </w:pPr>
    </w:p>
    <w:p w:rsidR="00DF5A8D" w:rsidRPr="00DF5A8D" w:rsidRDefault="00DF5A8D" w:rsidP="00200FAB">
      <w:pPr>
        <w:pStyle w:val="2"/>
        <w:spacing w:line="560" w:lineRule="exact"/>
      </w:pPr>
    </w:p>
    <w:p w:rsidR="008D1550" w:rsidRDefault="008D1550" w:rsidP="00200FAB">
      <w:pPr>
        <w:spacing w:line="560" w:lineRule="exact"/>
        <w:jc w:val="center"/>
        <w:rPr>
          <w:rFonts w:ascii="宋体" w:hAnsi="宋体"/>
          <w:sz w:val="28"/>
          <w:szCs w:val="28"/>
        </w:rPr>
      </w:pPr>
    </w:p>
    <w:p w:rsidR="008D1550" w:rsidRPr="002B5F63" w:rsidRDefault="008D1550" w:rsidP="00200FAB">
      <w:pPr>
        <w:spacing w:line="560" w:lineRule="exact"/>
        <w:jc w:val="center"/>
        <w:rPr>
          <w:rFonts w:ascii="仿宋_GB2312" w:eastAsia="仿宋_GB2312" w:hAnsi="宋体" w:hint="eastAsia"/>
          <w:sz w:val="28"/>
          <w:szCs w:val="28"/>
        </w:rPr>
      </w:pPr>
    </w:p>
    <w:p w:rsidR="008D1550" w:rsidRDefault="005D60F9" w:rsidP="00200FAB">
      <w:pPr>
        <w:pStyle w:val="a4"/>
        <w:spacing w:line="560" w:lineRule="exact"/>
        <w:ind w:leftChars="0" w:left="614" w:rightChars="12" w:right="25" w:hangingChars="192" w:hanging="614"/>
        <w:rPr>
          <w:rFonts w:eastAsia="楷体"/>
          <w:b w:val="0"/>
          <w:szCs w:val="32"/>
        </w:rPr>
      </w:pPr>
      <w:r w:rsidRPr="002B5F63">
        <w:rPr>
          <w:rFonts w:ascii="仿宋_GB2312" w:eastAsia="仿宋_GB2312" w:hint="eastAsia"/>
          <w:b w:val="0"/>
          <w:szCs w:val="32"/>
        </w:rPr>
        <w:t>桓环许字</w:t>
      </w:r>
      <w:r w:rsidRPr="002B5F63">
        <w:rPr>
          <w:rFonts w:ascii="仿宋_GB2312" w:eastAsia="楷体" w:hint="eastAsia"/>
          <w:b w:val="0"/>
          <w:szCs w:val="32"/>
        </w:rPr>
        <w:t>﹝</w:t>
      </w:r>
      <w:r w:rsidRPr="002B5F63">
        <w:rPr>
          <w:rFonts w:ascii="仿宋_GB2312" w:eastAsia="仿宋_GB2312" w:hint="eastAsia"/>
          <w:b w:val="0"/>
          <w:szCs w:val="32"/>
        </w:rPr>
        <w:t>2023</w:t>
      </w:r>
      <w:r w:rsidRPr="002B5F63">
        <w:rPr>
          <w:rFonts w:ascii="仿宋_GB2312" w:eastAsia="楷体" w:hint="eastAsia"/>
          <w:b w:val="0"/>
          <w:szCs w:val="32"/>
        </w:rPr>
        <w:t>﹞</w:t>
      </w:r>
      <w:r w:rsidRPr="002B5F63">
        <w:rPr>
          <w:rFonts w:ascii="仿宋_GB2312" w:eastAsia="仿宋_GB2312" w:hint="eastAsia"/>
          <w:b w:val="0"/>
          <w:szCs w:val="32"/>
        </w:rPr>
        <w:t>29</w:t>
      </w:r>
      <w:r w:rsidRPr="002B5F63">
        <w:rPr>
          <w:rFonts w:ascii="仿宋_GB2312" w:eastAsia="仿宋_GB2312" w:hint="eastAsia"/>
          <w:b w:val="0"/>
          <w:szCs w:val="32"/>
        </w:rPr>
        <w:t>号</w:t>
      </w:r>
      <w:r w:rsidRPr="002B5F63">
        <w:rPr>
          <w:rFonts w:ascii="仿宋_GB2312" w:eastAsia="仿宋_GB2312" w:hint="eastAsia"/>
          <w:b w:val="0"/>
          <w:szCs w:val="32"/>
        </w:rPr>
        <w:t xml:space="preserve">           </w:t>
      </w:r>
      <w:r w:rsidR="002B5F63" w:rsidRPr="002B5F63">
        <w:rPr>
          <w:rFonts w:ascii="仿宋_GB2312" w:eastAsia="仿宋_GB2312" w:hint="eastAsia"/>
          <w:b w:val="0"/>
          <w:szCs w:val="32"/>
        </w:rPr>
        <w:t xml:space="preserve">       </w:t>
      </w:r>
      <w:r w:rsidRPr="002B5F63">
        <w:rPr>
          <w:rFonts w:ascii="仿宋_GB2312" w:eastAsia="仿宋_GB2312" w:hint="eastAsia"/>
          <w:b w:val="0"/>
          <w:szCs w:val="32"/>
        </w:rPr>
        <w:t xml:space="preserve">   </w:t>
      </w:r>
      <w:r w:rsidRPr="002B5F63">
        <w:rPr>
          <w:rFonts w:ascii="仿宋_GB2312" w:eastAsia="仿宋_GB2312" w:hint="eastAsia"/>
          <w:b w:val="0"/>
          <w:szCs w:val="32"/>
        </w:rPr>
        <w:t>签发</w:t>
      </w:r>
      <w:r w:rsidRPr="002B5F63">
        <w:rPr>
          <w:rFonts w:ascii="仿宋_GB2312" w:eastAsia="仿宋_GB2312" w:hint="eastAsia"/>
          <w:b w:val="0"/>
          <w:szCs w:val="32"/>
        </w:rPr>
        <w:t>人</w:t>
      </w:r>
      <w:r w:rsidRPr="002B5F63">
        <w:rPr>
          <w:rFonts w:ascii="仿宋_GB2312" w:eastAsia="仿宋_GB2312" w:hint="eastAsia"/>
          <w:b w:val="0"/>
          <w:szCs w:val="32"/>
        </w:rPr>
        <w:t>：</w:t>
      </w:r>
      <w:r>
        <w:rPr>
          <w:rFonts w:eastAsia="楷体" w:hint="eastAsia"/>
          <w:b w:val="0"/>
          <w:szCs w:val="32"/>
        </w:rPr>
        <w:t>宋</w:t>
      </w:r>
      <w:r w:rsidR="002B5F63">
        <w:rPr>
          <w:rFonts w:eastAsia="楷体" w:hint="eastAsia"/>
          <w:b w:val="0"/>
          <w:szCs w:val="32"/>
        </w:rPr>
        <w:t xml:space="preserve">  </w:t>
      </w:r>
      <w:r>
        <w:rPr>
          <w:rFonts w:eastAsia="楷体" w:hint="eastAsia"/>
          <w:b w:val="0"/>
          <w:szCs w:val="32"/>
        </w:rPr>
        <w:t>强</w:t>
      </w:r>
    </w:p>
    <w:p w:rsidR="008D1550" w:rsidRDefault="008D1550" w:rsidP="00200FAB">
      <w:pPr>
        <w:pStyle w:val="a4"/>
        <w:spacing w:line="560" w:lineRule="exact"/>
        <w:ind w:rightChars="-73" w:right="-153"/>
        <w:jc w:val="center"/>
        <w:rPr>
          <w:rFonts w:ascii="宋体" w:eastAsia="宋体" w:hAnsi="宋体"/>
          <w:szCs w:val="32"/>
        </w:rPr>
      </w:pPr>
    </w:p>
    <w:p w:rsidR="008D1550" w:rsidRDefault="005D60F9" w:rsidP="00200FAB">
      <w:pPr>
        <w:pStyle w:val="a4"/>
        <w:spacing w:line="560" w:lineRule="exact"/>
        <w:ind w:leftChars="-85" w:left="38" w:rightChars="-159" w:right="-334" w:hangingChars="49" w:hanging="216"/>
        <w:jc w:val="center"/>
        <w:rPr>
          <w:rFonts w:ascii="方正小标宋简体" w:eastAsia="方正小标宋简体"/>
          <w:b w:val="0"/>
          <w:bCs w:val="0"/>
          <w:sz w:val="44"/>
          <w:szCs w:val="44"/>
        </w:rPr>
      </w:pPr>
      <w:r>
        <w:rPr>
          <w:rFonts w:ascii="方正小标宋简体" w:eastAsia="方正小标宋简体" w:hint="eastAsia"/>
          <w:b w:val="0"/>
          <w:bCs w:val="0"/>
          <w:sz w:val="44"/>
          <w:szCs w:val="44"/>
        </w:rPr>
        <w:t>关于</w:t>
      </w:r>
      <w:r>
        <w:rPr>
          <w:rFonts w:ascii="方正小标宋简体" w:eastAsia="方正小标宋简体" w:hint="eastAsia"/>
          <w:b w:val="0"/>
          <w:bCs w:val="0"/>
          <w:sz w:val="44"/>
          <w:szCs w:val="44"/>
        </w:rPr>
        <w:t>淄博市桓台县滨博石化销售有限公司</w:t>
      </w:r>
    </w:p>
    <w:p w:rsidR="008D1550" w:rsidRDefault="005D60F9" w:rsidP="00200FAB">
      <w:pPr>
        <w:pStyle w:val="a4"/>
        <w:spacing w:line="560" w:lineRule="exact"/>
        <w:ind w:leftChars="-85" w:left="38" w:rightChars="-159" w:right="-334" w:hangingChars="49" w:hanging="216"/>
        <w:jc w:val="center"/>
        <w:rPr>
          <w:rFonts w:ascii="方正小标宋简体" w:eastAsia="方正小标宋简体"/>
          <w:b w:val="0"/>
          <w:bCs w:val="0"/>
          <w:sz w:val="44"/>
          <w:szCs w:val="44"/>
        </w:rPr>
      </w:pPr>
      <w:r>
        <w:rPr>
          <w:rFonts w:ascii="方正小标宋简体" w:eastAsia="方正小标宋简体" w:hint="eastAsia"/>
          <w:b w:val="0"/>
          <w:bCs w:val="0"/>
          <w:sz w:val="44"/>
          <w:szCs w:val="44"/>
        </w:rPr>
        <w:t>淄博市桓台县耿桥供销社加油站改造项目</w:t>
      </w:r>
    </w:p>
    <w:p w:rsidR="008D1550" w:rsidRDefault="005D60F9" w:rsidP="00200FAB">
      <w:pPr>
        <w:pStyle w:val="a4"/>
        <w:spacing w:line="560" w:lineRule="exact"/>
        <w:ind w:leftChars="-85" w:left="38" w:rightChars="-159" w:right="-334" w:hangingChars="49" w:hanging="216"/>
        <w:jc w:val="center"/>
        <w:rPr>
          <w:rFonts w:ascii="方正小标宋简体" w:eastAsia="方正小标宋简体"/>
          <w:b w:val="0"/>
          <w:bCs w:val="0"/>
          <w:sz w:val="44"/>
          <w:szCs w:val="44"/>
        </w:rPr>
      </w:pPr>
      <w:r>
        <w:rPr>
          <w:rFonts w:ascii="方正小标宋简体" w:eastAsia="方正小标宋简体" w:hint="eastAsia"/>
          <w:b w:val="0"/>
          <w:bCs w:val="0"/>
          <w:sz w:val="44"/>
          <w:szCs w:val="44"/>
        </w:rPr>
        <w:t>环境影响报告表的审批意见</w:t>
      </w:r>
    </w:p>
    <w:p w:rsidR="008D1550" w:rsidRDefault="008D1550" w:rsidP="00200FAB">
      <w:pPr>
        <w:pStyle w:val="a4"/>
        <w:spacing w:line="560" w:lineRule="exact"/>
        <w:ind w:leftChars="-102" w:left="38" w:rightChars="-159" w:right="-334" w:hangingChars="70" w:hanging="252"/>
        <w:rPr>
          <w:rFonts w:ascii="宋体" w:eastAsia="宋体" w:hAnsi="宋体"/>
          <w:b w:val="0"/>
          <w:bCs w:val="0"/>
          <w:sz w:val="36"/>
        </w:rPr>
      </w:pPr>
    </w:p>
    <w:p w:rsidR="008D1550" w:rsidRDefault="005D60F9" w:rsidP="00200FAB">
      <w:pPr>
        <w:adjustRightInd w:val="0"/>
        <w:snapToGrid w:val="0"/>
        <w:spacing w:line="560" w:lineRule="exact"/>
        <w:rPr>
          <w:rFonts w:eastAsia="仿宋_GB2312"/>
          <w:color w:val="000000" w:themeColor="text1"/>
          <w:sz w:val="32"/>
          <w:szCs w:val="32"/>
        </w:rPr>
      </w:pPr>
      <w:r>
        <w:rPr>
          <w:rFonts w:eastAsia="仿宋_GB2312" w:hint="eastAsia"/>
          <w:color w:val="000000" w:themeColor="text1"/>
          <w:sz w:val="32"/>
          <w:szCs w:val="32"/>
        </w:rPr>
        <w:t>淄博市桓台县滨博石化销售有限公司：</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你单位报来《淄博市桓台县滨博石化销售有限公司淄博市桓台县耿桥供销社加油站改造项目环境影响报告表》</w:t>
      </w:r>
      <w:r>
        <w:rPr>
          <w:rFonts w:eastAsia="仿宋_GB2312" w:hint="eastAsia"/>
          <w:color w:val="000000" w:themeColor="text1"/>
          <w:sz w:val="32"/>
          <w:szCs w:val="32"/>
        </w:rPr>
        <w:t>（山东腾辉生态环境工程有限公司编制）</w:t>
      </w:r>
      <w:r>
        <w:rPr>
          <w:rFonts w:eastAsia="仿宋_GB2312" w:hint="eastAsia"/>
          <w:color w:val="000000" w:themeColor="text1"/>
          <w:sz w:val="32"/>
          <w:szCs w:val="32"/>
        </w:rPr>
        <w:t>收悉。经桓台县投资项目联合审批办公室及我局研究，根据环评文件，提出如下审批意见：</w:t>
      </w:r>
      <w:r>
        <w:rPr>
          <w:rFonts w:eastAsia="仿宋_GB2312" w:hint="eastAsia"/>
          <w:color w:val="000000" w:themeColor="text1"/>
          <w:sz w:val="32"/>
          <w:szCs w:val="32"/>
        </w:rPr>
        <w:t xml:space="preserve"> </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一、</w:t>
      </w:r>
      <w:r>
        <w:rPr>
          <w:rFonts w:eastAsia="仿宋_GB2312" w:hint="eastAsia"/>
          <w:color w:val="000000" w:themeColor="text1"/>
          <w:sz w:val="32"/>
          <w:szCs w:val="32"/>
        </w:rPr>
        <w:t>项目建设地点位于淄博市桓台县张北路</w:t>
      </w:r>
      <w:r>
        <w:rPr>
          <w:rFonts w:eastAsia="仿宋_GB2312" w:hint="eastAsia"/>
          <w:color w:val="000000" w:themeColor="text1"/>
          <w:sz w:val="32"/>
          <w:szCs w:val="32"/>
        </w:rPr>
        <w:t>292</w:t>
      </w:r>
      <w:r>
        <w:rPr>
          <w:rFonts w:eastAsia="仿宋_GB2312" w:hint="eastAsia"/>
          <w:color w:val="000000" w:themeColor="text1"/>
          <w:sz w:val="32"/>
          <w:szCs w:val="32"/>
        </w:rPr>
        <w:t>号耿桥路段。</w:t>
      </w:r>
      <w:r>
        <w:rPr>
          <w:rFonts w:eastAsia="仿宋_GB2312" w:hint="eastAsia"/>
          <w:color w:val="000000" w:themeColor="text1"/>
          <w:sz w:val="32"/>
          <w:szCs w:val="32"/>
        </w:rPr>
        <w:t>该项目由淄博市桓台县滨博石化销售有限公司对原耿桥供销社加油站进行改造经营。</w:t>
      </w:r>
      <w:r>
        <w:rPr>
          <w:rFonts w:eastAsia="仿宋_GB2312" w:hint="eastAsia"/>
          <w:color w:val="000000" w:themeColor="text1"/>
          <w:sz w:val="32"/>
          <w:szCs w:val="32"/>
        </w:rPr>
        <w:t>项目占地面积</w:t>
      </w:r>
      <w:r>
        <w:rPr>
          <w:rFonts w:eastAsia="仿宋_GB2312" w:hint="eastAsia"/>
          <w:color w:val="000000" w:themeColor="text1"/>
          <w:sz w:val="32"/>
          <w:szCs w:val="32"/>
        </w:rPr>
        <w:t>5665</w:t>
      </w:r>
      <w:r>
        <w:rPr>
          <w:rFonts w:eastAsia="仿宋_GB2312" w:hint="eastAsia"/>
          <w:color w:val="000000" w:themeColor="text1"/>
          <w:sz w:val="32"/>
          <w:szCs w:val="32"/>
        </w:rPr>
        <w:t>平方米，拟设置</w:t>
      </w:r>
      <w:r>
        <w:rPr>
          <w:rFonts w:eastAsia="仿宋_GB2312" w:hint="eastAsia"/>
          <w:color w:val="000000" w:themeColor="text1"/>
          <w:sz w:val="32"/>
          <w:szCs w:val="32"/>
        </w:rPr>
        <w:t>3</w:t>
      </w:r>
      <w:r>
        <w:rPr>
          <w:rFonts w:eastAsia="仿宋_GB2312" w:hint="eastAsia"/>
          <w:color w:val="000000" w:themeColor="text1"/>
          <w:sz w:val="32"/>
          <w:szCs w:val="32"/>
        </w:rPr>
        <w:t>个汽油储罐（</w:t>
      </w:r>
      <w:r>
        <w:rPr>
          <w:rFonts w:eastAsia="仿宋_GB2312" w:hint="eastAsia"/>
          <w:color w:val="000000" w:themeColor="text1"/>
          <w:sz w:val="32"/>
          <w:szCs w:val="32"/>
        </w:rPr>
        <w:t>2</w:t>
      </w:r>
      <w:r>
        <w:rPr>
          <w:rFonts w:eastAsia="仿宋_GB2312" w:hint="eastAsia"/>
          <w:color w:val="000000" w:themeColor="text1"/>
          <w:sz w:val="32"/>
          <w:szCs w:val="32"/>
        </w:rPr>
        <w:t>个</w:t>
      </w:r>
      <w:r>
        <w:rPr>
          <w:rFonts w:eastAsia="仿宋_GB2312" w:hint="eastAsia"/>
          <w:color w:val="000000" w:themeColor="text1"/>
          <w:sz w:val="32"/>
          <w:szCs w:val="32"/>
        </w:rPr>
        <w:t>30m</w:t>
      </w:r>
      <w:r>
        <w:rPr>
          <w:rFonts w:eastAsia="仿宋_GB2312" w:hint="eastAsia"/>
          <w:color w:val="000000" w:themeColor="text1"/>
          <w:sz w:val="32"/>
          <w:szCs w:val="32"/>
          <w:vertAlign w:val="superscript"/>
        </w:rPr>
        <w:t>3</w:t>
      </w:r>
      <w:r>
        <w:rPr>
          <w:rFonts w:eastAsia="仿宋_GB2312" w:hint="eastAsia"/>
          <w:color w:val="000000" w:themeColor="text1"/>
          <w:sz w:val="32"/>
          <w:szCs w:val="32"/>
        </w:rPr>
        <w:t>的</w:t>
      </w:r>
      <w:r>
        <w:rPr>
          <w:rFonts w:eastAsia="仿宋_GB2312" w:hint="eastAsia"/>
          <w:color w:val="000000" w:themeColor="text1"/>
          <w:sz w:val="32"/>
          <w:szCs w:val="32"/>
        </w:rPr>
        <w:t>92#</w:t>
      </w:r>
      <w:r>
        <w:rPr>
          <w:rFonts w:eastAsia="仿宋_GB2312" w:hint="eastAsia"/>
          <w:color w:val="000000" w:themeColor="text1"/>
          <w:sz w:val="32"/>
          <w:szCs w:val="32"/>
        </w:rPr>
        <w:t>汽油储罐，</w:t>
      </w:r>
      <w:r>
        <w:rPr>
          <w:rFonts w:eastAsia="仿宋_GB2312" w:hint="eastAsia"/>
          <w:color w:val="000000" w:themeColor="text1"/>
          <w:sz w:val="32"/>
          <w:szCs w:val="32"/>
        </w:rPr>
        <w:t>1</w:t>
      </w:r>
      <w:r>
        <w:rPr>
          <w:rFonts w:eastAsia="仿宋_GB2312" w:hint="eastAsia"/>
          <w:color w:val="000000" w:themeColor="text1"/>
          <w:sz w:val="32"/>
          <w:szCs w:val="32"/>
        </w:rPr>
        <w:t>个</w:t>
      </w:r>
      <w:r>
        <w:rPr>
          <w:rFonts w:eastAsia="仿宋_GB2312" w:hint="eastAsia"/>
          <w:color w:val="000000" w:themeColor="text1"/>
          <w:sz w:val="32"/>
          <w:szCs w:val="32"/>
        </w:rPr>
        <w:t>30m</w:t>
      </w:r>
      <w:r>
        <w:rPr>
          <w:rFonts w:eastAsia="仿宋_GB2312" w:hint="eastAsia"/>
          <w:color w:val="000000" w:themeColor="text1"/>
          <w:sz w:val="32"/>
          <w:szCs w:val="32"/>
          <w:vertAlign w:val="superscript"/>
        </w:rPr>
        <w:t>3</w:t>
      </w:r>
      <w:r>
        <w:rPr>
          <w:rFonts w:eastAsia="仿宋_GB2312" w:hint="eastAsia"/>
          <w:color w:val="000000" w:themeColor="text1"/>
          <w:sz w:val="32"/>
          <w:szCs w:val="32"/>
        </w:rPr>
        <w:t>的</w:t>
      </w:r>
      <w:r>
        <w:rPr>
          <w:rFonts w:eastAsia="仿宋_GB2312" w:hint="eastAsia"/>
          <w:color w:val="000000" w:themeColor="text1"/>
          <w:sz w:val="32"/>
          <w:szCs w:val="32"/>
        </w:rPr>
        <w:t>95#</w:t>
      </w:r>
      <w:r>
        <w:rPr>
          <w:rFonts w:eastAsia="仿宋_GB2312" w:hint="eastAsia"/>
          <w:color w:val="000000" w:themeColor="text1"/>
          <w:sz w:val="32"/>
          <w:szCs w:val="32"/>
        </w:rPr>
        <w:t>汽油储罐）</w:t>
      </w: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个</w:t>
      </w:r>
      <w:r>
        <w:rPr>
          <w:rFonts w:eastAsia="仿宋_GB2312" w:hint="eastAsia"/>
          <w:color w:val="000000" w:themeColor="text1"/>
          <w:sz w:val="32"/>
          <w:szCs w:val="32"/>
        </w:rPr>
        <w:t>30m</w:t>
      </w:r>
      <w:r>
        <w:rPr>
          <w:rFonts w:eastAsia="仿宋_GB2312" w:hint="eastAsia"/>
          <w:color w:val="000000" w:themeColor="text1"/>
          <w:sz w:val="32"/>
          <w:szCs w:val="32"/>
          <w:vertAlign w:val="superscript"/>
        </w:rPr>
        <w:t>3</w:t>
      </w:r>
      <w:r>
        <w:rPr>
          <w:rFonts w:eastAsia="仿宋_GB2312" w:hint="eastAsia"/>
          <w:color w:val="000000" w:themeColor="text1"/>
          <w:sz w:val="32"/>
          <w:szCs w:val="32"/>
        </w:rPr>
        <w:t>柴油储罐（</w:t>
      </w:r>
      <w:r>
        <w:rPr>
          <w:rFonts w:eastAsia="仿宋_GB2312" w:hint="eastAsia"/>
          <w:color w:val="000000" w:themeColor="text1"/>
          <w:sz w:val="32"/>
          <w:szCs w:val="32"/>
        </w:rPr>
        <w:t>1</w:t>
      </w:r>
      <w:r>
        <w:rPr>
          <w:rFonts w:eastAsia="仿宋_GB2312" w:hint="eastAsia"/>
          <w:color w:val="000000" w:themeColor="text1"/>
          <w:sz w:val="32"/>
          <w:szCs w:val="32"/>
        </w:rPr>
        <w:t>个</w:t>
      </w:r>
      <w:r>
        <w:rPr>
          <w:rFonts w:eastAsia="仿宋_GB2312" w:hint="eastAsia"/>
          <w:color w:val="000000" w:themeColor="text1"/>
          <w:sz w:val="32"/>
          <w:szCs w:val="32"/>
        </w:rPr>
        <w:t>30m</w:t>
      </w:r>
      <w:r>
        <w:rPr>
          <w:rFonts w:eastAsia="仿宋_GB2312" w:hint="eastAsia"/>
          <w:color w:val="000000" w:themeColor="text1"/>
          <w:sz w:val="32"/>
          <w:szCs w:val="32"/>
          <w:vertAlign w:val="superscript"/>
        </w:rPr>
        <w:t>3</w:t>
      </w:r>
      <w:r>
        <w:rPr>
          <w:rFonts w:eastAsia="仿宋_GB2312" w:hint="eastAsia"/>
          <w:color w:val="000000" w:themeColor="text1"/>
          <w:sz w:val="32"/>
          <w:szCs w:val="32"/>
        </w:rPr>
        <w:t>的</w:t>
      </w:r>
      <w:r>
        <w:rPr>
          <w:rFonts w:eastAsia="仿宋_GB2312" w:hint="eastAsia"/>
          <w:color w:val="000000" w:themeColor="text1"/>
          <w:sz w:val="32"/>
          <w:szCs w:val="32"/>
        </w:rPr>
        <w:t>0#</w:t>
      </w:r>
      <w:r>
        <w:rPr>
          <w:rFonts w:eastAsia="仿宋_GB2312" w:hint="eastAsia"/>
          <w:color w:val="000000" w:themeColor="text1"/>
          <w:sz w:val="32"/>
          <w:szCs w:val="32"/>
        </w:rPr>
        <w:t>柴油储罐、</w:t>
      </w:r>
      <w:r>
        <w:rPr>
          <w:rFonts w:eastAsia="仿宋_GB2312" w:hint="eastAsia"/>
          <w:color w:val="000000" w:themeColor="text1"/>
          <w:sz w:val="32"/>
          <w:szCs w:val="32"/>
        </w:rPr>
        <w:t>1</w:t>
      </w:r>
      <w:r>
        <w:rPr>
          <w:rFonts w:eastAsia="仿宋_GB2312" w:hint="eastAsia"/>
          <w:color w:val="000000" w:themeColor="text1"/>
          <w:sz w:val="32"/>
          <w:szCs w:val="32"/>
        </w:rPr>
        <w:t>个</w:t>
      </w:r>
      <w:r>
        <w:rPr>
          <w:rFonts w:eastAsia="仿宋_GB2312" w:hint="eastAsia"/>
          <w:color w:val="000000" w:themeColor="text1"/>
          <w:sz w:val="32"/>
          <w:szCs w:val="32"/>
        </w:rPr>
        <w:t>30m</w:t>
      </w:r>
      <w:r>
        <w:rPr>
          <w:rFonts w:eastAsia="仿宋_GB2312" w:hint="eastAsia"/>
          <w:color w:val="000000" w:themeColor="text1"/>
          <w:sz w:val="32"/>
          <w:szCs w:val="32"/>
          <w:vertAlign w:val="superscript"/>
        </w:rPr>
        <w:t>3</w:t>
      </w:r>
      <w:r>
        <w:rPr>
          <w:rFonts w:eastAsia="仿宋_GB2312" w:hint="eastAsia"/>
          <w:color w:val="000000" w:themeColor="text1"/>
          <w:sz w:val="32"/>
          <w:szCs w:val="32"/>
        </w:rPr>
        <w:t>的</w:t>
      </w:r>
      <w:r>
        <w:rPr>
          <w:rFonts w:eastAsia="仿宋_GB2312" w:hint="eastAsia"/>
          <w:color w:val="000000" w:themeColor="text1"/>
          <w:sz w:val="32"/>
          <w:szCs w:val="32"/>
        </w:rPr>
        <w:t>-10#</w:t>
      </w:r>
      <w:r>
        <w:rPr>
          <w:rFonts w:eastAsia="仿宋_GB2312" w:hint="eastAsia"/>
          <w:color w:val="000000" w:themeColor="text1"/>
          <w:sz w:val="32"/>
          <w:szCs w:val="32"/>
        </w:rPr>
        <w:lastRenderedPageBreak/>
        <w:t>柴油储罐）</w:t>
      </w:r>
      <w:r>
        <w:rPr>
          <w:rFonts w:eastAsia="仿宋_GB2312" w:hint="eastAsia"/>
          <w:color w:val="000000" w:themeColor="text1"/>
          <w:sz w:val="32"/>
          <w:szCs w:val="32"/>
        </w:rPr>
        <w:t>，新设</w:t>
      </w:r>
      <w:r>
        <w:rPr>
          <w:rFonts w:eastAsia="仿宋_GB2312" w:hint="eastAsia"/>
          <w:color w:val="000000" w:themeColor="text1"/>
          <w:sz w:val="32"/>
          <w:szCs w:val="32"/>
        </w:rPr>
        <w:t>四枪潜油泵加油机</w:t>
      </w:r>
      <w:r>
        <w:rPr>
          <w:rFonts w:eastAsia="仿宋_GB2312" w:hint="eastAsia"/>
          <w:color w:val="000000" w:themeColor="text1"/>
          <w:sz w:val="32"/>
          <w:szCs w:val="32"/>
        </w:rPr>
        <w:t>6</w:t>
      </w:r>
      <w:r>
        <w:rPr>
          <w:rFonts w:eastAsia="仿宋_GB2312" w:hint="eastAsia"/>
          <w:color w:val="000000" w:themeColor="text1"/>
          <w:sz w:val="32"/>
          <w:szCs w:val="32"/>
        </w:rPr>
        <w:t>台</w:t>
      </w:r>
      <w:r>
        <w:rPr>
          <w:rFonts w:eastAsia="仿宋_GB2312" w:hint="eastAsia"/>
          <w:color w:val="000000" w:themeColor="text1"/>
          <w:sz w:val="32"/>
          <w:szCs w:val="32"/>
        </w:rPr>
        <w:t>，均配套</w:t>
      </w:r>
      <w:r>
        <w:rPr>
          <w:rFonts w:eastAsia="仿宋_GB2312" w:hint="eastAsia"/>
          <w:color w:val="000000" w:themeColor="text1"/>
          <w:sz w:val="32"/>
          <w:szCs w:val="32"/>
        </w:rPr>
        <w:t>安装油气回收环保设施</w:t>
      </w:r>
      <w:r>
        <w:rPr>
          <w:rFonts w:eastAsia="仿宋_GB2312" w:hint="eastAsia"/>
          <w:color w:val="000000" w:themeColor="text1"/>
          <w:sz w:val="32"/>
          <w:szCs w:val="32"/>
        </w:rPr>
        <w:t>。</w:t>
      </w:r>
      <w:r>
        <w:rPr>
          <w:rFonts w:eastAsia="仿宋_GB2312" w:hint="eastAsia"/>
          <w:color w:val="000000" w:themeColor="text1"/>
          <w:sz w:val="32"/>
          <w:szCs w:val="32"/>
        </w:rPr>
        <w:t>项目总投资</w:t>
      </w:r>
      <w:r>
        <w:rPr>
          <w:rFonts w:eastAsia="仿宋_GB2312" w:hint="eastAsia"/>
          <w:color w:val="000000" w:themeColor="text1"/>
          <w:sz w:val="32"/>
          <w:szCs w:val="32"/>
        </w:rPr>
        <w:t>500</w:t>
      </w:r>
      <w:r>
        <w:rPr>
          <w:rFonts w:eastAsia="仿宋_GB2312" w:hint="eastAsia"/>
          <w:color w:val="000000" w:themeColor="text1"/>
          <w:sz w:val="32"/>
          <w:szCs w:val="32"/>
        </w:rPr>
        <w:t>万元，其中环保投资</w:t>
      </w:r>
      <w:r>
        <w:rPr>
          <w:rFonts w:eastAsia="仿宋_GB2312" w:hint="eastAsia"/>
          <w:color w:val="000000" w:themeColor="text1"/>
          <w:sz w:val="32"/>
          <w:szCs w:val="32"/>
        </w:rPr>
        <w:t>30</w:t>
      </w:r>
      <w:r>
        <w:rPr>
          <w:rFonts w:eastAsia="仿宋_GB2312" w:hint="eastAsia"/>
          <w:color w:val="000000" w:themeColor="text1"/>
          <w:sz w:val="32"/>
          <w:szCs w:val="32"/>
        </w:rPr>
        <w:t>万元。</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该项目环境影响报告表及相关材料已在桓台县人民政府官方网站进行了公示，公示期间未收到公众反对意见。根据环评结论，在落实报告表提出的各项污染防治、环</w:t>
      </w:r>
      <w:r>
        <w:rPr>
          <w:rFonts w:eastAsia="仿宋_GB2312" w:hint="eastAsia"/>
          <w:color w:val="000000" w:themeColor="text1"/>
          <w:sz w:val="32"/>
          <w:szCs w:val="32"/>
        </w:rPr>
        <w:t>境风险防范措施和满足污染物总量控制要求的前提下，从环保角度分析，项目建设可行。同意该项目按申报工艺、规模、地点和污染防治措施等进行建设。</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二、项目施工期间应落实报告</w:t>
      </w:r>
      <w:r>
        <w:rPr>
          <w:rFonts w:eastAsia="仿宋_GB2312" w:hint="eastAsia"/>
          <w:color w:val="000000" w:themeColor="text1"/>
          <w:sz w:val="32"/>
          <w:szCs w:val="32"/>
        </w:rPr>
        <w:t>表</w:t>
      </w:r>
      <w:r>
        <w:rPr>
          <w:rFonts w:eastAsia="仿宋_GB2312" w:hint="eastAsia"/>
          <w:color w:val="000000" w:themeColor="text1"/>
          <w:sz w:val="32"/>
          <w:szCs w:val="32"/>
        </w:rPr>
        <w:t>提出的各项污染防治措施。须按照《山东省扬尘污染防治管理办法》有关要求，做好施工扬尘的精细化管控。对各扬尘点定期洒水，施工场地要设置围挡，粉状物料等要集中存放并进行棚盖，设置围挡防止雨水冲刷造成污染。运输车辆不得超载、进入施工场地要限速行驶，运输土方过程中要采取蓬盖及冲洗轮胎、挡板等措施，防止土料散落引发扬尘，并及时对路面进行清扫、洒水。施工期产</w:t>
      </w:r>
      <w:r>
        <w:rPr>
          <w:rFonts w:eastAsia="仿宋_GB2312" w:hint="eastAsia"/>
          <w:color w:val="000000" w:themeColor="text1"/>
          <w:sz w:val="32"/>
          <w:szCs w:val="32"/>
        </w:rPr>
        <w:t>生的建筑垃圾和生活垃圾要严格实行定点堆放，并及时清运处理；尽量避免夜间施工、采用低噪声设备，确保施工期间厂界噪声满足《建筑施工场界环境噪声排放标准》</w:t>
      </w:r>
      <w:r>
        <w:rPr>
          <w:rFonts w:eastAsia="仿宋_GB2312" w:hint="eastAsia"/>
          <w:color w:val="000000" w:themeColor="text1"/>
          <w:sz w:val="32"/>
          <w:szCs w:val="32"/>
        </w:rPr>
        <w:t>(GB12523-2011)</w:t>
      </w:r>
      <w:r>
        <w:rPr>
          <w:rFonts w:eastAsia="仿宋_GB2312" w:hint="eastAsia"/>
          <w:color w:val="000000" w:themeColor="text1"/>
          <w:sz w:val="32"/>
          <w:szCs w:val="32"/>
        </w:rPr>
        <w:t>的要求。</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三、</w:t>
      </w:r>
      <w:r>
        <w:rPr>
          <w:rFonts w:eastAsia="仿宋_GB2312" w:hint="eastAsia"/>
          <w:color w:val="000000" w:themeColor="text1"/>
          <w:sz w:val="32"/>
          <w:szCs w:val="32"/>
        </w:rPr>
        <w:t>项目在营运期须严格落实环境影响报告表中提出的各项污染防治措施</w:t>
      </w:r>
      <w:r>
        <w:rPr>
          <w:rFonts w:eastAsia="仿宋_GB2312" w:hint="eastAsia"/>
          <w:color w:val="000000" w:themeColor="text1"/>
          <w:sz w:val="32"/>
          <w:szCs w:val="32"/>
        </w:rPr>
        <w:t>及</w:t>
      </w:r>
      <w:r>
        <w:rPr>
          <w:rFonts w:eastAsia="仿宋_GB2312" w:hint="eastAsia"/>
          <w:color w:val="000000" w:themeColor="text1"/>
          <w:sz w:val="32"/>
          <w:szCs w:val="32"/>
        </w:rPr>
        <w:t>以下要求：</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w:t>
      </w:r>
      <w:r>
        <w:rPr>
          <w:rFonts w:eastAsia="仿宋_GB2312" w:hint="eastAsia"/>
          <w:color w:val="000000" w:themeColor="text1"/>
          <w:sz w:val="32"/>
          <w:szCs w:val="32"/>
        </w:rPr>
        <w:t>加强企业管理与设备维护，严格按照行业操作规程作业。汽油废气卸油（工作损失）采用一次油气回收系统回收、汽油加</w:t>
      </w:r>
      <w:r>
        <w:rPr>
          <w:rFonts w:eastAsia="仿宋_GB2312" w:hint="eastAsia"/>
          <w:color w:val="000000" w:themeColor="text1"/>
          <w:sz w:val="32"/>
          <w:szCs w:val="32"/>
        </w:rPr>
        <w:lastRenderedPageBreak/>
        <w:t>油作业损失废气采用二次油气回收系统回收；汽油储油过程（静置损失）经三次油气回收系统回收后通过</w:t>
      </w:r>
      <w:r>
        <w:rPr>
          <w:rFonts w:eastAsia="仿宋_GB2312" w:hint="eastAsia"/>
          <w:color w:val="000000" w:themeColor="text1"/>
          <w:sz w:val="32"/>
          <w:szCs w:val="32"/>
        </w:rPr>
        <w:t>4.2m</w:t>
      </w:r>
      <w:r>
        <w:rPr>
          <w:rFonts w:eastAsia="仿宋_GB2312" w:hint="eastAsia"/>
          <w:color w:val="000000" w:themeColor="text1"/>
          <w:sz w:val="32"/>
          <w:szCs w:val="32"/>
        </w:rPr>
        <w:t>高排放口有组织排放；其他废气均无组织排</w:t>
      </w:r>
      <w:r>
        <w:rPr>
          <w:rFonts w:eastAsia="仿宋_GB2312" w:hint="eastAsia"/>
          <w:color w:val="000000" w:themeColor="text1"/>
          <w:sz w:val="32"/>
          <w:szCs w:val="32"/>
        </w:rPr>
        <w:t>放。运营期回收系统排气口油气执行《加油站大气污染物排放标准》（</w:t>
      </w:r>
      <w:r>
        <w:rPr>
          <w:rFonts w:eastAsia="仿宋_GB2312" w:hint="eastAsia"/>
          <w:color w:val="000000" w:themeColor="text1"/>
          <w:sz w:val="32"/>
          <w:szCs w:val="32"/>
        </w:rPr>
        <w:t>GB20952-2020</w:t>
      </w:r>
      <w:r>
        <w:rPr>
          <w:rFonts w:eastAsia="仿宋_GB2312" w:hint="eastAsia"/>
          <w:color w:val="000000" w:themeColor="text1"/>
          <w:sz w:val="32"/>
          <w:szCs w:val="32"/>
        </w:rPr>
        <w:t>）中油气回收装置的油气排放浓度。</w:t>
      </w:r>
      <w:r>
        <w:rPr>
          <w:rFonts w:eastAsia="仿宋_GB2312" w:hint="eastAsia"/>
          <w:color w:val="000000" w:themeColor="text1"/>
          <w:sz w:val="32"/>
          <w:szCs w:val="32"/>
        </w:rPr>
        <w:t>加油</w:t>
      </w:r>
      <w:r>
        <w:rPr>
          <w:rFonts w:eastAsia="仿宋_GB2312" w:hint="eastAsia"/>
          <w:color w:val="000000" w:themeColor="text1"/>
          <w:sz w:val="32"/>
          <w:szCs w:val="32"/>
        </w:rPr>
        <w:t>站界</w:t>
      </w:r>
      <w:r>
        <w:rPr>
          <w:rFonts w:eastAsia="仿宋_GB2312" w:hint="eastAsia"/>
          <w:color w:val="000000" w:themeColor="text1"/>
          <w:sz w:val="32"/>
          <w:szCs w:val="32"/>
        </w:rPr>
        <w:t>VOCs</w:t>
      </w:r>
      <w:r>
        <w:rPr>
          <w:rFonts w:eastAsia="仿宋_GB2312" w:hint="eastAsia"/>
          <w:color w:val="000000" w:themeColor="text1"/>
          <w:sz w:val="32"/>
          <w:szCs w:val="32"/>
        </w:rPr>
        <w:t>排放应满足《加油站大气污染物排放标准》</w:t>
      </w:r>
      <w:r>
        <w:rPr>
          <w:rFonts w:eastAsia="仿宋_GB2312" w:hint="eastAsia"/>
          <w:color w:val="000000" w:themeColor="text1"/>
          <w:sz w:val="32"/>
          <w:szCs w:val="32"/>
        </w:rPr>
        <w:t>(GB20952-2020)</w:t>
      </w:r>
      <w:r>
        <w:rPr>
          <w:rFonts w:eastAsia="仿宋_GB2312" w:hint="eastAsia"/>
          <w:color w:val="000000" w:themeColor="text1"/>
          <w:sz w:val="32"/>
          <w:szCs w:val="32"/>
        </w:rPr>
        <w:t>表</w:t>
      </w:r>
      <w:r>
        <w:rPr>
          <w:rFonts w:eastAsia="仿宋_GB2312" w:hint="eastAsia"/>
          <w:color w:val="000000" w:themeColor="text1"/>
          <w:sz w:val="32"/>
          <w:szCs w:val="32"/>
        </w:rPr>
        <w:t>3</w:t>
      </w:r>
      <w:r>
        <w:rPr>
          <w:rFonts w:eastAsia="仿宋_GB2312" w:hint="eastAsia"/>
          <w:color w:val="000000" w:themeColor="text1"/>
          <w:sz w:val="32"/>
          <w:szCs w:val="32"/>
        </w:rPr>
        <w:t>加油站企业边界油气浓度无组织排放限值。</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2.</w:t>
      </w:r>
      <w:r>
        <w:rPr>
          <w:rFonts w:eastAsia="仿宋_GB2312" w:hint="eastAsia"/>
          <w:color w:val="000000" w:themeColor="text1"/>
          <w:sz w:val="32"/>
          <w:szCs w:val="32"/>
        </w:rPr>
        <w:t>项目产生的生活污水经化粪池处理后，</w:t>
      </w:r>
      <w:r>
        <w:rPr>
          <w:rFonts w:eastAsia="仿宋_GB2312" w:hint="eastAsia"/>
          <w:color w:val="000000" w:themeColor="text1"/>
          <w:sz w:val="32"/>
          <w:szCs w:val="32"/>
        </w:rPr>
        <w:t>经</w:t>
      </w:r>
      <w:r>
        <w:rPr>
          <w:rFonts w:eastAsia="仿宋_GB2312" w:hint="eastAsia"/>
          <w:color w:val="000000" w:themeColor="text1"/>
          <w:sz w:val="32"/>
          <w:szCs w:val="32"/>
        </w:rPr>
        <w:t>市政管网</w:t>
      </w:r>
      <w:r>
        <w:rPr>
          <w:rFonts w:eastAsia="仿宋_GB2312" w:hint="eastAsia"/>
          <w:color w:val="000000" w:themeColor="text1"/>
          <w:sz w:val="32"/>
          <w:szCs w:val="32"/>
        </w:rPr>
        <w:t>排入</w:t>
      </w:r>
      <w:r>
        <w:rPr>
          <w:rFonts w:eastAsia="仿宋_GB2312" w:hint="eastAsia"/>
          <w:color w:val="000000" w:themeColor="text1"/>
          <w:sz w:val="32"/>
          <w:szCs w:val="32"/>
        </w:rPr>
        <w:t>葛洲坝水务（桓台）有限公司</w:t>
      </w:r>
      <w:r>
        <w:rPr>
          <w:rFonts w:eastAsia="仿宋_GB2312" w:hint="eastAsia"/>
          <w:color w:val="000000" w:themeColor="text1"/>
          <w:sz w:val="32"/>
          <w:szCs w:val="32"/>
        </w:rPr>
        <w:t>进行深度处理</w:t>
      </w:r>
      <w:r>
        <w:rPr>
          <w:rFonts w:eastAsia="仿宋_GB2312" w:hint="eastAsia"/>
          <w:color w:val="000000" w:themeColor="text1"/>
          <w:sz w:val="32"/>
          <w:szCs w:val="32"/>
        </w:rPr>
        <w:t>。废水排放执行《污水排入城镇下水道水质标准》（</w:t>
      </w:r>
      <w:r>
        <w:rPr>
          <w:rFonts w:eastAsia="仿宋_GB2312" w:hint="eastAsia"/>
          <w:color w:val="000000" w:themeColor="text1"/>
          <w:sz w:val="32"/>
          <w:szCs w:val="32"/>
        </w:rPr>
        <w:t>GB/T31962-2015</w:t>
      </w:r>
      <w:r>
        <w:rPr>
          <w:rFonts w:eastAsia="仿宋_GB2312" w:hint="eastAsia"/>
          <w:color w:val="000000" w:themeColor="text1"/>
          <w:sz w:val="32"/>
          <w:szCs w:val="32"/>
        </w:rPr>
        <w:t>）表</w:t>
      </w:r>
      <w:r>
        <w:rPr>
          <w:rFonts w:eastAsia="仿宋_GB2312" w:hint="eastAsia"/>
          <w:color w:val="000000" w:themeColor="text1"/>
          <w:sz w:val="32"/>
          <w:szCs w:val="32"/>
        </w:rPr>
        <w:t>1</w:t>
      </w:r>
      <w:r>
        <w:rPr>
          <w:rFonts w:eastAsia="仿宋_GB2312" w:hint="eastAsia"/>
          <w:color w:val="000000" w:themeColor="text1"/>
          <w:sz w:val="32"/>
          <w:szCs w:val="32"/>
        </w:rPr>
        <w:t>中</w:t>
      </w:r>
      <w:r>
        <w:rPr>
          <w:rFonts w:eastAsia="仿宋_GB2312" w:hint="eastAsia"/>
          <w:color w:val="000000" w:themeColor="text1"/>
          <w:sz w:val="32"/>
          <w:szCs w:val="32"/>
        </w:rPr>
        <w:t>B</w:t>
      </w:r>
      <w:r>
        <w:rPr>
          <w:rFonts w:eastAsia="仿宋_GB2312" w:hint="eastAsia"/>
          <w:color w:val="000000" w:themeColor="text1"/>
          <w:sz w:val="32"/>
          <w:szCs w:val="32"/>
        </w:rPr>
        <w:t>级限值要求及葛洲坝水务（桓台）有限公司进水水质标准。</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3.</w:t>
      </w:r>
      <w:r>
        <w:rPr>
          <w:rFonts w:eastAsia="仿宋_GB2312" w:hint="eastAsia"/>
          <w:color w:val="000000" w:themeColor="text1"/>
          <w:sz w:val="32"/>
          <w:szCs w:val="32"/>
        </w:rPr>
        <w:t>按照固体废物“资源化、减量化、无害化”原则，储油罐维护产生的油泥、油气回收设备运行产生的废活性炭均属于危险废物，须全部交由有资质单位处置；含油废抹布、生活垃圾由环卫部门定期清运。固废转移须建立完善的记录台帐。危险废物暂存须符合《危险废物贮存污染控制标准》（</w:t>
      </w:r>
      <w:r>
        <w:rPr>
          <w:rFonts w:eastAsia="仿宋_GB2312" w:hint="eastAsia"/>
          <w:color w:val="000000" w:themeColor="text1"/>
          <w:sz w:val="32"/>
          <w:szCs w:val="32"/>
        </w:rPr>
        <w:t>GB18597-2023</w:t>
      </w:r>
      <w:r>
        <w:rPr>
          <w:rFonts w:eastAsia="仿宋_GB2312" w:hint="eastAsia"/>
          <w:color w:val="000000" w:themeColor="text1"/>
          <w:sz w:val="32"/>
          <w:szCs w:val="32"/>
        </w:rPr>
        <w:t>）相关规定，严格执行《危险废物转移管理办法》。</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4.</w:t>
      </w:r>
      <w:r>
        <w:rPr>
          <w:rFonts w:eastAsia="仿宋_GB2312" w:hint="eastAsia"/>
          <w:color w:val="000000" w:themeColor="text1"/>
          <w:sz w:val="32"/>
          <w:szCs w:val="32"/>
        </w:rPr>
        <w:t>项目要对高噪音设备采取减震、消音、隔音等措施，确保厂界噪声满足《工业企业厂界环境噪声排放标准》（</w:t>
      </w:r>
      <w:r>
        <w:rPr>
          <w:rFonts w:eastAsia="仿宋_GB2312" w:hint="eastAsia"/>
          <w:color w:val="000000" w:themeColor="text1"/>
          <w:sz w:val="32"/>
          <w:szCs w:val="32"/>
        </w:rPr>
        <w:t>GB12348-2008</w:t>
      </w: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类功能区标准要求。</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5.</w:t>
      </w:r>
      <w:r>
        <w:rPr>
          <w:rFonts w:eastAsia="仿宋_GB2312" w:hint="eastAsia"/>
          <w:color w:val="000000" w:themeColor="text1"/>
          <w:sz w:val="32"/>
          <w:szCs w:val="32"/>
        </w:rPr>
        <w:t>加强环保宣传教育，制定环保管</w:t>
      </w:r>
      <w:r>
        <w:rPr>
          <w:rFonts w:eastAsia="仿宋_GB2312" w:hint="eastAsia"/>
          <w:color w:val="000000" w:themeColor="text1"/>
          <w:sz w:val="32"/>
          <w:szCs w:val="32"/>
        </w:rPr>
        <w:t>理制度，严格落实环评报告表提出的环境管理要求及监测计划。有组织排气筒须按规范要</w:t>
      </w:r>
      <w:r>
        <w:rPr>
          <w:rFonts w:eastAsia="仿宋_GB2312" w:hint="eastAsia"/>
          <w:color w:val="000000" w:themeColor="text1"/>
          <w:sz w:val="32"/>
          <w:szCs w:val="32"/>
        </w:rPr>
        <w:lastRenderedPageBreak/>
        <w:t>求设置永久性监测采样孔和采样平台。凡符合在线监测安装要求的必须安装在线监控设施。</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6.</w:t>
      </w:r>
      <w:r>
        <w:rPr>
          <w:rFonts w:eastAsia="仿宋_GB2312" w:hint="eastAsia"/>
          <w:color w:val="000000" w:themeColor="text1"/>
          <w:sz w:val="32"/>
          <w:szCs w:val="32"/>
        </w:rPr>
        <w:t>加强环境风险防范措施。根据环境风险评价、环境应急预案和厂区实际现状，建设相配套应急装备和监测仪器，在非事故状态下不得占用，并定期进行维护保养；加强环境风险管理，对风险评价实行动态管理，保证事故发生时立即进入应急状态，确保环境安全。定期开展环境风险应急培训和演练，切实加强事故应急处理和防范能力。健全环境应急指挥系统，建立与所在区域的风险应急联动机制</w:t>
      </w:r>
      <w:r>
        <w:rPr>
          <w:rFonts w:eastAsia="仿宋_GB2312" w:hint="eastAsia"/>
          <w:color w:val="000000" w:themeColor="text1"/>
          <w:sz w:val="32"/>
          <w:szCs w:val="32"/>
        </w:rPr>
        <w:t>。</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7.</w:t>
      </w:r>
      <w:r>
        <w:rPr>
          <w:rFonts w:eastAsia="仿宋_GB2312" w:hint="eastAsia"/>
          <w:color w:val="000000" w:themeColor="text1"/>
          <w:sz w:val="32"/>
          <w:szCs w:val="32"/>
        </w:rPr>
        <w:t>该项目如发生环境信访事件，影响周边环境质量，经查实须立即停产整改。</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四</w:t>
      </w:r>
      <w:r>
        <w:rPr>
          <w:rFonts w:eastAsia="仿宋_GB2312" w:hint="eastAsia"/>
          <w:color w:val="000000" w:themeColor="text1"/>
          <w:sz w:val="32"/>
          <w:szCs w:val="32"/>
        </w:rPr>
        <w:t>、项目建成后，主要污染物排放量应控制在该项目确认的总量控制指标之内。严格按照《排污许可管理条例》及《排污许可分类管理名录》等相关要求，在发生实际排污行为之前，做好排污许可证申领工作。</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五</w:t>
      </w:r>
      <w:r>
        <w:rPr>
          <w:rFonts w:eastAsia="仿宋_GB2312" w:hint="eastAsia"/>
          <w:color w:val="000000" w:themeColor="text1"/>
          <w:sz w:val="32"/>
          <w:szCs w:val="32"/>
        </w:rPr>
        <w:t>、严格按照《关于印发</w:t>
      </w:r>
      <w:r>
        <w:rPr>
          <w:rFonts w:eastAsia="仿宋_GB2312" w:hint="eastAsia"/>
          <w:color w:val="000000" w:themeColor="text1"/>
          <w:sz w:val="32"/>
          <w:szCs w:val="32"/>
        </w:rPr>
        <w:t>&lt;</w:t>
      </w:r>
      <w:r>
        <w:rPr>
          <w:rFonts w:eastAsia="仿宋_GB2312" w:hint="eastAsia"/>
          <w:color w:val="000000" w:themeColor="text1"/>
          <w:sz w:val="32"/>
          <w:szCs w:val="32"/>
        </w:rPr>
        <w:t>污染影响类建设项目重大变动清单（试行）</w:t>
      </w:r>
      <w:r>
        <w:rPr>
          <w:rFonts w:eastAsia="仿宋_GB2312" w:hint="eastAsia"/>
          <w:color w:val="000000" w:themeColor="text1"/>
          <w:sz w:val="32"/>
          <w:szCs w:val="32"/>
        </w:rPr>
        <w:t>&gt;</w:t>
      </w:r>
      <w:r>
        <w:rPr>
          <w:rFonts w:eastAsia="仿宋_GB2312" w:hint="eastAsia"/>
          <w:color w:val="000000" w:themeColor="text1"/>
          <w:sz w:val="32"/>
          <w:szCs w:val="32"/>
        </w:rPr>
        <w:t>的通知》（环办环评函〔</w:t>
      </w:r>
      <w:r>
        <w:rPr>
          <w:rFonts w:eastAsia="仿宋_GB2312" w:hint="eastAsia"/>
          <w:color w:val="000000" w:themeColor="text1"/>
          <w:sz w:val="32"/>
          <w:szCs w:val="32"/>
        </w:rPr>
        <w:t>2020</w:t>
      </w:r>
      <w:r>
        <w:rPr>
          <w:rFonts w:eastAsia="仿宋_GB2312" w:hint="eastAsia"/>
          <w:color w:val="000000" w:themeColor="text1"/>
          <w:sz w:val="32"/>
          <w:szCs w:val="32"/>
        </w:rPr>
        <w:t>〕</w:t>
      </w:r>
      <w:r>
        <w:rPr>
          <w:rFonts w:eastAsia="仿宋_GB2312" w:hint="eastAsia"/>
          <w:color w:val="000000" w:themeColor="text1"/>
          <w:sz w:val="32"/>
          <w:szCs w:val="32"/>
        </w:rPr>
        <w:t>688</w:t>
      </w:r>
      <w:r>
        <w:rPr>
          <w:rFonts w:eastAsia="仿宋_GB2312" w:hint="eastAsia"/>
          <w:color w:val="000000" w:themeColor="text1"/>
          <w:sz w:val="32"/>
          <w:szCs w:val="32"/>
        </w:rPr>
        <w:t>号）》及原环境保护部《关于印发环评管理中部分行业建设项目重大变动清单的通知》（环办〔</w:t>
      </w:r>
      <w:r>
        <w:rPr>
          <w:rFonts w:eastAsia="仿宋_GB2312" w:hint="eastAsia"/>
          <w:color w:val="000000" w:themeColor="text1"/>
          <w:sz w:val="32"/>
          <w:szCs w:val="32"/>
        </w:rPr>
        <w:t>2015</w:t>
      </w:r>
      <w:r>
        <w:rPr>
          <w:rFonts w:eastAsia="仿宋_GB2312" w:hint="eastAsia"/>
          <w:color w:val="000000" w:themeColor="text1"/>
          <w:sz w:val="32"/>
          <w:szCs w:val="32"/>
        </w:rPr>
        <w:t>〕</w:t>
      </w:r>
      <w:r>
        <w:rPr>
          <w:rFonts w:eastAsia="仿宋_GB2312" w:hint="eastAsia"/>
          <w:color w:val="000000" w:themeColor="text1"/>
          <w:sz w:val="32"/>
          <w:szCs w:val="32"/>
        </w:rPr>
        <w:t>52</w:t>
      </w:r>
      <w:r>
        <w:rPr>
          <w:rFonts w:eastAsia="仿宋_GB2312" w:hint="eastAsia"/>
          <w:color w:val="000000" w:themeColor="text1"/>
          <w:sz w:val="32"/>
          <w:szCs w:val="32"/>
        </w:rPr>
        <w:t>号）有关要求，若该建设项目的规模、地点、生产工艺或</w:t>
      </w:r>
      <w:r>
        <w:rPr>
          <w:rFonts w:eastAsia="仿宋_GB2312" w:hint="eastAsia"/>
          <w:color w:val="000000" w:themeColor="text1"/>
          <w:sz w:val="32"/>
          <w:szCs w:val="32"/>
        </w:rPr>
        <w:t>者环境保护措施等发生清单中所列重大变动的，应重新报批环评文件。若项目在验收时所执行的排放标准发生变化，必须按新排放标准进行自主验收。</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六</w:t>
      </w:r>
      <w:r>
        <w:rPr>
          <w:rFonts w:eastAsia="仿宋_GB2312" w:hint="eastAsia"/>
          <w:color w:val="000000" w:themeColor="text1"/>
          <w:sz w:val="32"/>
          <w:szCs w:val="32"/>
        </w:rPr>
        <w:t>、项目建设须执行配套的环境保护设施与主体工程同时设计、同时施工、同时投产使用的“三同时”制度。项目竣工后，须按规定程序进行竣工环境保护验收。经验收合格后，项目方可投入生产或者使用。</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七</w:t>
      </w:r>
      <w:r>
        <w:rPr>
          <w:rFonts w:eastAsia="仿宋_GB2312" w:hint="eastAsia"/>
          <w:color w:val="000000" w:themeColor="text1"/>
          <w:sz w:val="32"/>
          <w:szCs w:val="32"/>
        </w:rPr>
        <w:t>、你公司应当对施工期、运营期的环保设施与生产设施一起开展安全风险辩识管理。</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八</w:t>
      </w:r>
      <w:r>
        <w:rPr>
          <w:rFonts w:eastAsia="仿宋_GB2312" w:hint="eastAsia"/>
          <w:color w:val="000000" w:themeColor="text1"/>
          <w:sz w:val="32"/>
          <w:szCs w:val="32"/>
        </w:rPr>
        <w:t>、索镇人民政府、桓台县生态环境保护综合执法大队负责该项目日常环境监察工作。</w:t>
      </w:r>
    </w:p>
    <w:p w:rsidR="008D1550" w:rsidRDefault="008D1550" w:rsidP="00200FAB">
      <w:pPr>
        <w:adjustRightInd w:val="0"/>
        <w:snapToGrid w:val="0"/>
        <w:spacing w:line="560" w:lineRule="exact"/>
        <w:ind w:firstLineChars="200" w:firstLine="640"/>
        <w:rPr>
          <w:rFonts w:eastAsia="仿宋_GB2312"/>
          <w:color w:val="000000" w:themeColor="text1"/>
          <w:sz w:val="32"/>
          <w:szCs w:val="32"/>
        </w:rPr>
      </w:pPr>
    </w:p>
    <w:p w:rsidR="008D1550" w:rsidRDefault="008D1550" w:rsidP="00200FAB">
      <w:pPr>
        <w:pStyle w:val="2"/>
        <w:spacing w:line="560" w:lineRule="exact"/>
      </w:pP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 xml:space="preserve">                 </w:t>
      </w:r>
      <w:r>
        <w:rPr>
          <w:rFonts w:eastAsia="仿宋_GB2312" w:hint="eastAsia"/>
          <w:color w:val="000000" w:themeColor="text1"/>
          <w:sz w:val="32"/>
          <w:szCs w:val="32"/>
        </w:rPr>
        <w:t xml:space="preserve">     </w:t>
      </w:r>
      <w:r>
        <w:rPr>
          <w:rFonts w:eastAsia="仿宋_GB2312" w:hint="eastAsia"/>
          <w:color w:val="000000" w:themeColor="text1"/>
          <w:sz w:val="32"/>
          <w:szCs w:val="32"/>
        </w:rPr>
        <w:t>淄博市生态环境局桓台分局</w:t>
      </w:r>
    </w:p>
    <w:p w:rsidR="008D1550" w:rsidRDefault="005D60F9" w:rsidP="00200FAB">
      <w:pPr>
        <w:adjustRightInd w:val="0"/>
        <w:snapToGrid w:val="0"/>
        <w:spacing w:line="560" w:lineRule="exact"/>
        <w:ind w:firstLineChars="200" w:firstLine="640"/>
        <w:rPr>
          <w:rFonts w:eastAsia="仿宋_GB2312"/>
          <w:color w:val="000000" w:themeColor="text1"/>
          <w:sz w:val="32"/>
          <w:szCs w:val="32"/>
        </w:rPr>
      </w:pPr>
      <w:bookmarkStart w:id="0" w:name="_GoBack"/>
      <w:bookmarkEnd w:id="0"/>
      <w:r>
        <w:rPr>
          <w:rFonts w:eastAsia="仿宋_GB2312" w:hint="eastAsia"/>
          <w:color w:val="000000" w:themeColor="text1"/>
          <w:sz w:val="32"/>
          <w:szCs w:val="32"/>
        </w:rPr>
        <w:t xml:space="preserve">    </w:t>
      </w:r>
      <w:r w:rsidR="002B5F63">
        <w:rPr>
          <w:rFonts w:eastAsia="仿宋_GB2312" w:hint="eastAsia"/>
          <w:color w:val="000000" w:themeColor="text1"/>
          <w:sz w:val="32"/>
          <w:szCs w:val="32"/>
        </w:rPr>
        <w:t xml:space="preserve">                      </w:t>
      </w:r>
      <w:r>
        <w:rPr>
          <w:rFonts w:eastAsia="仿宋_GB2312" w:hint="eastAsia"/>
          <w:color w:val="000000" w:themeColor="text1"/>
          <w:sz w:val="32"/>
          <w:szCs w:val="32"/>
        </w:rPr>
        <w:t xml:space="preserve"> 2023</w:t>
      </w:r>
      <w:r>
        <w:rPr>
          <w:rFonts w:eastAsia="仿宋_GB2312" w:hint="eastAsia"/>
          <w:color w:val="000000" w:themeColor="text1"/>
          <w:sz w:val="32"/>
          <w:szCs w:val="32"/>
        </w:rPr>
        <w:t>年</w:t>
      </w:r>
      <w:r>
        <w:rPr>
          <w:rFonts w:eastAsia="仿宋_GB2312" w:hint="eastAsia"/>
          <w:color w:val="000000" w:themeColor="text1"/>
          <w:sz w:val="32"/>
          <w:szCs w:val="32"/>
        </w:rPr>
        <w:t>7</w:t>
      </w:r>
      <w:r>
        <w:rPr>
          <w:rFonts w:eastAsia="仿宋_GB2312" w:hint="eastAsia"/>
          <w:color w:val="000000" w:themeColor="text1"/>
          <w:sz w:val="32"/>
          <w:szCs w:val="32"/>
        </w:rPr>
        <w:t>月</w:t>
      </w:r>
      <w:r>
        <w:rPr>
          <w:rFonts w:eastAsia="仿宋_GB2312" w:hint="eastAsia"/>
          <w:color w:val="000000" w:themeColor="text1"/>
          <w:sz w:val="32"/>
          <w:szCs w:val="32"/>
        </w:rPr>
        <w:t>1</w:t>
      </w:r>
      <w:r>
        <w:rPr>
          <w:rFonts w:eastAsia="仿宋_GB2312" w:hint="eastAsia"/>
          <w:color w:val="000000" w:themeColor="text1"/>
          <w:sz w:val="32"/>
          <w:szCs w:val="32"/>
        </w:rPr>
        <w:t>8</w:t>
      </w:r>
      <w:r>
        <w:rPr>
          <w:rFonts w:eastAsia="仿宋_GB2312" w:hint="eastAsia"/>
          <w:color w:val="000000" w:themeColor="text1"/>
          <w:sz w:val="32"/>
          <w:szCs w:val="32"/>
        </w:rPr>
        <w:t>日</w:t>
      </w:r>
    </w:p>
    <w:sectPr w:rsidR="008D1550" w:rsidSect="00200FAB">
      <w:pgSz w:w="11906" w:h="16838"/>
      <w:pgMar w:top="2098" w:right="1531" w:bottom="209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0F9" w:rsidRDefault="005D60F9" w:rsidP="002B5F63">
      <w:r>
        <w:separator/>
      </w:r>
    </w:p>
  </w:endnote>
  <w:endnote w:type="continuationSeparator" w:id="1">
    <w:p w:rsidR="005D60F9" w:rsidRDefault="005D60F9" w:rsidP="002B5F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0F9" w:rsidRDefault="005D60F9" w:rsidP="002B5F63">
      <w:r>
        <w:separator/>
      </w:r>
    </w:p>
  </w:footnote>
  <w:footnote w:type="continuationSeparator" w:id="1">
    <w:p w:rsidR="005D60F9" w:rsidRDefault="005D60F9" w:rsidP="002B5F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MxNmUxOGZiMTI0ZDU5YmMwMTVlOWIwODljOGFiMDMifQ=="/>
  </w:docVars>
  <w:rsids>
    <w:rsidRoot w:val="002727DD"/>
    <w:rsid w:val="00013263"/>
    <w:rsid w:val="00024099"/>
    <w:rsid w:val="00025566"/>
    <w:rsid w:val="00030897"/>
    <w:rsid w:val="0004484B"/>
    <w:rsid w:val="00046725"/>
    <w:rsid w:val="00062DA5"/>
    <w:rsid w:val="000B3322"/>
    <w:rsid w:val="000C2C51"/>
    <w:rsid w:val="000F518D"/>
    <w:rsid w:val="000F5DBE"/>
    <w:rsid w:val="00115D66"/>
    <w:rsid w:val="00121098"/>
    <w:rsid w:val="00126D26"/>
    <w:rsid w:val="00135954"/>
    <w:rsid w:val="00137BC0"/>
    <w:rsid w:val="00144FA6"/>
    <w:rsid w:val="00145CED"/>
    <w:rsid w:val="001623E5"/>
    <w:rsid w:val="0017683C"/>
    <w:rsid w:val="00180E28"/>
    <w:rsid w:val="00181FE8"/>
    <w:rsid w:val="001871EA"/>
    <w:rsid w:val="00200FAB"/>
    <w:rsid w:val="00205CD8"/>
    <w:rsid w:val="002626C3"/>
    <w:rsid w:val="002727DD"/>
    <w:rsid w:val="00272A69"/>
    <w:rsid w:val="0027743F"/>
    <w:rsid w:val="00282272"/>
    <w:rsid w:val="002875EB"/>
    <w:rsid w:val="00287A7C"/>
    <w:rsid w:val="002A1109"/>
    <w:rsid w:val="002A6C99"/>
    <w:rsid w:val="002A7671"/>
    <w:rsid w:val="002B5F63"/>
    <w:rsid w:val="002B6F7B"/>
    <w:rsid w:val="002C0E31"/>
    <w:rsid w:val="002C3EF1"/>
    <w:rsid w:val="002D1048"/>
    <w:rsid w:val="002D36F5"/>
    <w:rsid w:val="002E25B2"/>
    <w:rsid w:val="002E4C0D"/>
    <w:rsid w:val="002F467F"/>
    <w:rsid w:val="00300402"/>
    <w:rsid w:val="0030734E"/>
    <w:rsid w:val="003151BD"/>
    <w:rsid w:val="003301CA"/>
    <w:rsid w:val="00331DF6"/>
    <w:rsid w:val="00336DD3"/>
    <w:rsid w:val="00344B25"/>
    <w:rsid w:val="00354720"/>
    <w:rsid w:val="00393616"/>
    <w:rsid w:val="003B0CAD"/>
    <w:rsid w:val="003C5B74"/>
    <w:rsid w:val="003C7588"/>
    <w:rsid w:val="003C7A88"/>
    <w:rsid w:val="00400404"/>
    <w:rsid w:val="00433BBD"/>
    <w:rsid w:val="00436340"/>
    <w:rsid w:val="00444219"/>
    <w:rsid w:val="0045411E"/>
    <w:rsid w:val="004631C3"/>
    <w:rsid w:val="00471258"/>
    <w:rsid w:val="004A2C1A"/>
    <w:rsid w:val="004A6CF4"/>
    <w:rsid w:val="004C376C"/>
    <w:rsid w:val="004E036F"/>
    <w:rsid w:val="004E3604"/>
    <w:rsid w:val="005017D8"/>
    <w:rsid w:val="00506D09"/>
    <w:rsid w:val="0051362F"/>
    <w:rsid w:val="005137C3"/>
    <w:rsid w:val="00532A1A"/>
    <w:rsid w:val="0053526B"/>
    <w:rsid w:val="00540541"/>
    <w:rsid w:val="00542219"/>
    <w:rsid w:val="005959C7"/>
    <w:rsid w:val="0059708B"/>
    <w:rsid w:val="005B36D6"/>
    <w:rsid w:val="005D60F9"/>
    <w:rsid w:val="005F4EB6"/>
    <w:rsid w:val="006004B5"/>
    <w:rsid w:val="00607356"/>
    <w:rsid w:val="0061563E"/>
    <w:rsid w:val="00616683"/>
    <w:rsid w:val="00623888"/>
    <w:rsid w:val="00682681"/>
    <w:rsid w:val="006B2728"/>
    <w:rsid w:val="006B2754"/>
    <w:rsid w:val="006C4A22"/>
    <w:rsid w:val="006C68AE"/>
    <w:rsid w:val="006C744F"/>
    <w:rsid w:val="006F3BE4"/>
    <w:rsid w:val="00737683"/>
    <w:rsid w:val="00743E33"/>
    <w:rsid w:val="0075002F"/>
    <w:rsid w:val="00760133"/>
    <w:rsid w:val="007633AB"/>
    <w:rsid w:val="00763886"/>
    <w:rsid w:val="0078258B"/>
    <w:rsid w:val="007D008F"/>
    <w:rsid w:val="007D5094"/>
    <w:rsid w:val="007E175C"/>
    <w:rsid w:val="0080295B"/>
    <w:rsid w:val="008055F1"/>
    <w:rsid w:val="00815B15"/>
    <w:rsid w:val="008332A6"/>
    <w:rsid w:val="00863B0F"/>
    <w:rsid w:val="00880C9E"/>
    <w:rsid w:val="008937E5"/>
    <w:rsid w:val="008A1AFF"/>
    <w:rsid w:val="008B7986"/>
    <w:rsid w:val="008C5E52"/>
    <w:rsid w:val="008D1550"/>
    <w:rsid w:val="008D41C7"/>
    <w:rsid w:val="008D5E6B"/>
    <w:rsid w:val="008F17E0"/>
    <w:rsid w:val="009218E8"/>
    <w:rsid w:val="00925641"/>
    <w:rsid w:val="00941031"/>
    <w:rsid w:val="00946376"/>
    <w:rsid w:val="009608CC"/>
    <w:rsid w:val="00963486"/>
    <w:rsid w:val="0099469A"/>
    <w:rsid w:val="009A2C69"/>
    <w:rsid w:val="009C31ED"/>
    <w:rsid w:val="009C7487"/>
    <w:rsid w:val="00A017D2"/>
    <w:rsid w:val="00A26525"/>
    <w:rsid w:val="00A33588"/>
    <w:rsid w:val="00A67C91"/>
    <w:rsid w:val="00A72246"/>
    <w:rsid w:val="00A81AFD"/>
    <w:rsid w:val="00AB4414"/>
    <w:rsid w:val="00AB5B90"/>
    <w:rsid w:val="00AC3463"/>
    <w:rsid w:val="00AE2997"/>
    <w:rsid w:val="00B03634"/>
    <w:rsid w:val="00B5443C"/>
    <w:rsid w:val="00B544D1"/>
    <w:rsid w:val="00B61F52"/>
    <w:rsid w:val="00B624BE"/>
    <w:rsid w:val="00B8067E"/>
    <w:rsid w:val="00B83BDE"/>
    <w:rsid w:val="00BA7E2B"/>
    <w:rsid w:val="00BB2615"/>
    <w:rsid w:val="00BC6A9A"/>
    <w:rsid w:val="00BE13AF"/>
    <w:rsid w:val="00BF39A1"/>
    <w:rsid w:val="00C232B2"/>
    <w:rsid w:val="00C46F8F"/>
    <w:rsid w:val="00C55F12"/>
    <w:rsid w:val="00C741F1"/>
    <w:rsid w:val="00CA553B"/>
    <w:rsid w:val="00CB06F4"/>
    <w:rsid w:val="00CC37EC"/>
    <w:rsid w:val="00CC717C"/>
    <w:rsid w:val="00CE0A4B"/>
    <w:rsid w:val="00CE22E9"/>
    <w:rsid w:val="00CF75FC"/>
    <w:rsid w:val="00D01394"/>
    <w:rsid w:val="00D1095A"/>
    <w:rsid w:val="00D12738"/>
    <w:rsid w:val="00D17C84"/>
    <w:rsid w:val="00D259AE"/>
    <w:rsid w:val="00D334B4"/>
    <w:rsid w:val="00D50084"/>
    <w:rsid w:val="00D5567A"/>
    <w:rsid w:val="00D71A61"/>
    <w:rsid w:val="00D8331B"/>
    <w:rsid w:val="00D84D74"/>
    <w:rsid w:val="00DA5315"/>
    <w:rsid w:val="00DB1689"/>
    <w:rsid w:val="00DB73D3"/>
    <w:rsid w:val="00DE7B5B"/>
    <w:rsid w:val="00DF3E08"/>
    <w:rsid w:val="00DF5A8D"/>
    <w:rsid w:val="00E05D26"/>
    <w:rsid w:val="00E35839"/>
    <w:rsid w:val="00E56A00"/>
    <w:rsid w:val="00E81100"/>
    <w:rsid w:val="00E83F2C"/>
    <w:rsid w:val="00E87A2B"/>
    <w:rsid w:val="00E91BFF"/>
    <w:rsid w:val="00E9234A"/>
    <w:rsid w:val="00E961BF"/>
    <w:rsid w:val="00EF478D"/>
    <w:rsid w:val="00EF7F83"/>
    <w:rsid w:val="00F14057"/>
    <w:rsid w:val="00F1783B"/>
    <w:rsid w:val="00F2674C"/>
    <w:rsid w:val="00F30E83"/>
    <w:rsid w:val="00F5558B"/>
    <w:rsid w:val="00F758EF"/>
    <w:rsid w:val="00F77D24"/>
    <w:rsid w:val="00FB2A3C"/>
    <w:rsid w:val="00FC6F0F"/>
    <w:rsid w:val="00FD1877"/>
    <w:rsid w:val="00FF7BD5"/>
    <w:rsid w:val="064A08FC"/>
    <w:rsid w:val="06D85FC3"/>
    <w:rsid w:val="081D177B"/>
    <w:rsid w:val="101250B0"/>
    <w:rsid w:val="1043399A"/>
    <w:rsid w:val="176F6ECD"/>
    <w:rsid w:val="1DA43873"/>
    <w:rsid w:val="1ED001E6"/>
    <w:rsid w:val="1ED66745"/>
    <w:rsid w:val="1F501AAA"/>
    <w:rsid w:val="1FC42E9C"/>
    <w:rsid w:val="20C1476D"/>
    <w:rsid w:val="212E79D0"/>
    <w:rsid w:val="22C57FA3"/>
    <w:rsid w:val="2A6A3021"/>
    <w:rsid w:val="2B6D33BD"/>
    <w:rsid w:val="2E34404E"/>
    <w:rsid w:val="2F255B7C"/>
    <w:rsid w:val="320636AD"/>
    <w:rsid w:val="33150BE9"/>
    <w:rsid w:val="374F3E58"/>
    <w:rsid w:val="3C5E53AF"/>
    <w:rsid w:val="4506627E"/>
    <w:rsid w:val="4BB05413"/>
    <w:rsid w:val="4FA90530"/>
    <w:rsid w:val="530B1E3B"/>
    <w:rsid w:val="5729771A"/>
    <w:rsid w:val="5C204305"/>
    <w:rsid w:val="5C4C0551"/>
    <w:rsid w:val="5C5001D0"/>
    <w:rsid w:val="5CB928DA"/>
    <w:rsid w:val="5D1121FA"/>
    <w:rsid w:val="61CF3891"/>
    <w:rsid w:val="65C545FC"/>
    <w:rsid w:val="6AD14E1A"/>
    <w:rsid w:val="6BF62E67"/>
    <w:rsid w:val="6F3A3E15"/>
    <w:rsid w:val="70B13113"/>
    <w:rsid w:val="7834760B"/>
    <w:rsid w:val="7A2855F3"/>
    <w:rsid w:val="7BC3586E"/>
    <w:rsid w:val="7BCE16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D155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8D1550"/>
    <w:pPr>
      <w:ind w:firstLineChars="200" w:firstLine="420"/>
    </w:pPr>
    <w:rPr>
      <w:rFonts w:eastAsiaTheme="minorEastAsia" w:cstheme="minorBidi"/>
      <w:szCs w:val="20"/>
    </w:rPr>
  </w:style>
  <w:style w:type="paragraph" w:styleId="a3">
    <w:name w:val="Body Text Indent"/>
    <w:basedOn w:val="a"/>
    <w:next w:val="15"/>
    <w:uiPriority w:val="99"/>
    <w:semiHidden/>
    <w:unhideWhenUsed/>
    <w:qFormat/>
    <w:rsid w:val="008D1550"/>
    <w:pPr>
      <w:spacing w:after="120"/>
      <w:ind w:leftChars="200" w:left="420"/>
    </w:pPr>
  </w:style>
  <w:style w:type="paragraph" w:customStyle="1" w:styleId="15">
    <w:name w:val="样式 正文文本缩进 + 行距: 1.5 倍行距"/>
    <w:basedOn w:val="1"/>
    <w:next w:val="a"/>
    <w:qFormat/>
    <w:rsid w:val="008D1550"/>
    <w:pPr>
      <w:spacing w:line="360" w:lineRule="auto"/>
      <w:ind w:leftChars="32" w:left="90" w:firstLineChars="200" w:firstLine="560"/>
    </w:pPr>
    <w:rPr>
      <w:rFonts w:cs="宋体"/>
    </w:rPr>
  </w:style>
  <w:style w:type="paragraph" w:customStyle="1" w:styleId="1">
    <w:name w:val="正文文本缩进1"/>
    <w:basedOn w:val="a"/>
    <w:next w:val="15"/>
    <w:qFormat/>
    <w:rsid w:val="008D1550"/>
    <w:pPr>
      <w:spacing w:after="120"/>
      <w:ind w:left="420"/>
    </w:pPr>
    <w:rPr>
      <w:szCs w:val="21"/>
    </w:rPr>
  </w:style>
  <w:style w:type="paragraph" w:styleId="a4">
    <w:name w:val="Block Text"/>
    <w:basedOn w:val="a"/>
    <w:qFormat/>
    <w:rsid w:val="008D1550"/>
    <w:pPr>
      <w:ind w:leftChars="257" w:left="540" w:rightChars="183" w:right="384"/>
    </w:pPr>
    <w:rPr>
      <w:rFonts w:eastAsia="黑体"/>
      <w:b/>
      <w:bCs/>
      <w:sz w:val="32"/>
    </w:rPr>
  </w:style>
  <w:style w:type="paragraph" w:styleId="a5">
    <w:name w:val="footer"/>
    <w:basedOn w:val="a"/>
    <w:link w:val="Char"/>
    <w:uiPriority w:val="99"/>
    <w:unhideWhenUsed/>
    <w:qFormat/>
    <w:rsid w:val="008D1550"/>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8D1550"/>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sid w:val="008D1550"/>
    <w:rPr>
      <w:rFonts w:ascii="宋体" w:eastAsia="宋体" w:hAnsi="宋体" w:hint="eastAsia"/>
      <w:color w:val="000000"/>
      <w:sz w:val="24"/>
      <w:szCs w:val="24"/>
    </w:rPr>
  </w:style>
  <w:style w:type="character" w:customStyle="1" w:styleId="fontstyle21">
    <w:name w:val="fontstyle21"/>
    <w:basedOn w:val="a0"/>
    <w:qFormat/>
    <w:rsid w:val="008D1550"/>
    <w:rPr>
      <w:rFonts w:ascii="TimesNewRomanPSMT" w:hAnsi="TimesNewRomanPSMT" w:hint="default"/>
      <w:color w:val="000000"/>
      <w:sz w:val="24"/>
      <w:szCs w:val="24"/>
    </w:rPr>
  </w:style>
  <w:style w:type="character" w:customStyle="1" w:styleId="Char0">
    <w:name w:val="页眉 Char"/>
    <w:basedOn w:val="a0"/>
    <w:link w:val="a6"/>
    <w:uiPriority w:val="99"/>
    <w:semiHidden/>
    <w:qFormat/>
    <w:rsid w:val="008D1550"/>
    <w:rPr>
      <w:rFonts w:ascii="Times New Roman" w:eastAsia="宋体" w:hAnsi="Times New Roman" w:cs="Times New Roman"/>
      <w:sz w:val="18"/>
      <w:szCs w:val="18"/>
    </w:rPr>
  </w:style>
  <w:style w:type="character" w:customStyle="1" w:styleId="Char">
    <w:name w:val="页脚 Char"/>
    <w:basedOn w:val="a0"/>
    <w:link w:val="a5"/>
    <w:uiPriority w:val="99"/>
    <w:semiHidden/>
    <w:qFormat/>
    <w:rsid w:val="008D1550"/>
    <w:rPr>
      <w:rFonts w:ascii="Times New Roman" w:eastAsia="宋体" w:hAnsi="Times New Roman" w:cs="Times New Roman"/>
      <w:sz w:val="18"/>
      <w:szCs w:val="18"/>
    </w:rPr>
  </w:style>
  <w:style w:type="paragraph" w:customStyle="1" w:styleId="CharCharCharCharCharCharCharCharChar">
    <w:name w:val="Char Char Char Char Char Char Char Char Char"/>
    <w:basedOn w:val="a"/>
    <w:qFormat/>
    <w:rsid w:val="008D1550"/>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qFormat/>
    <w:rsid w:val="008D1550"/>
    <w:rPr>
      <w:rFonts w:eastAsia="Times New Roman"/>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349</Words>
  <Characters>1991</Characters>
  <Application>Microsoft Office Word</Application>
  <DocSecurity>0</DocSecurity>
  <Lines>16</Lines>
  <Paragraphs>4</Paragraphs>
  <ScaleCrop>false</ScaleCrop>
  <Company>HTXZFWZX</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huanbj003</dc:creator>
  <cp:lastModifiedBy>huanbj003</cp:lastModifiedBy>
  <cp:revision>9</cp:revision>
  <cp:lastPrinted>2023-07-24T06:12:00Z</cp:lastPrinted>
  <dcterms:created xsi:type="dcterms:W3CDTF">2017-06-19T02:02:00Z</dcterms:created>
  <dcterms:modified xsi:type="dcterms:W3CDTF">2023-07-24T06:13:00Z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8684B65A389642BCB01CB7673C804BD1_12</vt:lpwstr>
  </property>
</Properties>
</file>