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EB" w:rsidRDefault="00EC6EEB">
      <w:pPr>
        <w:pStyle w:val="a5"/>
        <w:spacing w:line="560" w:lineRule="exact"/>
        <w:ind w:firstLine="480"/>
        <w:jc w:val="center"/>
        <w:rPr>
          <w:rFonts w:eastAsia="宋体"/>
          <w:color w:val="000000" w:themeColor="text1"/>
          <w:szCs w:val="32"/>
        </w:rPr>
      </w:pPr>
    </w:p>
    <w:p w:rsidR="00EC6EEB" w:rsidRDefault="00EC6EEB">
      <w:pPr>
        <w:pStyle w:val="a5"/>
        <w:spacing w:line="560" w:lineRule="exact"/>
        <w:jc w:val="center"/>
        <w:rPr>
          <w:rFonts w:eastAsia="宋体"/>
          <w:color w:val="000000" w:themeColor="text1"/>
          <w:szCs w:val="32"/>
        </w:rPr>
      </w:pPr>
    </w:p>
    <w:p w:rsidR="00EC6EEB" w:rsidRDefault="00EC6EEB">
      <w:pPr>
        <w:pStyle w:val="a5"/>
        <w:spacing w:line="560" w:lineRule="exact"/>
        <w:jc w:val="center"/>
        <w:rPr>
          <w:rFonts w:eastAsia="宋体"/>
          <w:color w:val="000000" w:themeColor="text1"/>
          <w:szCs w:val="32"/>
        </w:rPr>
      </w:pPr>
    </w:p>
    <w:p w:rsidR="00EC6EEB" w:rsidRDefault="00EC6EEB">
      <w:pPr>
        <w:pStyle w:val="a5"/>
        <w:spacing w:line="560" w:lineRule="exact"/>
        <w:ind w:leftChars="0" w:left="614" w:hangingChars="192" w:hanging="614"/>
        <w:rPr>
          <w:rFonts w:eastAsia="宋体"/>
          <w:b w:val="0"/>
          <w:color w:val="000000" w:themeColor="text1"/>
          <w:szCs w:val="32"/>
        </w:rPr>
      </w:pPr>
    </w:p>
    <w:p w:rsidR="00EC6EEB" w:rsidRDefault="00EC6EEB">
      <w:pPr>
        <w:pStyle w:val="a5"/>
        <w:spacing w:line="560" w:lineRule="exact"/>
        <w:ind w:leftChars="0" w:left="614" w:hangingChars="192" w:hanging="614"/>
        <w:rPr>
          <w:rFonts w:eastAsia="宋体"/>
          <w:b w:val="0"/>
          <w:color w:val="000000" w:themeColor="text1"/>
          <w:szCs w:val="32"/>
        </w:rPr>
      </w:pPr>
    </w:p>
    <w:p w:rsidR="00EC6EEB" w:rsidRDefault="00EC6EEB">
      <w:pPr>
        <w:pStyle w:val="a5"/>
        <w:spacing w:line="560" w:lineRule="exact"/>
        <w:ind w:leftChars="0" w:left="614" w:hangingChars="192" w:hanging="614"/>
        <w:rPr>
          <w:rFonts w:eastAsia="宋体"/>
          <w:b w:val="0"/>
          <w:color w:val="000000" w:themeColor="text1"/>
          <w:szCs w:val="32"/>
        </w:rPr>
      </w:pPr>
    </w:p>
    <w:p w:rsidR="00EC6EEB" w:rsidRDefault="00FA43C3">
      <w:pPr>
        <w:pStyle w:val="a5"/>
        <w:spacing w:line="560" w:lineRule="exact"/>
        <w:ind w:leftChars="0" w:left="614" w:rightChars="12" w:right="25" w:hangingChars="192" w:hanging="614"/>
        <w:rPr>
          <w:rFonts w:eastAsia="楷体"/>
          <w:b w:val="0"/>
          <w:color w:val="000000" w:themeColor="text1"/>
          <w:szCs w:val="32"/>
        </w:rPr>
      </w:pPr>
      <w:r>
        <w:rPr>
          <w:rFonts w:eastAsia="楷体"/>
          <w:b w:val="0"/>
          <w:color w:val="000000" w:themeColor="text1"/>
          <w:szCs w:val="32"/>
        </w:rPr>
        <w:t>桓环许字﹝</w:t>
      </w:r>
      <w:r>
        <w:rPr>
          <w:rFonts w:eastAsia="楷体"/>
          <w:b w:val="0"/>
          <w:color w:val="000000" w:themeColor="text1"/>
          <w:szCs w:val="32"/>
        </w:rPr>
        <w:t>2025</w:t>
      </w:r>
      <w:r>
        <w:rPr>
          <w:rFonts w:eastAsia="楷体"/>
          <w:b w:val="0"/>
          <w:color w:val="000000" w:themeColor="text1"/>
          <w:szCs w:val="32"/>
        </w:rPr>
        <w:t>﹞</w:t>
      </w:r>
      <w:r w:rsidR="006D346B">
        <w:rPr>
          <w:rFonts w:eastAsia="楷体" w:hint="eastAsia"/>
          <w:b w:val="0"/>
          <w:color w:val="000000" w:themeColor="text1"/>
          <w:szCs w:val="32"/>
        </w:rPr>
        <w:t>9</w:t>
      </w:r>
      <w:r>
        <w:rPr>
          <w:rFonts w:eastAsia="楷体"/>
          <w:b w:val="0"/>
          <w:color w:val="000000" w:themeColor="text1"/>
          <w:szCs w:val="32"/>
        </w:rPr>
        <w:t>号</w:t>
      </w:r>
      <w:r>
        <w:rPr>
          <w:rFonts w:eastAsia="楷体"/>
          <w:b w:val="0"/>
          <w:color w:val="000000" w:themeColor="text1"/>
          <w:szCs w:val="32"/>
        </w:rPr>
        <w:t xml:space="preserve">                    </w:t>
      </w:r>
      <w:r>
        <w:rPr>
          <w:rFonts w:eastAsia="楷体"/>
          <w:b w:val="0"/>
          <w:color w:val="000000" w:themeColor="text1"/>
          <w:szCs w:val="32"/>
        </w:rPr>
        <w:t>签发人：孙明文</w:t>
      </w:r>
    </w:p>
    <w:p w:rsidR="00EC6EEB" w:rsidRDefault="00EC6EEB">
      <w:pPr>
        <w:pStyle w:val="a5"/>
        <w:spacing w:line="560" w:lineRule="exact"/>
        <w:jc w:val="center"/>
        <w:rPr>
          <w:rFonts w:eastAsia="方正小标宋简体"/>
          <w:b w:val="0"/>
          <w:bCs w:val="0"/>
          <w:color w:val="000000" w:themeColor="text1"/>
          <w:szCs w:val="32"/>
        </w:rPr>
      </w:pPr>
    </w:p>
    <w:p w:rsidR="00EC6EEB" w:rsidRDefault="00FA43C3">
      <w:pPr>
        <w:pStyle w:val="a5"/>
        <w:spacing w:line="560" w:lineRule="exact"/>
        <w:ind w:leftChars="0" w:left="0" w:rightChars="0" w:right="0"/>
        <w:jc w:val="center"/>
        <w:rPr>
          <w:rFonts w:eastAsia="方正小标宋简体"/>
          <w:b w:val="0"/>
          <w:color w:val="000000" w:themeColor="text1"/>
          <w:sz w:val="44"/>
          <w:szCs w:val="32"/>
        </w:rPr>
      </w:pPr>
      <w:r>
        <w:rPr>
          <w:rFonts w:eastAsia="方正小标宋简体"/>
          <w:b w:val="0"/>
          <w:bCs w:val="0"/>
          <w:color w:val="000000" w:themeColor="text1"/>
          <w:sz w:val="44"/>
          <w:szCs w:val="32"/>
        </w:rPr>
        <w:t>关于</w:t>
      </w:r>
      <w:r>
        <w:rPr>
          <w:rFonts w:eastAsia="方正小标宋简体"/>
          <w:b w:val="0"/>
          <w:color w:val="000000" w:themeColor="text1"/>
          <w:sz w:val="44"/>
          <w:szCs w:val="32"/>
        </w:rPr>
        <w:t>山东鑫兰德能源科技有限公司钙钛矿</w:t>
      </w:r>
    </w:p>
    <w:p w:rsidR="00EC6EEB" w:rsidRDefault="00FA43C3">
      <w:pPr>
        <w:pStyle w:val="a5"/>
        <w:spacing w:line="560" w:lineRule="exact"/>
        <w:ind w:leftChars="0" w:left="0" w:rightChars="0" w:right="0"/>
        <w:jc w:val="center"/>
        <w:rPr>
          <w:rFonts w:eastAsia="方正小标宋简体"/>
          <w:b w:val="0"/>
          <w:color w:val="000000" w:themeColor="text1"/>
          <w:sz w:val="44"/>
          <w:szCs w:val="32"/>
        </w:rPr>
      </w:pPr>
      <w:r>
        <w:rPr>
          <w:rFonts w:eastAsia="方正小标宋简体"/>
          <w:b w:val="0"/>
          <w:color w:val="000000" w:themeColor="text1"/>
          <w:sz w:val="44"/>
          <w:szCs w:val="32"/>
        </w:rPr>
        <w:t>真空玻璃生产项目</w:t>
      </w:r>
      <w:r>
        <w:rPr>
          <w:rFonts w:eastAsia="方正小标宋简体"/>
          <w:b w:val="0"/>
          <w:bCs w:val="0"/>
          <w:color w:val="000000" w:themeColor="text1"/>
          <w:sz w:val="44"/>
          <w:szCs w:val="32"/>
        </w:rPr>
        <w:t>环境影响报告表的审批意见</w:t>
      </w:r>
    </w:p>
    <w:p w:rsidR="00EC6EEB" w:rsidRDefault="00EC6EEB" w:rsidP="006D346B">
      <w:pPr>
        <w:pStyle w:val="a5"/>
        <w:spacing w:line="560" w:lineRule="exact"/>
        <w:ind w:leftChars="-85" w:left="-21" w:rightChars="-159" w:right="-334" w:hangingChars="49" w:hanging="157"/>
        <w:jc w:val="left"/>
        <w:rPr>
          <w:rFonts w:eastAsia="仿宋"/>
          <w:b w:val="0"/>
          <w:bCs w:val="0"/>
          <w:color w:val="000000" w:themeColor="text1"/>
          <w:szCs w:val="32"/>
        </w:rPr>
      </w:pPr>
    </w:p>
    <w:p w:rsidR="00EC6EEB" w:rsidRDefault="00FA43C3" w:rsidP="006D346B">
      <w:pPr>
        <w:adjustRightInd w:val="0"/>
        <w:snapToGrid w:val="0"/>
        <w:spacing w:line="520" w:lineRule="exact"/>
        <w:rPr>
          <w:rFonts w:eastAsia="仿宋_GB2312"/>
          <w:sz w:val="32"/>
          <w:szCs w:val="32"/>
        </w:rPr>
      </w:pPr>
      <w:r>
        <w:rPr>
          <w:rFonts w:eastAsia="仿宋_GB2312"/>
          <w:sz w:val="32"/>
          <w:szCs w:val="32"/>
        </w:rPr>
        <w:t>山东鑫兰德能源科技有限公司：</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你单位报来《钙钛矿真空玻璃生产项目环境影响报告表》（山东腾辉生态环境工程有限公司编制）收悉。经我局党组研究，根据环评文件，提出如下审批意见：</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hint="eastAsia"/>
          <w:sz w:val="32"/>
          <w:szCs w:val="32"/>
        </w:rPr>
        <w:t>一、</w:t>
      </w:r>
      <w:r>
        <w:rPr>
          <w:rFonts w:eastAsia="仿宋_GB2312"/>
          <w:sz w:val="32"/>
          <w:szCs w:val="32"/>
        </w:rPr>
        <w:t>项目为新建项目。建设地点位于山东省淄博市桓台县果里镇张北路</w:t>
      </w:r>
      <w:r>
        <w:rPr>
          <w:rFonts w:eastAsia="仿宋_GB2312"/>
          <w:sz w:val="32"/>
          <w:szCs w:val="32"/>
        </w:rPr>
        <w:t>56</w:t>
      </w:r>
      <w:r>
        <w:rPr>
          <w:rFonts w:eastAsia="仿宋_GB2312"/>
          <w:sz w:val="32"/>
          <w:szCs w:val="32"/>
        </w:rPr>
        <w:t>号桓台县新材料产业园</w:t>
      </w:r>
      <w:r>
        <w:rPr>
          <w:rFonts w:eastAsia="仿宋_GB2312"/>
          <w:sz w:val="32"/>
          <w:szCs w:val="32"/>
        </w:rPr>
        <w:t>7</w:t>
      </w:r>
      <w:r>
        <w:rPr>
          <w:rFonts w:eastAsia="仿宋_GB2312"/>
          <w:sz w:val="32"/>
          <w:szCs w:val="32"/>
        </w:rPr>
        <w:t>号、</w:t>
      </w:r>
      <w:r>
        <w:rPr>
          <w:rFonts w:eastAsia="仿宋_GB2312"/>
          <w:sz w:val="32"/>
          <w:szCs w:val="32"/>
        </w:rPr>
        <w:t>8</w:t>
      </w:r>
      <w:r>
        <w:rPr>
          <w:rFonts w:eastAsia="仿宋_GB2312"/>
          <w:sz w:val="32"/>
          <w:szCs w:val="32"/>
        </w:rPr>
        <w:t>号厂房。租赁现有厂房，购置上料机、玻璃电烘干机、双玻合片机、丁基胶涂布机、双玻封边机等主要生产及配套设备</w:t>
      </w:r>
      <w:r>
        <w:rPr>
          <w:rFonts w:eastAsia="仿宋_GB2312"/>
          <w:sz w:val="32"/>
          <w:szCs w:val="32"/>
        </w:rPr>
        <w:t>107</w:t>
      </w:r>
      <w:r>
        <w:rPr>
          <w:rFonts w:eastAsia="仿宋_GB2312"/>
          <w:sz w:val="32"/>
          <w:szCs w:val="32"/>
        </w:rPr>
        <w:t>台（套），外购基片玻璃、丁基密封胶、</w:t>
      </w:r>
      <w:r>
        <w:rPr>
          <w:rFonts w:eastAsia="仿宋_GB2312" w:hint="eastAsia"/>
          <w:sz w:val="32"/>
          <w:szCs w:val="32"/>
        </w:rPr>
        <w:t>PO</w:t>
      </w:r>
      <w:r>
        <w:rPr>
          <w:rFonts w:eastAsia="仿宋_GB2312"/>
          <w:sz w:val="32"/>
          <w:szCs w:val="32"/>
        </w:rPr>
        <w:t>E</w:t>
      </w:r>
      <w:r>
        <w:rPr>
          <w:rFonts w:eastAsia="仿宋_GB2312"/>
          <w:sz w:val="32"/>
          <w:szCs w:val="32"/>
        </w:rPr>
        <w:t>胶膜等主要原辅材料，通过清洗烘干</w:t>
      </w:r>
      <w:r>
        <w:rPr>
          <w:rFonts w:eastAsia="仿宋_GB2312" w:hint="eastAsia"/>
          <w:sz w:val="32"/>
          <w:szCs w:val="32"/>
        </w:rPr>
        <w:t>、</w:t>
      </w:r>
      <w:r>
        <w:rPr>
          <w:rFonts w:eastAsia="仿宋_GB2312"/>
          <w:sz w:val="32"/>
          <w:szCs w:val="32"/>
        </w:rPr>
        <w:t>合片</w:t>
      </w:r>
      <w:r>
        <w:rPr>
          <w:rFonts w:eastAsia="仿宋_GB2312" w:hint="eastAsia"/>
          <w:sz w:val="32"/>
          <w:szCs w:val="32"/>
        </w:rPr>
        <w:t>、</w:t>
      </w:r>
      <w:r>
        <w:rPr>
          <w:rFonts w:eastAsia="仿宋_GB2312"/>
          <w:sz w:val="32"/>
          <w:szCs w:val="32"/>
        </w:rPr>
        <w:t>边部密封</w:t>
      </w:r>
      <w:r>
        <w:rPr>
          <w:rFonts w:eastAsia="仿宋_GB2312" w:hint="eastAsia"/>
          <w:sz w:val="32"/>
          <w:szCs w:val="32"/>
        </w:rPr>
        <w:t>、</w:t>
      </w:r>
      <w:r>
        <w:rPr>
          <w:rFonts w:eastAsia="仿宋_GB2312"/>
          <w:sz w:val="32"/>
          <w:szCs w:val="32"/>
        </w:rPr>
        <w:t>检验贴标，清洁包装等主要生产工艺</w:t>
      </w:r>
      <w:r>
        <w:rPr>
          <w:rFonts w:eastAsia="仿宋_GB2312" w:hint="eastAsia"/>
          <w:sz w:val="32"/>
          <w:szCs w:val="32"/>
        </w:rPr>
        <w:t>，</w:t>
      </w:r>
      <w:r>
        <w:rPr>
          <w:rFonts w:eastAsia="仿宋_GB2312"/>
          <w:sz w:val="32"/>
          <w:szCs w:val="32"/>
        </w:rPr>
        <w:t>可年产钙钛矿真空玻璃</w:t>
      </w:r>
      <w:r>
        <w:rPr>
          <w:rFonts w:eastAsia="仿宋_GB2312"/>
          <w:sz w:val="32"/>
          <w:szCs w:val="32"/>
        </w:rPr>
        <w:t>200</w:t>
      </w:r>
      <w:r>
        <w:rPr>
          <w:rFonts w:eastAsia="仿宋_GB2312"/>
          <w:sz w:val="32"/>
          <w:szCs w:val="32"/>
        </w:rPr>
        <w:t>万片。项目总投资</w:t>
      </w:r>
      <w:r>
        <w:rPr>
          <w:rFonts w:eastAsia="仿宋_GB2312"/>
          <w:sz w:val="32"/>
          <w:szCs w:val="32"/>
        </w:rPr>
        <w:t>29037</w:t>
      </w:r>
      <w:r>
        <w:rPr>
          <w:rFonts w:eastAsia="仿宋_GB2312"/>
          <w:sz w:val="32"/>
          <w:szCs w:val="32"/>
        </w:rPr>
        <w:t>万元，其中环保投资</w:t>
      </w:r>
      <w:r>
        <w:rPr>
          <w:rFonts w:eastAsia="仿宋_GB2312"/>
          <w:sz w:val="32"/>
          <w:szCs w:val="32"/>
        </w:rPr>
        <w:t>50</w:t>
      </w:r>
      <w:r>
        <w:rPr>
          <w:rFonts w:eastAsia="仿宋_GB2312"/>
          <w:sz w:val="32"/>
          <w:szCs w:val="32"/>
        </w:rPr>
        <w:t>万元。</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lastRenderedPageBreak/>
        <w:t>项目已在山东省投资项目在线审批监管平台备案（项目代码：</w:t>
      </w:r>
      <w:r>
        <w:rPr>
          <w:rFonts w:eastAsia="仿宋_GB2312"/>
          <w:sz w:val="32"/>
          <w:szCs w:val="32"/>
        </w:rPr>
        <w:t>2412-370321-89-01-441662</w:t>
      </w:r>
      <w:r>
        <w:rPr>
          <w:rFonts w:eastAsia="仿宋_GB2312"/>
          <w:sz w:val="32"/>
          <w:szCs w:val="32"/>
        </w:rPr>
        <w:t>）。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二、项目营运期须严格落实环境影响报告表中提出的各项污染防治措施及以下要求：</w:t>
      </w:r>
    </w:p>
    <w:p w:rsidR="00EC6EEB" w:rsidRDefault="00FA43C3" w:rsidP="006D346B">
      <w:pPr>
        <w:pStyle w:val="a4"/>
        <w:spacing w:line="520" w:lineRule="exact"/>
        <w:rPr>
          <w:rFonts w:eastAsia="仿宋_GB2312"/>
          <w:sz w:val="32"/>
          <w:szCs w:val="32"/>
        </w:rPr>
      </w:pPr>
      <w:r>
        <w:rPr>
          <w:rFonts w:eastAsia="仿宋_GB2312"/>
          <w:sz w:val="32"/>
          <w:szCs w:val="32"/>
        </w:rPr>
        <w:t xml:space="preserve">    </w:t>
      </w:r>
      <w:r>
        <w:rPr>
          <w:rFonts w:eastAsia="仿宋_GB2312"/>
          <w:sz w:val="32"/>
          <w:szCs w:val="32"/>
        </w:rPr>
        <w:t>（一）</w:t>
      </w:r>
      <w:r>
        <w:rPr>
          <w:rFonts w:eastAsia="仿宋_GB2312"/>
          <w:bCs/>
          <w:sz w:val="32"/>
          <w:szCs w:val="32"/>
        </w:rPr>
        <w:t>项目</w:t>
      </w:r>
      <w:r>
        <w:rPr>
          <w:rFonts w:eastAsia="仿宋_GB2312" w:hint="eastAsia"/>
          <w:bCs/>
          <w:sz w:val="32"/>
          <w:szCs w:val="32"/>
        </w:rPr>
        <w:t>合片、边部密封工序</w:t>
      </w:r>
      <w:r>
        <w:rPr>
          <w:rFonts w:eastAsia="仿宋_GB2312"/>
          <w:bCs/>
          <w:sz w:val="32"/>
          <w:szCs w:val="32"/>
        </w:rPr>
        <w:t>产生的</w:t>
      </w:r>
      <w:r>
        <w:rPr>
          <w:rFonts w:eastAsia="仿宋_GB2312"/>
          <w:bCs/>
          <w:sz w:val="32"/>
          <w:szCs w:val="32"/>
        </w:rPr>
        <w:t>VOCs</w:t>
      </w:r>
      <w:r>
        <w:rPr>
          <w:rFonts w:eastAsia="仿宋_GB2312"/>
          <w:bCs/>
          <w:sz w:val="32"/>
          <w:szCs w:val="32"/>
        </w:rPr>
        <w:t>，</w:t>
      </w:r>
      <w:r>
        <w:rPr>
          <w:rFonts w:eastAsia="仿宋_GB2312" w:hint="eastAsia"/>
          <w:bCs/>
          <w:sz w:val="32"/>
          <w:szCs w:val="32"/>
        </w:rPr>
        <w:t>进入</w:t>
      </w:r>
      <w:r>
        <w:rPr>
          <w:rFonts w:eastAsia="仿宋_GB2312"/>
          <w:bCs/>
          <w:sz w:val="32"/>
          <w:szCs w:val="32"/>
        </w:rPr>
        <w:t>两级活性炭吸附装置处理后通过</w:t>
      </w:r>
      <w:r>
        <w:rPr>
          <w:rFonts w:eastAsia="仿宋_GB2312"/>
          <w:bCs/>
          <w:sz w:val="32"/>
          <w:szCs w:val="32"/>
        </w:rPr>
        <w:t>15</w:t>
      </w:r>
      <w:r>
        <w:rPr>
          <w:rFonts w:eastAsia="仿宋_GB2312" w:hint="eastAsia"/>
          <w:bCs/>
          <w:sz w:val="32"/>
          <w:szCs w:val="32"/>
        </w:rPr>
        <w:t>米</w:t>
      </w:r>
      <w:r>
        <w:rPr>
          <w:rFonts w:eastAsia="仿宋_GB2312"/>
          <w:bCs/>
          <w:sz w:val="32"/>
          <w:szCs w:val="32"/>
        </w:rPr>
        <w:t>高排气筒</w:t>
      </w:r>
      <w:r>
        <w:rPr>
          <w:rFonts w:eastAsia="仿宋_GB2312"/>
          <w:bCs/>
          <w:sz w:val="32"/>
          <w:szCs w:val="32"/>
        </w:rPr>
        <w:t>DA001</w:t>
      </w:r>
      <w:r>
        <w:rPr>
          <w:rFonts w:eastAsia="仿宋_GB2312"/>
          <w:bCs/>
          <w:sz w:val="32"/>
          <w:szCs w:val="32"/>
        </w:rPr>
        <w:t>有组织排放</w:t>
      </w:r>
      <w:r>
        <w:rPr>
          <w:rFonts w:eastAsia="仿宋_GB2312"/>
          <w:sz w:val="32"/>
          <w:szCs w:val="32"/>
        </w:rPr>
        <w:t>。有组织</w:t>
      </w:r>
      <w:r>
        <w:rPr>
          <w:rFonts w:eastAsia="仿宋_GB2312"/>
          <w:sz w:val="32"/>
          <w:szCs w:val="32"/>
        </w:rPr>
        <w:t>VOCs</w:t>
      </w:r>
      <w:r>
        <w:rPr>
          <w:rFonts w:eastAsia="仿宋_GB2312"/>
          <w:sz w:val="32"/>
          <w:szCs w:val="32"/>
        </w:rPr>
        <w:t>执行《挥发性有机物排放标准第</w:t>
      </w:r>
      <w:r>
        <w:rPr>
          <w:rFonts w:eastAsia="仿宋_GB2312"/>
          <w:sz w:val="32"/>
          <w:szCs w:val="32"/>
        </w:rPr>
        <w:t>7</w:t>
      </w:r>
      <w:r>
        <w:rPr>
          <w:rFonts w:eastAsia="仿宋_GB2312"/>
          <w:sz w:val="32"/>
          <w:szCs w:val="32"/>
        </w:rPr>
        <w:t>部分：其他行业》（</w:t>
      </w:r>
      <w:r>
        <w:rPr>
          <w:rFonts w:eastAsia="仿宋_GB2312"/>
          <w:sz w:val="32"/>
          <w:szCs w:val="32"/>
        </w:rPr>
        <w:t>DB37/2801.7-2019</w:t>
      </w:r>
      <w:r>
        <w:rPr>
          <w:rFonts w:eastAsia="仿宋_GB2312"/>
          <w:sz w:val="32"/>
          <w:szCs w:val="32"/>
        </w:rPr>
        <w:t>）表</w:t>
      </w:r>
      <w:r>
        <w:rPr>
          <w:rFonts w:eastAsia="仿宋_GB2312"/>
          <w:sz w:val="32"/>
          <w:szCs w:val="32"/>
        </w:rPr>
        <w:t>1</w:t>
      </w:r>
      <w:r>
        <w:rPr>
          <w:rFonts w:eastAsia="仿宋_GB2312"/>
          <w:sz w:val="32"/>
          <w:szCs w:val="32"/>
        </w:rPr>
        <w:t>限值要求。厂界</w:t>
      </w:r>
      <w:r>
        <w:rPr>
          <w:rFonts w:eastAsia="仿宋_GB2312"/>
          <w:sz w:val="32"/>
          <w:szCs w:val="32"/>
        </w:rPr>
        <w:t>VOCs</w:t>
      </w:r>
      <w:r>
        <w:rPr>
          <w:rFonts w:eastAsia="仿宋_GB2312"/>
          <w:sz w:val="32"/>
          <w:szCs w:val="32"/>
        </w:rPr>
        <w:t>执行《挥发性有机物排放标准</w:t>
      </w:r>
      <w:r>
        <w:rPr>
          <w:rFonts w:eastAsia="仿宋_GB2312"/>
          <w:sz w:val="32"/>
          <w:szCs w:val="32"/>
        </w:rPr>
        <w:t xml:space="preserve"> </w:t>
      </w:r>
      <w:r>
        <w:rPr>
          <w:rFonts w:eastAsia="仿宋_GB2312"/>
          <w:sz w:val="32"/>
          <w:szCs w:val="32"/>
        </w:rPr>
        <w:t>第</w:t>
      </w:r>
      <w:r>
        <w:rPr>
          <w:rFonts w:eastAsia="仿宋_GB2312"/>
          <w:sz w:val="32"/>
          <w:szCs w:val="32"/>
        </w:rPr>
        <w:t>7</w:t>
      </w:r>
      <w:r>
        <w:rPr>
          <w:rFonts w:eastAsia="仿宋_GB2312"/>
          <w:sz w:val="32"/>
          <w:szCs w:val="32"/>
        </w:rPr>
        <w:t>部分：其他行业》（</w:t>
      </w:r>
      <w:r>
        <w:rPr>
          <w:rFonts w:eastAsia="仿宋_GB2312"/>
          <w:sz w:val="32"/>
          <w:szCs w:val="32"/>
        </w:rPr>
        <w:t>DB37/2801.7-2019</w:t>
      </w:r>
      <w:r>
        <w:rPr>
          <w:rFonts w:eastAsia="仿宋_GB2312"/>
          <w:sz w:val="32"/>
          <w:szCs w:val="32"/>
        </w:rPr>
        <w:t>）表</w:t>
      </w:r>
      <w:r>
        <w:rPr>
          <w:rFonts w:eastAsia="仿宋_GB2312"/>
          <w:sz w:val="32"/>
          <w:szCs w:val="32"/>
        </w:rPr>
        <w:t>2</w:t>
      </w:r>
      <w:r>
        <w:rPr>
          <w:rFonts w:eastAsia="仿宋_GB2312"/>
          <w:sz w:val="32"/>
          <w:szCs w:val="32"/>
        </w:rPr>
        <w:t>厂界监控点浓度限值。</w:t>
      </w:r>
      <w:r>
        <w:rPr>
          <w:rFonts w:eastAsia="仿宋_GB2312" w:hint="eastAsia"/>
          <w:sz w:val="32"/>
          <w:szCs w:val="32"/>
        </w:rPr>
        <w:t>厂区内无组织</w:t>
      </w:r>
      <w:r>
        <w:rPr>
          <w:rFonts w:eastAsia="仿宋_GB2312" w:hint="eastAsia"/>
          <w:sz w:val="32"/>
          <w:szCs w:val="32"/>
        </w:rPr>
        <w:t>VOCs</w:t>
      </w:r>
      <w:r>
        <w:rPr>
          <w:rFonts w:eastAsia="仿宋_GB2312" w:hint="eastAsia"/>
          <w:sz w:val="32"/>
          <w:szCs w:val="32"/>
        </w:rPr>
        <w:t>执行《挥发性有机物无组织排放控制标准》（</w:t>
      </w:r>
      <w:r>
        <w:rPr>
          <w:rFonts w:eastAsia="仿宋_GB2312" w:hint="eastAsia"/>
          <w:sz w:val="32"/>
          <w:szCs w:val="32"/>
        </w:rPr>
        <w:t>GB37822-2019</w:t>
      </w:r>
      <w:r>
        <w:rPr>
          <w:rFonts w:eastAsia="仿宋_GB2312" w:hint="eastAsia"/>
          <w:sz w:val="32"/>
          <w:szCs w:val="32"/>
        </w:rPr>
        <w:t>）附录</w:t>
      </w:r>
      <w:r>
        <w:rPr>
          <w:rFonts w:eastAsia="仿宋_GB2312" w:hint="eastAsia"/>
          <w:sz w:val="32"/>
          <w:szCs w:val="32"/>
        </w:rPr>
        <w:t>A</w:t>
      </w:r>
      <w:r>
        <w:rPr>
          <w:rFonts w:eastAsia="仿宋_GB2312" w:hint="eastAsia"/>
          <w:sz w:val="32"/>
          <w:szCs w:val="32"/>
        </w:rPr>
        <w:t>表</w:t>
      </w:r>
      <w:r>
        <w:rPr>
          <w:rFonts w:eastAsia="仿宋_GB2312" w:hint="eastAsia"/>
          <w:sz w:val="32"/>
          <w:szCs w:val="32"/>
        </w:rPr>
        <w:t>A.1</w:t>
      </w:r>
      <w:r>
        <w:rPr>
          <w:rFonts w:eastAsia="仿宋_GB2312" w:hint="eastAsia"/>
          <w:sz w:val="32"/>
          <w:szCs w:val="32"/>
        </w:rPr>
        <w:t>排放限值。</w:t>
      </w:r>
    </w:p>
    <w:p w:rsidR="00EC6EEB" w:rsidRDefault="00FA43C3" w:rsidP="006D346B">
      <w:pPr>
        <w:pStyle w:val="a4"/>
        <w:spacing w:line="520" w:lineRule="exact"/>
        <w:ind w:firstLineChars="200" w:firstLine="640"/>
        <w:rPr>
          <w:rFonts w:eastAsia="仿宋_GB2312"/>
          <w:sz w:val="32"/>
          <w:szCs w:val="32"/>
        </w:rPr>
      </w:pPr>
      <w:r>
        <w:rPr>
          <w:rFonts w:eastAsia="仿宋_GB2312"/>
          <w:sz w:val="32"/>
          <w:szCs w:val="32"/>
        </w:rPr>
        <w:t>（二）项目</w:t>
      </w:r>
      <w:r>
        <w:rPr>
          <w:rFonts w:eastAsia="仿宋_GB2312"/>
          <w:kern w:val="0"/>
          <w:sz w:val="32"/>
          <w:szCs w:val="32"/>
        </w:rPr>
        <w:t>纯水制备浓水和清洗废水，与经化粪池处理后的生活污水通过市政管网排入</w:t>
      </w:r>
      <w:r>
        <w:rPr>
          <w:rFonts w:eastAsia="仿宋_GB2312"/>
          <w:sz w:val="32"/>
          <w:szCs w:val="32"/>
        </w:rPr>
        <w:t>光大水务（淄博）有限公司</w:t>
      </w:r>
      <w:r>
        <w:rPr>
          <w:rFonts w:eastAsia="仿宋_GB2312"/>
          <w:sz w:val="32"/>
          <w:szCs w:val="32"/>
        </w:rPr>
        <w:t>水质净化三分厂。</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（三）</w:t>
      </w:r>
      <w:r>
        <w:rPr>
          <w:rFonts w:eastAsia="仿宋_GB2312" w:hint="eastAsia"/>
          <w:sz w:val="32"/>
          <w:szCs w:val="32"/>
        </w:rPr>
        <w:t>按固体废物“减量化、资源化、无害化”原则，分类收集、妥善安全处置固体废物。</w:t>
      </w:r>
      <w:r>
        <w:rPr>
          <w:rFonts w:eastAsia="仿宋_GB2312" w:hint="eastAsia"/>
          <w:sz w:val="32"/>
          <w:szCs w:val="32"/>
        </w:rPr>
        <w:t>项目产生的</w:t>
      </w:r>
      <w:r>
        <w:rPr>
          <w:rFonts w:eastAsia="仿宋_GB2312"/>
          <w:color w:val="000000"/>
          <w:sz w:val="32"/>
          <w:szCs w:val="32"/>
        </w:rPr>
        <w:t>不合格品、破碎玻璃</w:t>
      </w:r>
      <w:r>
        <w:rPr>
          <w:rFonts w:eastAsia="仿宋_GB2312"/>
          <w:sz w:val="32"/>
          <w:szCs w:val="32"/>
        </w:rPr>
        <w:t>收集后外售；废反渗透膜由厂家回收；</w:t>
      </w:r>
      <w:r>
        <w:rPr>
          <w:rFonts w:eastAsia="仿宋_GB2312" w:hint="eastAsia"/>
          <w:sz w:val="32"/>
          <w:szCs w:val="32"/>
        </w:rPr>
        <w:t>废丁基胶包装桶</w:t>
      </w:r>
      <w:r>
        <w:rPr>
          <w:rFonts w:eastAsia="仿宋_GB2312"/>
          <w:sz w:val="32"/>
          <w:szCs w:val="32"/>
        </w:rPr>
        <w:t>、废活性炭</w:t>
      </w:r>
      <w:r>
        <w:rPr>
          <w:rFonts w:eastAsia="仿宋_GB2312" w:hint="eastAsia"/>
          <w:sz w:val="32"/>
          <w:szCs w:val="32"/>
        </w:rPr>
        <w:t>、废机油、废机油桶</w:t>
      </w:r>
      <w:r>
        <w:rPr>
          <w:rFonts w:eastAsia="仿宋_GB2312"/>
          <w:sz w:val="32"/>
          <w:szCs w:val="32"/>
        </w:rPr>
        <w:t>均属于危险废物，须</w:t>
      </w:r>
      <w:r>
        <w:rPr>
          <w:rFonts w:eastAsia="仿宋_GB2312" w:hint="eastAsia"/>
          <w:sz w:val="32"/>
          <w:szCs w:val="32"/>
        </w:rPr>
        <w:t>委托</w:t>
      </w:r>
      <w:r>
        <w:rPr>
          <w:rFonts w:eastAsia="仿宋_GB2312"/>
          <w:sz w:val="32"/>
          <w:szCs w:val="32"/>
        </w:rPr>
        <w:t>有资质单位处置；</w:t>
      </w:r>
      <w:r>
        <w:rPr>
          <w:rFonts w:eastAsia="仿宋_GB2312"/>
          <w:sz w:val="32"/>
          <w:szCs w:val="32"/>
        </w:rPr>
        <w:lastRenderedPageBreak/>
        <w:t>生活垃圾由环卫部门清运。固废转移须建立完善的记录台帐，一般固体废物应执行相应防渗漏、防雨淋、防扬尘等环境保护要求。危险废物暂存须符合《危险废物贮存污染控制标准》（</w:t>
      </w:r>
      <w:r>
        <w:rPr>
          <w:rFonts w:eastAsia="仿宋_GB2312"/>
          <w:sz w:val="32"/>
          <w:szCs w:val="32"/>
        </w:rPr>
        <w:t>GB18597-2023</w:t>
      </w:r>
      <w:r>
        <w:rPr>
          <w:rFonts w:eastAsia="仿宋_GB2312"/>
          <w:sz w:val="32"/>
          <w:szCs w:val="32"/>
        </w:rPr>
        <w:t>）相关规定，严格执行《危险废物转移管理办法》。</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（四）项目要对高噪音设备采取减震、消音</w:t>
      </w:r>
      <w:r>
        <w:rPr>
          <w:rFonts w:eastAsia="仿宋_GB2312"/>
          <w:sz w:val="32"/>
          <w:szCs w:val="32"/>
        </w:rPr>
        <w:t>、隔音等措施，确保厂界噪声满足《工业企业厂界环境噪声排放标准》（</w:t>
      </w:r>
      <w:r>
        <w:rPr>
          <w:rFonts w:eastAsia="仿宋_GB2312"/>
          <w:sz w:val="32"/>
          <w:szCs w:val="32"/>
        </w:rPr>
        <w:t>GB12348-2008</w:t>
      </w:r>
      <w:r>
        <w:rPr>
          <w:rFonts w:eastAsia="仿宋_GB2312"/>
          <w:sz w:val="32"/>
          <w:szCs w:val="32"/>
        </w:rPr>
        <w:t>）</w:t>
      </w:r>
      <w:r>
        <w:rPr>
          <w:rFonts w:eastAsia="仿宋_GB2312"/>
          <w:sz w:val="32"/>
          <w:szCs w:val="32"/>
        </w:rPr>
        <w:t>3</w:t>
      </w:r>
      <w:r>
        <w:rPr>
          <w:rFonts w:eastAsia="仿宋_GB2312"/>
          <w:sz w:val="32"/>
          <w:szCs w:val="32"/>
        </w:rPr>
        <w:t>类功能区标准要求。</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五）企业应对各风险源设置完善的预防措施和应急预案，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（六）项目建成</w:t>
      </w:r>
      <w:r>
        <w:rPr>
          <w:rFonts w:eastAsia="仿宋_GB2312"/>
          <w:sz w:val="32"/>
          <w:szCs w:val="32"/>
        </w:rPr>
        <w:t>后，主要污染物排放量应控制在确认的总量控制指标之内，依法按照相关规定做好排污许可证的申请工作，落实排污许可证执行报告制度。建立与项目环境保护工作需求相适应的环境管理团队，完善企业各项环境管理制度，加强环境管理，做到依证排污。</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lastRenderedPageBreak/>
        <w:t>（八）</w:t>
      </w:r>
      <w:r>
        <w:rPr>
          <w:rFonts w:ascii="仿宋_GB2312" w:eastAsia="仿宋_GB2312" w:hint="eastAsia"/>
          <w:sz w:val="32"/>
          <w:szCs w:val="32"/>
        </w:rPr>
        <w:t>该项目如发生环境信访事件或存在弄虚作假行为，影响周边环境质量，经查实须立即停</w:t>
      </w:r>
      <w:r>
        <w:rPr>
          <w:rFonts w:ascii="仿宋_GB2312" w:eastAsia="仿宋_GB2312" w:hint="eastAsia"/>
          <w:sz w:val="32"/>
          <w:szCs w:val="32"/>
        </w:rPr>
        <w:t>产整改。</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三、严格按照《关于印发</w:t>
      </w:r>
      <w:r>
        <w:rPr>
          <w:rFonts w:eastAsia="仿宋_GB2312"/>
          <w:sz w:val="32"/>
          <w:szCs w:val="32"/>
        </w:rPr>
        <w:t>&lt;</w:t>
      </w:r>
      <w:r>
        <w:rPr>
          <w:rFonts w:eastAsia="仿宋_GB2312"/>
          <w:sz w:val="32"/>
          <w:szCs w:val="32"/>
        </w:rPr>
        <w:t>污染影响类建设项目重大变动清单（试行）</w:t>
      </w:r>
      <w:r>
        <w:rPr>
          <w:rFonts w:eastAsia="仿宋_GB2312"/>
          <w:sz w:val="32"/>
          <w:szCs w:val="32"/>
        </w:rPr>
        <w:t>&gt;</w:t>
      </w:r>
      <w:r>
        <w:rPr>
          <w:rFonts w:eastAsia="仿宋_GB2312"/>
          <w:sz w:val="32"/>
          <w:szCs w:val="32"/>
        </w:rPr>
        <w:t>的通知》（环办环评函〔</w:t>
      </w:r>
      <w:r>
        <w:rPr>
          <w:rFonts w:eastAsia="仿宋_GB2312"/>
          <w:sz w:val="32"/>
          <w:szCs w:val="32"/>
        </w:rPr>
        <w:t>2020</w:t>
      </w:r>
      <w:r>
        <w:rPr>
          <w:rFonts w:eastAsia="仿宋_GB2312"/>
          <w:sz w:val="32"/>
          <w:szCs w:val="32"/>
        </w:rPr>
        <w:t>〕</w:t>
      </w:r>
      <w:r>
        <w:rPr>
          <w:rFonts w:eastAsia="仿宋_GB2312"/>
          <w:sz w:val="32"/>
          <w:szCs w:val="32"/>
        </w:rPr>
        <w:t>688</w:t>
      </w:r>
      <w:r>
        <w:rPr>
          <w:rFonts w:eastAsia="仿宋_GB2312"/>
          <w:sz w:val="32"/>
          <w:szCs w:val="32"/>
        </w:rPr>
        <w:t>号）及原环境保护部《关于印发环评管理中部分行业建设项目重大变动清单的通知》（环办〔</w:t>
      </w:r>
      <w:r>
        <w:rPr>
          <w:rFonts w:eastAsia="仿宋_GB2312"/>
          <w:sz w:val="32"/>
          <w:szCs w:val="32"/>
        </w:rPr>
        <w:t>2015</w:t>
      </w:r>
      <w:r>
        <w:rPr>
          <w:rFonts w:eastAsia="仿宋_GB2312"/>
          <w:sz w:val="32"/>
          <w:szCs w:val="32"/>
        </w:rPr>
        <w:t>〕</w:t>
      </w:r>
      <w:r>
        <w:rPr>
          <w:rFonts w:eastAsia="仿宋_GB2312"/>
          <w:sz w:val="32"/>
          <w:szCs w:val="32"/>
        </w:rPr>
        <w:t>52</w:t>
      </w:r>
      <w:r>
        <w:rPr>
          <w:rFonts w:eastAsia="仿宋_GB2312"/>
          <w:sz w:val="32"/>
          <w:szCs w:val="32"/>
        </w:rPr>
        <w:t>号）有关要求，若该建设项目的规模、地点、生产工艺或者环境保护措施等发生清单中所列重大变动的，应重新报批环评文件。若项目在验收时所执行的排放标准发生变化，必须按新排放标准进行自主验收。</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四、项目建设须执行配套的环境保护设施与主体工程同时设计、同时施工、同时投产使用的</w:t>
      </w:r>
      <w:r>
        <w:rPr>
          <w:rFonts w:eastAsia="仿宋_GB2312"/>
          <w:sz w:val="32"/>
          <w:szCs w:val="32"/>
        </w:rPr>
        <w:t>“</w:t>
      </w:r>
      <w:r>
        <w:rPr>
          <w:rFonts w:eastAsia="仿宋_GB2312"/>
          <w:sz w:val="32"/>
          <w:szCs w:val="32"/>
        </w:rPr>
        <w:t>三同时</w:t>
      </w:r>
      <w:r>
        <w:rPr>
          <w:rFonts w:eastAsia="仿宋_GB2312"/>
          <w:sz w:val="32"/>
          <w:szCs w:val="32"/>
        </w:rPr>
        <w:t>”</w:t>
      </w:r>
      <w:r>
        <w:rPr>
          <w:rFonts w:eastAsia="仿宋_GB2312"/>
          <w:sz w:val="32"/>
          <w:szCs w:val="32"/>
        </w:rPr>
        <w:t>制度。项目竣工后，须按规定程序</w:t>
      </w:r>
      <w:r>
        <w:rPr>
          <w:rFonts w:eastAsia="仿宋_GB2312"/>
          <w:sz w:val="32"/>
          <w:szCs w:val="32"/>
        </w:rPr>
        <w:t>进行竣工环境保护验收。经验收合格后，项目方可投入生产或者使用。</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六、桓台县果里镇人民政府、桓台县生态环境保护综合执法大队负责该项目日常环境监察工作。</w:t>
      </w:r>
    </w:p>
    <w:p w:rsidR="00EC6EEB" w:rsidRDefault="00EC6EEB" w:rsidP="006D346B">
      <w:pPr>
        <w:adjustRightInd w:val="0"/>
        <w:snapToGrid w:val="0"/>
        <w:spacing w:line="520" w:lineRule="exact"/>
        <w:ind w:firstLineChars="200" w:firstLine="640"/>
        <w:rPr>
          <w:rFonts w:eastAsia="仿宋_GB2312"/>
          <w:sz w:val="32"/>
          <w:szCs w:val="32"/>
        </w:rPr>
      </w:pPr>
    </w:p>
    <w:p w:rsidR="00EC6EEB" w:rsidRDefault="00EC6EEB" w:rsidP="006D346B">
      <w:pPr>
        <w:adjustRightInd w:val="0"/>
        <w:snapToGrid w:val="0"/>
        <w:spacing w:line="520" w:lineRule="exact"/>
        <w:ind w:firstLineChars="200" w:firstLine="640"/>
        <w:rPr>
          <w:rFonts w:eastAsia="仿宋_GB2312"/>
          <w:sz w:val="32"/>
          <w:szCs w:val="32"/>
        </w:rPr>
      </w:pP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淄博市生态环境局桓台分局</w:t>
      </w:r>
    </w:p>
    <w:p w:rsidR="00EC6EEB" w:rsidRDefault="00FA43C3" w:rsidP="006D346B">
      <w:pPr>
        <w:adjustRightInd w:val="0"/>
        <w:snapToGrid w:val="0"/>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 xml:space="preserve">       2025</w:t>
      </w:r>
      <w:r>
        <w:rPr>
          <w:rFonts w:eastAsia="仿宋_GB2312"/>
          <w:sz w:val="32"/>
          <w:szCs w:val="32"/>
        </w:rPr>
        <w:t>年</w:t>
      </w:r>
      <w:r>
        <w:rPr>
          <w:rFonts w:eastAsia="仿宋_GB2312"/>
          <w:sz w:val="32"/>
          <w:szCs w:val="32"/>
        </w:rPr>
        <w:t>2</w:t>
      </w:r>
      <w:r>
        <w:rPr>
          <w:rFonts w:eastAsia="仿宋_GB2312"/>
          <w:sz w:val="32"/>
          <w:szCs w:val="32"/>
        </w:rPr>
        <w:t>月</w:t>
      </w:r>
      <w:r>
        <w:rPr>
          <w:rFonts w:eastAsia="仿宋_GB2312" w:hint="eastAsia"/>
          <w:sz w:val="32"/>
          <w:szCs w:val="32"/>
        </w:rPr>
        <w:t>26</w:t>
      </w:r>
      <w:bookmarkStart w:id="0" w:name="_GoBack"/>
      <w:bookmarkEnd w:id="0"/>
      <w:r>
        <w:rPr>
          <w:rFonts w:eastAsia="仿宋_GB2312"/>
          <w:sz w:val="32"/>
          <w:szCs w:val="32"/>
        </w:rPr>
        <w:t>日</w:t>
      </w:r>
    </w:p>
    <w:sectPr w:rsidR="00EC6EEB" w:rsidSect="00EC6EEB">
      <w:footerReference w:type="default" r:id="rId7"/>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3C3" w:rsidRDefault="00FA43C3" w:rsidP="00EC6EEB">
      <w:r>
        <w:separator/>
      </w:r>
    </w:p>
  </w:endnote>
  <w:endnote w:type="continuationSeparator" w:id="1">
    <w:p w:rsidR="00FA43C3" w:rsidRDefault="00FA43C3" w:rsidP="00EC6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EEB" w:rsidRDefault="00EC6EEB">
    <w:pPr>
      <w:pStyle w:val="a6"/>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filled="f" stroked="f">
          <v:textbox style="mso-fit-shape-to-text:t" inset="0,0,0,0">
            <w:txbxContent>
              <w:p w:rsidR="00EC6EEB" w:rsidRDefault="00EC6EEB">
                <w:pPr>
                  <w:pStyle w:val="a6"/>
                </w:pPr>
                <w:r>
                  <w:fldChar w:fldCharType="begin"/>
                </w:r>
                <w:r w:rsidR="00FA43C3">
                  <w:instrText xml:space="preserve"> PAGE  \* MERGEFORMAT </w:instrText>
                </w:r>
                <w:r>
                  <w:fldChar w:fldCharType="separate"/>
                </w:r>
                <w:r w:rsidR="006D346B">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3C3" w:rsidRDefault="00FA43C3" w:rsidP="00EC6EEB">
      <w:r>
        <w:separator/>
      </w:r>
    </w:p>
  </w:footnote>
  <w:footnote w:type="continuationSeparator" w:id="1">
    <w:p w:rsidR="00FA43C3" w:rsidRDefault="00FA43C3" w:rsidP="00EC6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jMxNmUxOGZiMTI0ZDU5YmMwMTVlOWIwODljOGFiMDMifQ=="/>
  </w:docVars>
  <w:rsids>
    <w:rsidRoot w:val="00C76FC6"/>
    <w:rsid w:val="000359F5"/>
    <w:rsid w:val="000F2D84"/>
    <w:rsid w:val="00110021"/>
    <w:rsid w:val="00114A5E"/>
    <w:rsid w:val="00225D3D"/>
    <w:rsid w:val="00297DB0"/>
    <w:rsid w:val="002A06E1"/>
    <w:rsid w:val="00301154"/>
    <w:rsid w:val="00305CE7"/>
    <w:rsid w:val="003813C8"/>
    <w:rsid w:val="004055A1"/>
    <w:rsid w:val="004059E0"/>
    <w:rsid w:val="0048374A"/>
    <w:rsid w:val="004F0406"/>
    <w:rsid w:val="00563233"/>
    <w:rsid w:val="00570C81"/>
    <w:rsid w:val="00616142"/>
    <w:rsid w:val="00622BD1"/>
    <w:rsid w:val="006378FD"/>
    <w:rsid w:val="006D346B"/>
    <w:rsid w:val="006F16E3"/>
    <w:rsid w:val="007044FE"/>
    <w:rsid w:val="0074324D"/>
    <w:rsid w:val="007A4333"/>
    <w:rsid w:val="009467C9"/>
    <w:rsid w:val="00960077"/>
    <w:rsid w:val="00975830"/>
    <w:rsid w:val="00A24404"/>
    <w:rsid w:val="00A255A4"/>
    <w:rsid w:val="00A77564"/>
    <w:rsid w:val="00A94673"/>
    <w:rsid w:val="00AD5B64"/>
    <w:rsid w:val="00B01E09"/>
    <w:rsid w:val="00B14715"/>
    <w:rsid w:val="00C76FC6"/>
    <w:rsid w:val="00CE3296"/>
    <w:rsid w:val="00D33381"/>
    <w:rsid w:val="00D63A86"/>
    <w:rsid w:val="00DA2AA2"/>
    <w:rsid w:val="00E30FAC"/>
    <w:rsid w:val="00EC6EEB"/>
    <w:rsid w:val="00ED48CF"/>
    <w:rsid w:val="00EE39FE"/>
    <w:rsid w:val="00F27421"/>
    <w:rsid w:val="00F90284"/>
    <w:rsid w:val="00FA43C3"/>
    <w:rsid w:val="016A3E6C"/>
    <w:rsid w:val="017E2A82"/>
    <w:rsid w:val="01C65D40"/>
    <w:rsid w:val="02091FE0"/>
    <w:rsid w:val="049D5915"/>
    <w:rsid w:val="04CC68DB"/>
    <w:rsid w:val="05A86320"/>
    <w:rsid w:val="060914B4"/>
    <w:rsid w:val="064F2338"/>
    <w:rsid w:val="064F2C3F"/>
    <w:rsid w:val="06B036DE"/>
    <w:rsid w:val="06F3181D"/>
    <w:rsid w:val="074F5F10"/>
    <w:rsid w:val="07846919"/>
    <w:rsid w:val="0870581B"/>
    <w:rsid w:val="08D8412A"/>
    <w:rsid w:val="097A7B0E"/>
    <w:rsid w:val="09CD45A7"/>
    <w:rsid w:val="0A570285"/>
    <w:rsid w:val="0C963376"/>
    <w:rsid w:val="0CC349FF"/>
    <w:rsid w:val="0D8853B5"/>
    <w:rsid w:val="0DB56B26"/>
    <w:rsid w:val="0DF06AB6"/>
    <w:rsid w:val="0E0407B3"/>
    <w:rsid w:val="0E4017EB"/>
    <w:rsid w:val="0E615236"/>
    <w:rsid w:val="0E941B37"/>
    <w:rsid w:val="0F8751F8"/>
    <w:rsid w:val="0FAD1102"/>
    <w:rsid w:val="10CC380A"/>
    <w:rsid w:val="11C10E95"/>
    <w:rsid w:val="123A47A4"/>
    <w:rsid w:val="12577104"/>
    <w:rsid w:val="128B4FFF"/>
    <w:rsid w:val="12B427A8"/>
    <w:rsid w:val="13004E10"/>
    <w:rsid w:val="133A0E44"/>
    <w:rsid w:val="13656EF0"/>
    <w:rsid w:val="13704C4B"/>
    <w:rsid w:val="14045069"/>
    <w:rsid w:val="143258BB"/>
    <w:rsid w:val="15051099"/>
    <w:rsid w:val="15997A33"/>
    <w:rsid w:val="15D55AB8"/>
    <w:rsid w:val="177C3504"/>
    <w:rsid w:val="17B46DA6"/>
    <w:rsid w:val="18972950"/>
    <w:rsid w:val="19265A82"/>
    <w:rsid w:val="194D2A56"/>
    <w:rsid w:val="19C01A32"/>
    <w:rsid w:val="1A3B37AF"/>
    <w:rsid w:val="1A5B175B"/>
    <w:rsid w:val="1A6B5C6E"/>
    <w:rsid w:val="1A8C36A7"/>
    <w:rsid w:val="1A954C6D"/>
    <w:rsid w:val="1AC90DBB"/>
    <w:rsid w:val="1B570174"/>
    <w:rsid w:val="1BF11D91"/>
    <w:rsid w:val="1C5A616E"/>
    <w:rsid w:val="1C7B60E4"/>
    <w:rsid w:val="1D4D7A81"/>
    <w:rsid w:val="1D724E0F"/>
    <w:rsid w:val="1D9531D6"/>
    <w:rsid w:val="1DDE692B"/>
    <w:rsid w:val="1E4C75DC"/>
    <w:rsid w:val="1F4924CA"/>
    <w:rsid w:val="1FE43FA1"/>
    <w:rsid w:val="20054643"/>
    <w:rsid w:val="200E05E9"/>
    <w:rsid w:val="20A0468E"/>
    <w:rsid w:val="21244F9D"/>
    <w:rsid w:val="214271D1"/>
    <w:rsid w:val="21521B0A"/>
    <w:rsid w:val="21A579E4"/>
    <w:rsid w:val="21F317DB"/>
    <w:rsid w:val="225E003A"/>
    <w:rsid w:val="23A3664D"/>
    <w:rsid w:val="24577437"/>
    <w:rsid w:val="24E52C95"/>
    <w:rsid w:val="25965D3D"/>
    <w:rsid w:val="25FB0004"/>
    <w:rsid w:val="25FB7DFA"/>
    <w:rsid w:val="27227E54"/>
    <w:rsid w:val="27C748D4"/>
    <w:rsid w:val="294C2B55"/>
    <w:rsid w:val="295B32D5"/>
    <w:rsid w:val="29670767"/>
    <w:rsid w:val="29701BBE"/>
    <w:rsid w:val="2AF43C32"/>
    <w:rsid w:val="2B990335"/>
    <w:rsid w:val="2BBD2DF5"/>
    <w:rsid w:val="2C043A01"/>
    <w:rsid w:val="2C163734"/>
    <w:rsid w:val="2CBF3DCB"/>
    <w:rsid w:val="2D776454"/>
    <w:rsid w:val="2DAC774E"/>
    <w:rsid w:val="2ECC13C3"/>
    <w:rsid w:val="2F33199A"/>
    <w:rsid w:val="2F6B04F1"/>
    <w:rsid w:val="303D5733"/>
    <w:rsid w:val="3093652C"/>
    <w:rsid w:val="310B75DF"/>
    <w:rsid w:val="312D1C4B"/>
    <w:rsid w:val="32140715"/>
    <w:rsid w:val="32AD1D1E"/>
    <w:rsid w:val="340D671E"/>
    <w:rsid w:val="342015F4"/>
    <w:rsid w:val="343D57A7"/>
    <w:rsid w:val="34DD1293"/>
    <w:rsid w:val="364916B9"/>
    <w:rsid w:val="369E06F4"/>
    <w:rsid w:val="3763399E"/>
    <w:rsid w:val="37E1109A"/>
    <w:rsid w:val="382D42DF"/>
    <w:rsid w:val="384C5582"/>
    <w:rsid w:val="390A52C8"/>
    <w:rsid w:val="39131727"/>
    <w:rsid w:val="393B2A2C"/>
    <w:rsid w:val="3A377697"/>
    <w:rsid w:val="3A5A1CF0"/>
    <w:rsid w:val="3A5C534F"/>
    <w:rsid w:val="3BC46D08"/>
    <w:rsid w:val="3C3E2EE3"/>
    <w:rsid w:val="3C5067EE"/>
    <w:rsid w:val="3D251A29"/>
    <w:rsid w:val="3D6A38DF"/>
    <w:rsid w:val="3D7F55DD"/>
    <w:rsid w:val="3E34138B"/>
    <w:rsid w:val="3EA47E1E"/>
    <w:rsid w:val="3ED454B4"/>
    <w:rsid w:val="3EF2293A"/>
    <w:rsid w:val="3F6F1681"/>
    <w:rsid w:val="3F8C3FE1"/>
    <w:rsid w:val="3FFF0C57"/>
    <w:rsid w:val="40183918"/>
    <w:rsid w:val="402A6734"/>
    <w:rsid w:val="405F16F6"/>
    <w:rsid w:val="40A76100"/>
    <w:rsid w:val="42046D25"/>
    <w:rsid w:val="42417BA8"/>
    <w:rsid w:val="43341508"/>
    <w:rsid w:val="4447497A"/>
    <w:rsid w:val="44B10046"/>
    <w:rsid w:val="44E26451"/>
    <w:rsid w:val="4532050F"/>
    <w:rsid w:val="456D0BD4"/>
    <w:rsid w:val="45F25DBF"/>
    <w:rsid w:val="46B02E88"/>
    <w:rsid w:val="46C71DA3"/>
    <w:rsid w:val="46D30747"/>
    <w:rsid w:val="47523D62"/>
    <w:rsid w:val="47C307BC"/>
    <w:rsid w:val="47E00237"/>
    <w:rsid w:val="47ED5839"/>
    <w:rsid w:val="483D231C"/>
    <w:rsid w:val="486A6E89"/>
    <w:rsid w:val="4929154A"/>
    <w:rsid w:val="492D3B3E"/>
    <w:rsid w:val="49831FB1"/>
    <w:rsid w:val="49CA7BE0"/>
    <w:rsid w:val="49F11610"/>
    <w:rsid w:val="4AA448D5"/>
    <w:rsid w:val="4B9C55AC"/>
    <w:rsid w:val="4C0575F5"/>
    <w:rsid w:val="4C411600"/>
    <w:rsid w:val="4C5145E8"/>
    <w:rsid w:val="4CE4720A"/>
    <w:rsid w:val="4D6E4D26"/>
    <w:rsid w:val="4D9724CF"/>
    <w:rsid w:val="4DB0533F"/>
    <w:rsid w:val="4E1E04FA"/>
    <w:rsid w:val="4E2F6313"/>
    <w:rsid w:val="4E810A89"/>
    <w:rsid w:val="501F49FD"/>
    <w:rsid w:val="516E106E"/>
    <w:rsid w:val="5208399B"/>
    <w:rsid w:val="538E6122"/>
    <w:rsid w:val="54A83213"/>
    <w:rsid w:val="55CB469D"/>
    <w:rsid w:val="56552F27"/>
    <w:rsid w:val="56E60023"/>
    <w:rsid w:val="56EB73E7"/>
    <w:rsid w:val="572172AD"/>
    <w:rsid w:val="58443253"/>
    <w:rsid w:val="58FF717A"/>
    <w:rsid w:val="59DD3FAF"/>
    <w:rsid w:val="5A2D0600"/>
    <w:rsid w:val="5A76346C"/>
    <w:rsid w:val="5AB8619D"/>
    <w:rsid w:val="5AC057B7"/>
    <w:rsid w:val="5ACE62D4"/>
    <w:rsid w:val="5AE56B11"/>
    <w:rsid w:val="5B321A89"/>
    <w:rsid w:val="5B863B83"/>
    <w:rsid w:val="5C2F5FC8"/>
    <w:rsid w:val="5CCC1A69"/>
    <w:rsid w:val="5D423AD9"/>
    <w:rsid w:val="5E015742"/>
    <w:rsid w:val="5E2A20EC"/>
    <w:rsid w:val="5F714299"/>
    <w:rsid w:val="5FBA204D"/>
    <w:rsid w:val="5FCA6734"/>
    <w:rsid w:val="5FE315A4"/>
    <w:rsid w:val="5FF94923"/>
    <w:rsid w:val="60343BAD"/>
    <w:rsid w:val="607B17DC"/>
    <w:rsid w:val="60B8658C"/>
    <w:rsid w:val="60F872D1"/>
    <w:rsid w:val="62F45876"/>
    <w:rsid w:val="639C3F43"/>
    <w:rsid w:val="63D336DD"/>
    <w:rsid w:val="6477050C"/>
    <w:rsid w:val="65534AD5"/>
    <w:rsid w:val="655F0592"/>
    <w:rsid w:val="656D1BD0"/>
    <w:rsid w:val="65C67B90"/>
    <w:rsid w:val="661B3C97"/>
    <w:rsid w:val="66D734E4"/>
    <w:rsid w:val="6931512E"/>
    <w:rsid w:val="696C5C47"/>
    <w:rsid w:val="6A394634"/>
    <w:rsid w:val="6AAA470A"/>
    <w:rsid w:val="6ABB6A0D"/>
    <w:rsid w:val="6B1B7E43"/>
    <w:rsid w:val="6B347157"/>
    <w:rsid w:val="6B361AA6"/>
    <w:rsid w:val="6B4355EC"/>
    <w:rsid w:val="6BAE6F0A"/>
    <w:rsid w:val="6BB85C11"/>
    <w:rsid w:val="6BEC7A32"/>
    <w:rsid w:val="6C4E5FF7"/>
    <w:rsid w:val="6C5555D7"/>
    <w:rsid w:val="6C5F0204"/>
    <w:rsid w:val="6CCD1611"/>
    <w:rsid w:val="6CD75FEC"/>
    <w:rsid w:val="6D170ADE"/>
    <w:rsid w:val="6D531A46"/>
    <w:rsid w:val="6DE86703"/>
    <w:rsid w:val="706C2EEF"/>
    <w:rsid w:val="70A408DB"/>
    <w:rsid w:val="70E944E6"/>
    <w:rsid w:val="72B65C6F"/>
    <w:rsid w:val="730C2768"/>
    <w:rsid w:val="73A3131E"/>
    <w:rsid w:val="73EB05CF"/>
    <w:rsid w:val="742125C9"/>
    <w:rsid w:val="74820AAC"/>
    <w:rsid w:val="74830833"/>
    <w:rsid w:val="753D09B0"/>
    <w:rsid w:val="75461F61"/>
    <w:rsid w:val="76946CFC"/>
    <w:rsid w:val="770B5361"/>
    <w:rsid w:val="77446974"/>
    <w:rsid w:val="77496E6D"/>
    <w:rsid w:val="777D59E2"/>
    <w:rsid w:val="788F3C1F"/>
    <w:rsid w:val="789C6063"/>
    <w:rsid w:val="78F10E72"/>
    <w:rsid w:val="792A1B99"/>
    <w:rsid w:val="7A1F7224"/>
    <w:rsid w:val="7AC35E02"/>
    <w:rsid w:val="7C023F72"/>
    <w:rsid w:val="7C1F175E"/>
    <w:rsid w:val="7C330D65"/>
    <w:rsid w:val="7CCA3477"/>
    <w:rsid w:val="7D4C0330"/>
    <w:rsid w:val="7D747887"/>
    <w:rsid w:val="7F8F09A8"/>
    <w:rsid w:val="7FB674DD"/>
    <w:rsid w:val="7FBB35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iPriority="0"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C6EEB"/>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Char"/>
    <w:qFormat/>
    <w:rsid w:val="00EC6EEB"/>
    <w:pPr>
      <w:ind w:firstLineChars="200" w:firstLine="420"/>
    </w:pPr>
    <w:rPr>
      <w:rFonts w:eastAsiaTheme="minorEastAsia" w:cstheme="minorBidi"/>
      <w:szCs w:val="20"/>
    </w:rPr>
  </w:style>
  <w:style w:type="paragraph" w:styleId="a3">
    <w:name w:val="Body Text Indent"/>
    <w:basedOn w:val="a"/>
    <w:link w:val="Char"/>
    <w:uiPriority w:val="99"/>
    <w:semiHidden/>
    <w:unhideWhenUsed/>
    <w:qFormat/>
    <w:rsid w:val="00EC6EEB"/>
    <w:pPr>
      <w:spacing w:after="120"/>
      <w:ind w:leftChars="200" w:left="420"/>
    </w:pPr>
  </w:style>
  <w:style w:type="paragraph" w:styleId="a4">
    <w:name w:val="annotation text"/>
    <w:basedOn w:val="a"/>
    <w:link w:val="Char0"/>
    <w:uiPriority w:val="99"/>
    <w:unhideWhenUsed/>
    <w:qFormat/>
    <w:rsid w:val="00EC6EEB"/>
    <w:pPr>
      <w:jc w:val="left"/>
    </w:pPr>
  </w:style>
  <w:style w:type="paragraph" w:styleId="a5">
    <w:name w:val="Block Text"/>
    <w:basedOn w:val="a"/>
    <w:qFormat/>
    <w:rsid w:val="00EC6EEB"/>
    <w:pPr>
      <w:ind w:leftChars="257" w:left="540" w:rightChars="183" w:right="384"/>
    </w:pPr>
    <w:rPr>
      <w:rFonts w:eastAsia="黑体"/>
      <w:b/>
      <w:bCs/>
      <w:sz w:val="32"/>
    </w:rPr>
  </w:style>
  <w:style w:type="paragraph" w:styleId="a6">
    <w:name w:val="footer"/>
    <w:basedOn w:val="a"/>
    <w:link w:val="Char1"/>
    <w:uiPriority w:val="99"/>
    <w:semiHidden/>
    <w:unhideWhenUsed/>
    <w:qFormat/>
    <w:rsid w:val="00EC6EEB"/>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semiHidden/>
    <w:unhideWhenUsed/>
    <w:qFormat/>
    <w:rsid w:val="00EC6EE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7"/>
    <w:uiPriority w:val="99"/>
    <w:semiHidden/>
    <w:qFormat/>
    <w:rsid w:val="00EC6EEB"/>
    <w:rPr>
      <w:sz w:val="18"/>
      <w:szCs w:val="18"/>
    </w:rPr>
  </w:style>
  <w:style w:type="character" w:customStyle="1" w:styleId="Char1">
    <w:name w:val="页脚 Char"/>
    <w:basedOn w:val="a0"/>
    <w:link w:val="a6"/>
    <w:uiPriority w:val="99"/>
    <w:semiHidden/>
    <w:qFormat/>
    <w:rsid w:val="00EC6EEB"/>
    <w:rPr>
      <w:sz w:val="18"/>
      <w:szCs w:val="18"/>
    </w:rPr>
  </w:style>
  <w:style w:type="character" w:customStyle="1" w:styleId="Char">
    <w:name w:val="正文文本缩进 Char"/>
    <w:basedOn w:val="a0"/>
    <w:link w:val="a3"/>
    <w:uiPriority w:val="99"/>
    <w:semiHidden/>
    <w:qFormat/>
    <w:rsid w:val="00EC6EEB"/>
    <w:rPr>
      <w:rFonts w:ascii="Times New Roman" w:eastAsia="宋体" w:hAnsi="Times New Roman" w:cs="Times New Roman"/>
      <w:szCs w:val="24"/>
    </w:rPr>
  </w:style>
  <w:style w:type="character" w:customStyle="1" w:styleId="2Char">
    <w:name w:val="正文首行缩进 2 Char"/>
    <w:basedOn w:val="Char"/>
    <w:link w:val="2"/>
    <w:qFormat/>
    <w:rsid w:val="00EC6EEB"/>
    <w:rPr>
      <w:szCs w:val="20"/>
    </w:rPr>
  </w:style>
  <w:style w:type="paragraph" w:customStyle="1" w:styleId="15">
    <w:name w:val="样式 正文文本缩进 + 行距: 1.5 倍行距"/>
    <w:basedOn w:val="1"/>
    <w:next w:val="a"/>
    <w:qFormat/>
    <w:rsid w:val="00EC6EEB"/>
    <w:pPr>
      <w:spacing w:line="360" w:lineRule="auto"/>
      <w:ind w:leftChars="32" w:left="90" w:firstLineChars="200" w:firstLine="560"/>
    </w:pPr>
    <w:rPr>
      <w:rFonts w:cs="宋体"/>
    </w:rPr>
  </w:style>
  <w:style w:type="paragraph" w:customStyle="1" w:styleId="1">
    <w:name w:val="正文文本缩进1"/>
    <w:basedOn w:val="a"/>
    <w:next w:val="15"/>
    <w:qFormat/>
    <w:rsid w:val="00EC6EEB"/>
    <w:pPr>
      <w:spacing w:after="120"/>
      <w:ind w:left="420"/>
    </w:pPr>
    <w:rPr>
      <w:szCs w:val="21"/>
    </w:rPr>
  </w:style>
  <w:style w:type="character" w:customStyle="1" w:styleId="Char0">
    <w:name w:val="批注文字 Char"/>
    <w:basedOn w:val="a0"/>
    <w:link w:val="a4"/>
    <w:uiPriority w:val="99"/>
    <w:qFormat/>
    <w:rsid w:val="00EC6EEB"/>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326</Words>
  <Characters>1864</Characters>
  <Application>Microsoft Office Word</Application>
  <DocSecurity>0</DocSecurity>
  <Lines>15</Lines>
  <Paragraphs>4</Paragraphs>
  <ScaleCrop>false</ScaleCrop>
  <Company>HTXZFWZX</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huanbj003</dc:creator>
  <cp:lastModifiedBy>huanbj003</cp:lastModifiedBy>
  <cp:revision>17</cp:revision>
  <cp:lastPrinted>2025-03-04T08:07:00Z</cp:lastPrinted>
  <dcterms:created xsi:type="dcterms:W3CDTF">2024-07-22T06:06:00Z</dcterms:created>
  <dcterms:modified xsi:type="dcterms:W3CDTF">2025-03-04T08:10:00Z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AADB2A1CD30D44F6AD96A05BF96D7ED7_12</vt:lpwstr>
  </property>
  <property fmtid="{D5CDD505-2E9C-101B-9397-08002B2CF9AE}" pid="4" name="KSOTemplateDocerSaveRecord">
    <vt:lpwstr>eyJoZGlkIjoiNjMxNmUxOGZiMTI0ZDU5YmMwMTVlOWIwODljOGFiMDMifQ==</vt:lpwstr>
  </property>
</Properties>
</file>