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ascii="微软雅黑" w:hAnsi="微软雅黑" w:eastAsia="微软雅黑" w:cs="微软雅黑"/>
          <w:b w:val="0"/>
          <w:i w:val="0"/>
          <w:caps w:val="0"/>
          <w:color w:val="3E3E3E"/>
          <w:spacing w:val="0"/>
          <w:sz w:val="16"/>
          <w:szCs w:val="16"/>
        </w:rPr>
      </w:pPr>
      <w:r>
        <w:rPr>
          <w:rStyle w:val="4"/>
          <w:rFonts w:hint="eastAsia" w:ascii="宋体" w:hAnsi="宋体" w:eastAsia="宋体" w:cs="宋体"/>
          <w:b/>
          <w:i w:val="0"/>
          <w:caps w:val="0"/>
          <w:color w:val="3E3E3E"/>
          <w:spacing w:val="0"/>
          <w:sz w:val="31"/>
          <w:szCs w:val="31"/>
          <w:bdr w:val="none" w:color="auto" w:sz="0" w:space="0"/>
          <w:shd w:val="clear" w:fill="FFFFFF"/>
        </w:rPr>
        <w:t>关于印发《山东省危险化学品道路运输、仓储、经营企业评级行动计划》的通知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25"/>
          <w:szCs w:val="25"/>
          <w:bdr w:val="none" w:color="auto" w:sz="0" w:space="0"/>
          <w:shd w:val="clear" w:fill="FFFFFF"/>
        </w:rPr>
        <w:t>鲁化安转发〔2018〕1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各市化工专项行动领导小组，省化工专项行动领导小组各成员单位：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现将《山东省危险化学品道路运输、仓储、经营企业评级行动计划》印发给你们，请认真组织实施。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right"/>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16"/>
          <w:szCs w:val="16"/>
          <w:bdr w:val="none" w:color="auto" w:sz="0" w:space="0"/>
          <w:shd w:val="clear" w:fill="FFFFFF"/>
        </w:rPr>
        <w:t>                                   </w:t>
      </w:r>
      <w:r>
        <w:rPr>
          <w:rFonts w:hint="eastAsia" w:ascii="宋体" w:hAnsi="宋体" w:eastAsia="宋体" w:cs="宋体"/>
          <w:b w:val="0"/>
          <w:i w:val="0"/>
          <w:caps w:val="0"/>
          <w:color w:val="3E3E3E"/>
          <w:spacing w:val="0"/>
          <w:sz w:val="24"/>
          <w:szCs w:val="24"/>
          <w:bdr w:val="none" w:color="auto" w:sz="0" w:space="0"/>
          <w:shd w:val="clear" w:fill="FFFFFF"/>
        </w:rPr>
        <w:t xml:space="preserve"> 山东省化工产业安全生产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right"/>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                      转型升级专项行动领导小组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right"/>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25"/>
          <w:szCs w:val="25"/>
          <w:bdr w:val="none" w:color="auto" w:sz="0" w:space="0"/>
          <w:shd w:val="clear" w:fill="FFFFFF"/>
        </w:rPr>
        <w:t>                           </w:t>
      </w:r>
      <w:r>
        <w:rPr>
          <w:rFonts w:hint="eastAsia" w:ascii="宋体" w:hAnsi="宋体" w:eastAsia="宋体" w:cs="宋体"/>
          <w:b w:val="0"/>
          <w:i w:val="0"/>
          <w:caps w:val="0"/>
          <w:color w:val="3E3E3E"/>
          <w:spacing w:val="0"/>
          <w:sz w:val="19"/>
          <w:szCs w:val="19"/>
          <w:bdr w:val="none" w:color="auto" w:sz="0" w:space="0"/>
          <w:shd w:val="clear" w:fill="FFFFFF"/>
        </w:rPr>
        <w:t>2018年1月30日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28"/>
          <w:szCs w:val="28"/>
          <w:bdr w:val="none" w:color="auto" w:sz="0" w:space="0"/>
          <w:shd w:val="clear" w:fill="FFFFFF"/>
        </w:rPr>
        <w:t>山东省危险化学品道路运输、仓储、经营企业评级行动计划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为加强危险化学品道路运输、仓储、经营企业管理，切实提高企业本质安全环保水平，加快推进化工产业转型升级和新旧动能转换，按照省委办公厅、省政府办公厅《关于印发〈山东省化工产业安全生产转型升级专项行动总体工作方案〉的通知》（鲁厅字〔2017〕43号）要求，决定开展全省危险化学品道路运输、仓储、经营企业评级行动，特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深入学习贯彻党的十九大精神，认真落实省委省政府化工产业安全生产转型升级决策部署，按照“安全第一、重点整顿、全面提升”的思路，对全省道路危险化学品运输企业、港口危险化学品装卸仓储企业、危险化学品经营（储存）企业开展评级工作，科学运用评级结果分类施策，推进企业整合重组，进一步提升企业安全管理水平，增强企业内在发展动力，推进产业转型升级、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（一）坚持安全第一。引导企业加强安全管理，建立健全规章制度，落实安全生产主体责任和全员生产责任制，加大风险管控和隐患排查治理力度，努力提升企业本质安全水平。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（二）坚持环保约束。引导企业增强环保意识，提升防污治污水平，加强治理设施配套、污染治理和风险防控，督促企业强化组织体系建设和环境信息公开，提升环境保护水平。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（三）坚持转型升级。引导企业严格执行国家相关产业政策，加快科技成果转化，推广应用新技术、新材料、新工艺，实施信息化、自动化改造，努力实现创新发展、转型发展、绿色发展。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（四）坚持综合提升。引导企业从资金投入、人才引进、技术研发、创新发展等方面加强企业能力建设，全面提高企业发展质量和效益。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三、参评范围及标准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（一）参评范围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1．全省取得道路危险货物运输许可的危险化学品道路运输企业。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2．全省港口危险化学品（含燃料油、重柴油危险货物）装卸仓储企业。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3．全省取得《危险化学品经营许可证》的危险化学品经营企业（油气长输管道、加油站以及不带有储存设施的危险化学品经营企业除外）。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（二）评级标准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上述三类企业分别按照《山东省道路危险化学品运输企业评级标准》（见附件1）、《山东省港口危险化学品装卸仓储企业评级标准》（见附件2）、《山东省危险化学品经营（储存）企业评级标准》（见附件3）进行评级打分。不存在否决项的，根据总得分情况，确定“优”“中”“差”三个等次；得分90分（含）以上的，评级为“优”；得分89.5分—60分的，评级为“中”；得分60分（不含）以下的，评级为“差”。存在否决项的，不论得分高低一律评级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四、工作程序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评级工作由省化工专项行动办总牵头，负责制定行动计划、出台标准，并负责对标准进行解读、释义。各市政府统一领导本地评级工作，由市化工专项行动办牵头，组织相关部门实施。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（一）前期准备阶段（2018年5月底前）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省化工专项行动办发布统一评级标准，确保评级工作的一致性、公平性和严肃性。各市化工专项行动办在前期调查摸底、排查整治工作的基础上，全面摸清辖区内道路危险化学品运输企业、港口危险化学品装卸仓储企业、危险化学品经营（储存）企业底数，招标确定第三方评级机构，形成评级工作方案，报省化工专项行动办。同时，组织参评企业按照标准逐条逐项开展自评，形成自评书面报告，并针对自评发现的问题进行整改，为接受政府委托的第三方机构开展评级做好准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（二）评级开展阶段（2018年9月底前完成）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各市要按照评级标准和评级工作方案，组织第三方机构对道路危险化学品运输企业、港口危险化学品装卸仓储企业、危险化学品经营（储存）企业有序开展评级。评级要严格按照评分标准出具打分表，明确“优”“中”“差”评级等次，建立问题清单，分类提出处理意见，将企业评级情况，连同各企业评级打分表，于评级工作结束后15个工作日内，报省化工专项行动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（三）复审复评阶段（2018年10月前完成）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省化工专项行动办对各市评级工作进行督查、复审复评，以组织各市评级的第三方机构为单位，从对应评级的企业名单中抽取3-5%“优”“中”等次企业进行复审，对存在问题比较严重的市、县，将责令其对辖区内企业重新进行评级。对发现弄虚作假、工作不到位走过场、评级不公平公正的，依法依规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（四）整改总结阶段（2018年12月底前完成）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要加强评级结果的运用，对“差”评企业要立即停产整顿，引导和推动企业关停并转或改造提升，实现达标经营或关闭转产；对评级为“中”的企业，要根据企业发展实际，对存在的问题进行整改，对发现的高风险类隐患点，要求企业限期整改；对评级为“优”的企业，鼓励企业进一步提高装备科技化水平，提升企业经营管理规模化、规范化、现代化水平。各市要将整改情况于2018年底之前报省化工专项行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一）加强组织领导。危险化学品运输、仓储、经营企业管理事关安全生产大局，各市政府、各部门要高度重视评级工作，严密部署，形成有目标、有任务、有考核的工作推进机制。各市化工专项行动办要做好协调督导，各监管执法部门要加强管理，严格执法，共同推进评级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二）严把评级标准。各市要全面落实管理责任和企业主体责任，严格执行评级标准，以发现问题、整改隐患、提升水平为原则，严格依照标准开展评级工作，切实做到公平、公正、公开，通过评级，切实消除问题企业、整改风险隐患、提升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（三）强化工作保障。各市政府及各有关部门要进一步加大工作力度，出台相应配套措施，为评级工作提供充足的人力、财力支持；评级相关费用由市、县政府分摊，省财政给予适当补助或奖励。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四）营造良好氛围。要充分发挥各种媒体作用，加强危险化学品运输、仓储、经营等相关法律法规、行业规范的宣传，加强政策解读，使企业进一步增强对评级工作重要性和紧迫性的认识，自觉抓整改、上水平、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1.山东省道路危险化学品运输企业评级标准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2.山东省港口危险化学品装卸仓储企业评级标准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3.山东省危险化学品经营（储存）企业评级标准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黑体" w:hAnsi="宋体" w:eastAsia="黑体" w:cs="黑体"/>
          <w:b w:val="0"/>
          <w:i w:val="0"/>
          <w:caps w:val="0"/>
          <w:color w:val="3E3E3E"/>
          <w:spacing w:val="0"/>
          <w:sz w:val="16"/>
          <w:szCs w:val="16"/>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山东省道路危险化学品运输企业评级标准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ascii="仿宋_gb2312" w:hAnsi="仿宋_gb2312" w:eastAsia="仿宋_gb2312" w:cs="仿宋_gb2312"/>
          <w:b w:val="0"/>
          <w:i w:val="0"/>
          <w:caps w:val="0"/>
          <w:color w:val="3E3E3E"/>
          <w:spacing w:val="-24"/>
          <w:sz w:val="19"/>
          <w:szCs w:val="19"/>
          <w:bdr w:val="none" w:color="auto" w:sz="0" w:space="0"/>
          <w:shd w:val="clear" w:fill="FFFFFF"/>
        </w:rPr>
        <w:t> 市、县（市、区）</w:t>
      </w:r>
      <w:r>
        <w:rPr>
          <w:rFonts w:hint="default" w:ascii="仿宋_gb2312" w:hAnsi="仿宋_gb2312" w:eastAsia="仿宋_gb2312" w:cs="仿宋_gb2312"/>
          <w:b w:val="0"/>
          <w:i w:val="0"/>
          <w:caps w:val="0"/>
          <w:color w:val="3E3E3E"/>
          <w:spacing w:val="0"/>
          <w:sz w:val="19"/>
          <w:szCs w:val="19"/>
          <w:bdr w:val="none" w:color="auto" w:sz="0" w:space="0"/>
          <w:shd w:val="clear" w:fill="FFFFFF"/>
        </w:rPr>
        <w:t>：</w:t>
      </w:r>
      <w:r>
        <w:rPr>
          <w:rFonts w:ascii="Calibri" w:hAnsi="Calibri" w:eastAsia="Calibri" w:cs="Calibri"/>
          <w:b w:val="0"/>
          <w:i w:val="0"/>
          <w:caps w:val="0"/>
          <w:color w:val="3E3E3E"/>
          <w:spacing w:val="0"/>
          <w:sz w:val="22"/>
          <w:szCs w:val="22"/>
          <w:bdr w:val="none" w:color="auto" w:sz="0" w:space="0"/>
          <w:shd w:val="clear" w:fill="FFFFFF"/>
        </w:rPr>
        <w:t>                  </w:t>
      </w:r>
      <w:r>
        <w:rPr>
          <w:rFonts w:hint="default" w:ascii="仿宋_gb2312" w:hAnsi="仿宋_gb2312" w:eastAsia="仿宋_gb2312" w:cs="仿宋_gb2312"/>
          <w:b w:val="0"/>
          <w:i w:val="0"/>
          <w:caps w:val="0"/>
          <w:color w:val="3E3E3E"/>
          <w:spacing w:val="0"/>
          <w:sz w:val="19"/>
          <w:szCs w:val="19"/>
          <w:bdr w:val="none" w:color="auto" w:sz="0" w:space="0"/>
          <w:shd w:val="clear" w:fill="FFFFFF"/>
        </w:rPr>
        <w:t>企业名称：</w:t>
      </w:r>
    </w:p>
    <w:tbl>
      <w:tblPr>
        <w:tblW w:w="8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56"/>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8" w:hRule="atLeast"/>
        </w:trPr>
        <w:tc>
          <w:tcPr>
            <w:tcW w:w="6356"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Calibri" w:hAnsi="Calibri" w:eastAsia="Calibri" w:cs="Calibri"/>
                <w:b w:val="0"/>
                <w:i w:val="0"/>
                <w:caps w:val="0"/>
                <w:color w:val="3E3E3E"/>
                <w:spacing w:val="0"/>
                <w:sz w:val="16"/>
                <w:szCs w:val="16"/>
                <w:bdr w:val="none" w:color="auto" w:sz="0" w:space="0"/>
              </w:rPr>
              <w:t>一、否决项：存在下列情况之一的，评级为“差”</w:t>
            </w:r>
          </w:p>
        </w:tc>
        <w:tc>
          <w:tcPr>
            <w:tcW w:w="1659"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Calibri" w:hAnsi="Calibri" w:eastAsia="Calibri" w:cs="Calibri"/>
                <w:b w:val="0"/>
                <w:i w:val="0"/>
                <w:caps w:val="0"/>
                <w:color w:val="3E3E3E"/>
                <w:spacing w:val="0"/>
                <w:sz w:val="16"/>
                <w:szCs w:val="16"/>
                <w:bdr w:val="none" w:color="auto" w:sz="0" w:space="0"/>
              </w:rPr>
              <w:t>在对应处打</w:t>
            </w:r>
            <w:r>
              <w:rPr>
                <w:rFonts w:hint="default" w:ascii="仿宋_gb2312" w:hAnsi="仿宋_gb2312" w:eastAsia="仿宋_gb2312" w:cs="仿宋_gb2312"/>
                <w:b w:val="0"/>
                <w:i w:val="0"/>
                <w:caps w:val="0"/>
                <w:color w:val="3E3E3E"/>
                <w:spacing w:val="0"/>
                <w:sz w:val="16"/>
                <w:szCs w:val="1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1.超出《道路运输经营许可证》有效期或经营范围从事运输经营的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8"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2.存在产权不统一、劳动关系不统一、运输生产组织不统一、财务管理不统一、管理责任不统一等经营行为的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3.道路危险化学品运输车辆未100%安装卫星定位监控装置的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2"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4.存在动态监控数据造假或违规修改系统参数行为的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5.近半年内存在伪造、变造车辆《道路运输证》等行为的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rPr>
        <w:tc>
          <w:tcPr>
            <w:tcW w:w="63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6.近半年内存在将危化品瞒报或谎报为普通货物运输行为的</w:t>
            </w:r>
          </w:p>
        </w:tc>
        <w:tc>
          <w:tcPr>
            <w:tcW w:w="1659"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   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Calibri" w:hAnsi="Calibri" w:eastAsia="Calibri" w:cs="Calibri"/>
          <w:b w:val="0"/>
          <w:i w:val="0"/>
          <w:caps w:val="0"/>
          <w:color w:val="3E3E3E"/>
          <w:spacing w:val="0"/>
          <w:sz w:val="16"/>
          <w:szCs w:val="16"/>
          <w:bdr w:val="none" w:color="auto" w:sz="0" w:space="0"/>
          <w:shd w:val="clear" w:fill="FFFFFF"/>
        </w:rPr>
        <w:t> </w:t>
      </w:r>
    </w:p>
    <w:tbl>
      <w:tblPr>
        <w:tblW w:w="8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1"/>
        <w:gridCol w:w="2584"/>
        <w:gridCol w:w="778"/>
        <w:gridCol w:w="851"/>
        <w:gridCol w:w="2034"/>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项目</w:t>
            </w:r>
          </w:p>
        </w:tc>
        <w:tc>
          <w:tcPr>
            <w:tcW w:w="258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评级内容</w:t>
            </w:r>
          </w:p>
        </w:tc>
        <w:tc>
          <w:tcPr>
            <w:tcW w:w="778"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分值</w:t>
            </w:r>
          </w:p>
        </w:tc>
        <w:tc>
          <w:tcPr>
            <w:tcW w:w="851"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计分方法</w:t>
            </w:r>
          </w:p>
        </w:tc>
        <w:tc>
          <w:tcPr>
            <w:tcW w:w="203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考核方式</w:t>
            </w:r>
          </w:p>
        </w:tc>
        <w:tc>
          <w:tcPr>
            <w:tcW w:w="1155"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11" w:type="dxa"/>
            <w:vMerge w:val="restart"/>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5"/>
                <w:szCs w:val="15"/>
                <w:bdr w:val="none" w:color="auto" w:sz="0" w:space="0"/>
              </w:rPr>
              <w:t>二、营运资质和规模（16分）</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1.经营性运输企业自有专用车辆（挂车除外）是否达到50辆（含）以上</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10</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未达到50辆（含）以上的扣10分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查阅企业车辆《道路运输证》，与交通运管部门许可信息进行比对</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2" w:hRule="atLeast"/>
        </w:trPr>
        <w:tc>
          <w:tcPr>
            <w:tcW w:w="611"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企业主要负责人、分管安全经理、安全员等重要岗位人员是否经过培训并考核合格；驾驶人员、押运人员从业资格证件是否在有效期内；在运行过程中是否达到至少一车一驾驶人员、一押运人员；驾驶员年龄是否在60（含）岁以下；车辆是否存在《道路运输证》被注销后进行非法运输</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5</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1.查阅主要负责人、分管安全经理、安全员等重要岗位人员安全考核合格证，驾驶人员、押运人员的从业资格证；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2.与交通运输部门运政系统进行比对；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3.调阅半年内公安、交通运输部门执法信息资料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11"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3.企业《营业执照》与道路运输经营许可的法人代表、名称、地址等是否一致</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1</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每发现一处不一致扣1分</w:t>
            </w:r>
          </w:p>
        </w:tc>
        <w:tc>
          <w:tcPr>
            <w:tcW w:w="203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查阅企业《营业执照》和道路运输经营许可的相关资料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11" w:type="dxa"/>
            <w:vMerge w:val="restart"/>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5"/>
                <w:szCs w:val="15"/>
                <w:bdr w:val="none" w:color="auto" w:sz="0" w:space="0"/>
              </w:rPr>
              <w:t>三</w:t>
            </w:r>
            <w:r>
              <w:rPr>
                <w:rStyle w:val="4"/>
                <w:rFonts w:hint="default" w:ascii="Calibri" w:hAnsi="Calibri" w:eastAsia="Calibri" w:cs="Calibri"/>
                <w:b/>
                <w:i w:val="0"/>
                <w:caps w:val="0"/>
                <w:color w:val="3E3E3E"/>
                <w:spacing w:val="0"/>
                <w:sz w:val="15"/>
                <w:szCs w:val="15"/>
                <w:bdr w:val="none" w:color="auto" w:sz="0" w:space="0"/>
              </w:rPr>
              <w:t>、管理</w:t>
            </w:r>
            <w:r>
              <w:rPr>
                <w:rStyle w:val="4"/>
                <w:rFonts w:hint="eastAsia" w:ascii="宋体" w:hAnsi="宋体" w:eastAsia="宋体" w:cs="宋体"/>
                <w:b/>
                <w:i w:val="0"/>
                <w:caps w:val="0"/>
                <w:color w:val="3E3E3E"/>
                <w:spacing w:val="0"/>
                <w:sz w:val="15"/>
                <w:szCs w:val="15"/>
                <w:bdr w:val="none" w:color="auto" w:sz="0" w:space="0"/>
              </w:rPr>
              <w:t>机构和</w:t>
            </w:r>
            <w:r>
              <w:rPr>
                <w:rStyle w:val="4"/>
                <w:rFonts w:hint="default" w:ascii="Calibri" w:hAnsi="Calibri" w:eastAsia="Calibri" w:cs="Calibri"/>
                <w:b/>
                <w:i w:val="0"/>
                <w:caps w:val="0"/>
                <w:color w:val="3E3E3E"/>
                <w:spacing w:val="0"/>
                <w:sz w:val="15"/>
                <w:szCs w:val="15"/>
                <w:bdr w:val="none" w:color="auto" w:sz="0" w:space="0"/>
              </w:rPr>
              <w:t>制度（8分）</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1.是否按照规定要求建立安全生产、事故应急处置、特种设备等管理机构；对重要岗位人员发生变化的是否及时调整补齐；是否每季度召开安全领导机构会议；是否至少每月召开一次安全工作会议</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查阅企业成立管理机构文件、人员调整文件、一年内会议记录等</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4" w:hRule="atLeast"/>
        </w:trPr>
        <w:tc>
          <w:tcPr>
            <w:tcW w:w="611"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2.是否按照规定要求制定有关安全生产管理制度；是否定期进行制度落实监督检查，并建立检查台账</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5</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未按规定制定安全生产管理制度并落实的，发现一项扣0.5分；未建立监督检查台账的，扣2分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1.查阅制度文本、监督检查台账等相关资料；2.现场询问相关人员，了解有关内容落实情况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80" w:hRule="atLeast"/>
        </w:trPr>
        <w:tc>
          <w:tcPr>
            <w:tcW w:w="611" w:type="dxa"/>
            <w:vMerge w:val="restart"/>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eastAsia" w:ascii="宋体" w:hAnsi="宋体" w:eastAsia="宋体" w:cs="宋体"/>
                <w:b/>
                <w:i w:val="0"/>
                <w:caps w:val="0"/>
                <w:color w:val="3E3E3E"/>
                <w:spacing w:val="0"/>
                <w:sz w:val="16"/>
                <w:szCs w:val="16"/>
                <w:bdr w:val="none" w:color="auto" w:sz="0" w:space="0"/>
              </w:rPr>
              <w:t>四</w:t>
            </w:r>
            <w:r>
              <w:rPr>
                <w:rStyle w:val="4"/>
                <w:rFonts w:hint="default" w:ascii="Calibri" w:hAnsi="Calibri" w:eastAsia="Calibri" w:cs="Calibri"/>
                <w:b/>
                <w:i w:val="0"/>
                <w:caps w:val="0"/>
                <w:color w:val="3E3E3E"/>
                <w:spacing w:val="0"/>
                <w:sz w:val="16"/>
                <w:szCs w:val="16"/>
                <w:bdr w:val="none" w:color="auto" w:sz="0" w:space="0"/>
              </w:rPr>
              <w:t>、人员</w:t>
            </w:r>
            <w:r>
              <w:rPr>
                <w:rStyle w:val="4"/>
                <w:rFonts w:hint="eastAsia" w:ascii="宋体" w:hAnsi="宋体" w:eastAsia="宋体" w:cs="宋体"/>
                <w:b/>
                <w:i w:val="0"/>
                <w:caps w:val="0"/>
                <w:color w:val="3E3E3E"/>
                <w:spacing w:val="0"/>
                <w:sz w:val="16"/>
                <w:szCs w:val="16"/>
                <w:bdr w:val="none" w:color="auto" w:sz="0" w:space="0"/>
              </w:rPr>
              <w:t>管 理（</w:t>
            </w:r>
            <w:r>
              <w:rPr>
                <w:rStyle w:val="4"/>
                <w:rFonts w:hint="default" w:ascii="Calibri" w:hAnsi="Calibri" w:eastAsia="Calibri" w:cs="Calibri"/>
                <w:b/>
                <w:i w:val="0"/>
                <w:caps w:val="0"/>
                <w:color w:val="3E3E3E"/>
                <w:spacing w:val="0"/>
                <w:sz w:val="16"/>
                <w:szCs w:val="16"/>
                <w:bdr w:val="none" w:color="auto" w:sz="0" w:space="0"/>
              </w:rPr>
              <w:t>12</w:t>
            </w:r>
            <w:r>
              <w:rPr>
                <w:rStyle w:val="4"/>
                <w:rFonts w:hint="eastAsia" w:ascii="宋体" w:hAnsi="宋体" w:eastAsia="宋体" w:cs="宋体"/>
                <w:b/>
                <w:i w:val="0"/>
                <w:caps w:val="0"/>
                <w:color w:val="3E3E3E"/>
                <w:spacing w:val="0"/>
                <w:sz w:val="16"/>
                <w:szCs w:val="16"/>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 </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1.是否按照相关规定要求配备安全生产管理人员；是否按要求对从业人员进行档案管理，建立一人一档</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安全管理人员配备不达标的扣2分；未按要求建立一人一档的扣2分；档案资料不符合要求的，每发现一处扣1分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查阅安全生产管理人员配备的文件资料、从业人员档案资料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40" w:hRule="atLeast"/>
        </w:trPr>
        <w:tc>
          <w:tcPr>
            <w:tcW w:w="611" w:type="dxa"/>
            <w:vMerge w:val="continue"/>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2.主要负责人、安全生产管理人员和从业人员是否接受安全培训，达到规定的培训学时并考核合格；是否按规定进行日常安全教育且规范记录</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每发现一项不符合要求扣1分；发现培训记录造假的扣3分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1.查阅培训的计划、方案、内容、人员签到、学习笔记、培训视频（照片）、考试试卷等相关资料；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2.现场询问有关人员参加培训情况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8" w:hRule="atLeast"/>
        </w:trPr>
        <w:tc>
          <w:tcPr>
            <w:tcW w:w="611" w:type="dxa"/>
            <w:vMerge w:val="continue"/>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3.驾驶员、押运员是否熟悉安全操作规程；是否了解所承运货物的危险特性、应急处置措施及运输注意事项；是否熟练掌握应急处置流程及操作方法</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每发现一人次达不到要求扣1分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现场询问驾驶员、押运员对相关要求的了解熟悉情况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36" w:hRule="atLeast"/>
        </w:trPr>
        <w:tc>
          <w:tcPr>
            <w:tcW w:w="611" w:type="dxa"/>
            <w:vMerge w:val="continue"/>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4、驾驶员、押运员是否规范使用《行车日志》；《行车日志》是否完善</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使用《行车日志》不规范的扣2分；《行车日志》内容不完善的，每发现一处不符合要求扣0.5分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抽查近两年内一个月的《行车日志》，与动态监控资料比对</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eastAsia" w:ascii="宋体" w:hAnsi="宋体" w:eastAsia="宋体" w:cs="宋体"/>
                <w:b/>
                <w:i w:val="0"/>
                <w:caps w:val="0"/>
                <w:color w:val="3E3E3E"/>
                <w:spacing w:val="0"/>
                <w:sz w:val="15"/>
                <w:szCs w:val="15"/>
                <w:bdr w:val="none" w:color="auto" w:sz="0" w:space="0"/>
              </w:rPr>
              <w:t>五、专用车辆和设备管理（</w:t>
            </w:r>
            <w:r>
              <w:rPr>
                <w:rStyle w:val="4"/>
                <w:rFonts w:hint="default" w:ascii="Calibri" w:hAnsi="Calibri" w:eastAsia="Calibri" w:cs="Calibri"/>
                <w:b/>
                <w:i w:val="0"/>
                <w:caps w:val="0"/>
                <w:color w:val="3E3E3E"/>
                <w:spacing w:val="0"/>
                <w:sz w:val="16"/>
                <w:szCs w:val="16"/>
                <w:bdr w:val="none" w:color="auto" w:sz="0" w:space="0"/>
              </w:rPr>
              <w:t>29</w:t>
            </w:r>
            <w:r>
              <w:rPr>
                <w:rStyle w:val="4"/>
                <w:rFonts w:hint="eastAsia" w:ascii="宋体" w:hAnsi="宋体" w:eastAsia="宋体" w:cs="宋体"/>
                <w:b/>
                <w:i w:val="0"/>
                <w:caps w:val="0"/>
                <w:color w:val="3E3E3E"/>
                <w:spacing w:val="0"/>
                <w:sz w:val="16"/>
                <w:szCs w:val="16"/>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 </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1.是否按照规定要求对车辆进行技术档案管理，建立一车一档；是否按照规定要求对移动式压力容器逐台建立技术档案</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未按规定要求建立车辆一车一档或移动式压力容器技术档案的扣3分；档案资料每发现一处不符合要求扣1分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查阅车辆和移动式压力容器技术档案资料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76"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2.一年内，车辆是否存在“小车大罐”或“大罐小标”；是否擅自拼装改装</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5</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每发现一处扣5分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1.查阅车辆技术档案资料，与公安、交通运输部门车辆登记信息比对；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2.调阅公安、交通运输部门执法信息资料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8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3.企业是否使用未办理《使用登记证》或未经检验合格的移动式压力容器</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查阅移动式压力容器技术档案资料和《使用登记证》《检验合格证》</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8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车辆是否安装符合行业标准并检测合格的视频监控、前方车辆碰撞预警装置、车道偏离预警装置等安全设施设备；车辆安全告示、标志标识以及防护装置、消防设备、应急救援器材是否配备齐全、规范、有效；是否随车携带“道路运输危险货物安全卡”、所运货物的“安全技术说明书”；常压罐车是否按要求安装紧急切断装置；运输剧毒、爆炸、易燃危险货物的车辆是否配备导静电橡胶拖地带</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8</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1.查阅车辆技术档案和各种安全设施设备配备清单等资料；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2.抽查车辆的各种安全设施设备是否配备齐全、规范、有效</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44"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5.车辆是否按规定通过技术等级评定，且全部为一级车；车辆是否有二级维护检测报告或出厂竣工合格证（挂车除外），并按时参加年度审验；是否落实车辆出入库检查措施，建立完善的车辆检查、隐患整改台账</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1.查阅车辆技术档案资料（挂车不检查二级维护检测报告）、年度罐检报告；车辆出入库检查及隐患整改台账；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2.查看车辆出入库检查台账及隐患整改落实情况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6.一年内是否存在车辆运输介质与《道路运输证》不一致行为</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6</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发现一车次扣6分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1.检查比对企业货物单据与《道路运输证》运输介质是否一致；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2.调阅公安、交通运输部门执法信息资料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7.是否按规定为车辆投保承运人责任险，且在有效期内</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未按规定投保或未在有效期内扣2分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查阅企业投保承运人责任险有关资料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16" w:hRule="atLeast"/>
        </w:trPr>
        <w:tc>
          <w:tcPr>
            <w:tcW w:w="611" w:type="dxa"/>
            <w:vMerge w:val="restart"/>
            <w:tcBorders>
              <w:top w:val="nil"/>
              <w:left w:val="single" w:color="000000" w:sz="4" w:space="0"/>
              <w:bottom w:val="single" w:color="DDDDDD"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六、停车场管理(10分）</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1.停车场地是否具有产权证或三年以上的场地租赁合同；停车场面积是否符合规定要求</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停车场地没有产权证或三年以上的场地租赁合同的扣2分；停车场面积不符合规定要求的扣2分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1.查阅停车场的土地使用证或租赁合同、停车场地平面图等资料；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2.现场检查停车场面积是否符合与企业经营范围、车辆数相匹配的面积规定要求</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44" w:hRule="atLeast"/>
        </w:trPr>
        <w:tc>
          <w:tcPr>
            <w:tcW w:w="611" w:type="dxa"/>
            <w:vMerge w:val="continue"/>
            <w:tcBorders>
              <w:top w:val="nil"/>
              <w:left w:val="single" w:color="000000" w:sz="4" w:space="0"/>
              <w:bottom w:val="single" w:color="DDDDDD"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2.停车场地是否封闭并设立明显标志；是否符合消防、安全等国家标准规范要求；停放运输剧毒、爆炸（或易制爆）和I类包装危险货物专用车辆的，停车场内是否设置专用停车区域，并设立明显的警示标志</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1.查阅消防、安全相关证明材料；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2.现场检查各类标志设立是否符合国家标准规范要求</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4" w:hRule="atLeast"/>
        </w:trPr>
        <w:tc>
          <w:tcPr>
            <w:tcW w:w="611" w:type="dxa"/>
            <w:vMerge w:val="continue"/>
            <w:tcBorders>
              <w:top w:val="nil"/>
              <w:left w:val="single" w:color="000000" w:sz="4" w:space="0"/>
              <w:bottom w:val="single" w:color="DDDDDD"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3.停车场是否按规定要求配备与运输的危险货物性质相适应的安全、环保、消防等设施设备</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1.查阅相关安全防护、环境保护、消防等设施设备配备清单；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2.现场检查各种设施设备是否配备齐全、规范、有效</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60" w:hRule="atLeast"/>
        </w:trPr>
        <w:tc>
          <w:tcPr>
            <w:tcW w:w="611" w:type="dxa"/>
            <w:vMerge w:val="restart"/>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Style w:val="4"/>
                <w:rFonts w:hint="default" w:ascii="Calibri" w:hAnsi="Calibri" w:eastAsia="Calibri" w:cs="Calibri"/>
                <w:b/>
                <w:i w:val="0"/>
                <w:caps w:val="0"/>
                <w:color w:val="3E3E3E"/>
                <w:spacing w:val="0"/>
                <w:sz w:val="15"/>
                <w:szCs w:val="15"/>
                <w:bdr w:val="none" w:color="auto" w:sz="0" w:space="0"/>
              </w:rPr>
              <w:t>七、动态监管（1</w:t>
            </w:r>
            <w:r>
              <w:rPr>
                <w:rStyle w:val="4"/>
                <w:rFonts w:hint="eastAsia" w:ascii="宋体" w:hAnsi="宋体" w:eastAsia="宋体" w:cs="宋体"/>
                <w:b/>
                <w:i w:val="0"/>
                <w:caps w:val="0"/>
                <w:color w:val="3E3E3E"/>
                <w:spacing w:val="0"/>
                <w:sz w:val="15"/>
                <w:szCs w:val="15"/>
                <w:bdr w:val="none" w:color="auto" w:sz="0" w:space="0"/>
              </w:rPr>
              <w:t>0</w:t>
            </w:r>
            <w:r>
              <w:rPr>
                <w:rStyle w:val="4"/>
                <w:rFonts w:hint="default" w:ascii="Calibri" w:hAnsi="Calibri" w:eastAsia="Calibri" w:cs="Calibri"/>
                <w:b/>
                <w:i w:val="0"/>
                <w:caps w:val="0"/>
                <w:color w:val="3E3E3E"/>
                <w:spacing w:val="0"/>
                <w:sz w:val="15"/>
                <w:szCs w:val="15"/>
                <w:bdr w:val="none" w:color="auto" w:sz="0" w:space="0"/>
              </w:rPr>
              <w:t>分）</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1.是否建立健全卫星定位监控系统平台的维护管理制度、车载终端安装使用维护制度、监控人员岗位职责及管理制度、交通违法动态信息处理统计分析制度、监控人员值班制度，并及时修订</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未按规定要求制定并及时修订，发现一项扣0.5分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查阅各项制度制定及修订等相关内容资料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60" w:hRule="atLeast"/>
        </w:trPr>
        <w:tc>
          <w:tcPr>
            <w:tcW w:w="611" w:type="dxa"/>
            <w:vMerge w:val="continue"/>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2.是否有固定的监控场所和设备；是否实行24小时实时动态监控；是否有规范的动态监控台账；是否按照规定的要求配备监控人员</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1.查阅人员配备、值班和动态监控台账等资料；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2.现场检查动态监控场所及设备运行情况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8" w:hRule="atLeast"/>
        </w:trPr>
        <w:tc>
          <w:tcPr>
            <w:tcW w:w="611" w:type="dxa"/>
            <w:vMerge w:val="continue"/>
            <w:tcBorders>
              <w:top w:val="nil"/>
              <w:left w:val="single" w:color="000000" w:sz="4" w:space="0"/>
              <w:bottom w:val="single" w:color="DDDDDD" w:sz="4" w:space="0"/>
              <w:right w:val="single" w:color="000000"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3.企业是否根据动态监控平台及时纠正和处理超速、疲劳驾驶等违法违章驾驶行为，并建立处理台账</w:t>
            </w:r>
          </w:p>
        </w:tc>
        <w:tc>
          <w:tcPr>
            <w:tcW w:w="77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6</w:t>
            </w:r>
          </w:p>
        </w:tc>
        <w:tc>
          <w:tcPr>
            <w:tcW w:w="851"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每发现一处未达到要求扣2分</w:t>
            </w:r>
          </w:p>
        </w:tc>
        <w:tc>
          <w:tcPr>
            <w:tcW w:w="203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查阅违法违章驾驶行为处理台账等资料</w:t>
            </w:r>
          </w:p>
        </w:tc>
        <w:tc>
          <w:tcPr>
            <w:tcW w:w="1155" w:type="dxa"/>
            <w:tcBorders>
              <w:top w:val="nil"/>
              <w:left w:val="nil"/>
              <w:bottom w:val="single" w:color="auto"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2" w:hRule="atLeast"/>
        </w:trPr>
        <w:tc>
          <w:tcPr>
            <w:tcW w:w="611" w:type="dxa"/>
            <w:vMerge w:val="restart"/>
            <w:tcBorders>
              <w:top w:val="nil"/>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default" w:ascii="Calibri" w:hAnsi="Calibri" w:eastAsia="Calibri" w:cs="Calibri"/>
                <w:b/>
                <w:i w:val="0"/>
                <w:caps w:val="0"/>
                <w:color w:val="3E3E3E"/>
                <w:spacing w:val="0"/>
                <w:sz w:val="15"/>
                <w:szCs w:val="15"/>
                <w:bdr w:val="none" w:color="auto" w:sz="0" w:space="0"/>
              </w:rPr>
              <w:t>八、风险管控（</w:t>
            </w:r>
            <w:r>
              <w:rPr>
                <w:rStyle w:val="4"/>
                <w:rFonts w:hint="eastAsia" w:ascii="宋体" w:hAnsi="宋体" w:eastAsia="宋体" w:cs="宋体"/>
                <w:b/>
                <w:i w:val="0"/>
                <w:caps w:val="0"/>
                <w:color w:val="3E3E3E"/>
                <w:spacing w:val="0"/>
                <w:sz w:val="15"/>
                <w:szCs w:val="15"/>
                <w:bdr w:val="none" w:color="auto" w:sz="0" w:space="0"/>
              </w:rPr>
              <w:t>7</w:t>
            </w:r>
            <w:r>
              <w:rPr>
                <w:rStyle w:val="4"/>
                <w:rFonts w:hint="default" w:ascii="Calibri" w:hAnsi="Calibri" w:eastAsia="Calibri" w:cs="Calibri"/>
                <w:b/>
                <w:i w:val="0"/>
                <w:caps w:val="0"/>
                <w:color w:val="3E3E3E"/>
                <w:spacing w:val="0"/>
                <w:sz w:val="15"/>
                <w:szCs w:val="15"/>
                <w:bdr w:val="none" w:color="auto" w:sz="0" w:space="0"/>
              </w:rPr>
              <w:t>分）</w:t>
            </w:r>
          </w:p>
        </w:tc>
        <w:tc>
          <w:tcPr>
            <w:tcW w:w="258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编制风险辨识手册，明确风险辨识范围、方式和程序；是否进行全面、专项辨识，形成风险清单；是否对风险清单中所列风险进行逐项评估；是否依据风险的等级、性质等因素科学制定并落实管控措施；是否制定或完善应急措施；是否建立风险管理工作档案并规范管理</w:t>
            </w:r>
          </w:p>
        </w:tc>
        <w:tc>
          <w:tcPr>
            <w:tcW w:w="77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每发现一处未达到要求扣0.5分</w:t>
            </w:r>
          </w:p>
        </w:tc>
        <w:tc>
          <w:tcPr>
            <w:tcW w:w="203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1.查阅风险辨识手册、风险清单、风险评估材料、风险分级管控措施及应急措施等档案资料；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2.现场检查风险告知警示和风险管控、应急措施落实情况</w:t>
            </w:r>
          </w:p>
        </w:tc>
        <w:tc>
          <w:tcPr>
            <w:tcW w:w="1155" w:type="dxa"/>
            <w:tcBorders>
              <w:top w:val="nil"/>
              <w:left w:val="nil"/>
              <w:bottom w:val="single" w:color="auto"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11"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建立安全隐患日常、定期和专项排查工作机制；是否建立隐患排查台账，确定隐患等级，形成隐患清单；重大隐患是否制定专项方案，并建立专项档案；是否定期进行隐患治理情况统计分析；是否建立隐患整改措施并落实；是否建立隐患治理工作档案并规范管理</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每发现一处未达到要求扣1分；整改措施每发现一项未落实扣1分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1.查阅安全隐患日常、定期和专项排查工作机制文件资料、隐患排查台账、隐患清单、重大隐患专项方案、隐患治理情况统计分析、隐患整改措施台账等档案资料；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2.现场检查隐患通报和整改措施落实情况</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4" w:hRule="atLeast"/>
        </w:trPr>
        <w:tc>
          <w:tcPr>
            <w:tcW w:w="611"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3.企业是否按照规范要求编制事故应急处置预案，定期开展综合、专项及现场处置演练</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未编制预案或未按规定要求定期进行演练扣2分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1.查阅事故应急处置预案、开展综合、专项以及现场处置演练的计划、方案、视频（照片）等相关资料；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2.现场询问有关人员</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4" w:hRule="atLeast"/>
        </w:trPr>
        <w:tc>
          <w:tcPr>
            <w:tcW w:w="611" w:type="dxa"/>
            <w:vMerge w:val="restart"/>
            <w:tcBorders>
              <w:top w:val="nil"/>
              <w:left w:val="single" w:color="auto" w:sz="4" w:space="0"/>
              <w:bottom w:val="single" w:color="DDDDDD"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Style w:val="4"/>
                <w:rFonts w:hint="eastAsia" w:ascii="宋体" w:hAnsi="宋体" w:eastAsia="宋体" w:cs="宋体"/>
                <w:b/>
                <w:i w:val="0"/>
                <w:caps w:val="0"/>
                <w:color w:val="3E3E3E"/>
                <w:spacing w:val="0"/>
                <w:sz w:val="16"/>
                <w:szCs w:val="16"/>
                <w:bdr w:val="none" w:color="auto" w:sz="0" w:space="0"/>
              </w:rPr>
              <w:t>九</w:t>
            </w:r>
            <w:r>
              <w:rPr>
                <w:rStyle w:val="4"/>
                <w:rFonts w:hint="default" w:ascii="Calibri" w:hAnsi="Calibri" w:eastAsia="Calibri" w:cs="Calibri"/>
                <w:b/>
                <w:i w:val="0"/>
                <w:caps w:val="0"/>
                <w:color w:val="3E3E3E"/>
                <w:spacing w:val="0"/>
                <w:sz w:val="16"/>
                <w:szCs w:val="16"/>
                <w:bdr w:val="none" w:color="auto" w:sz="0" w:space="0"/>
              </w:rPr>
              <w:t>、</w:t>
            </w:r>
            <w:r>
              <w:rPr>
                <w:rStyle w:val="4"/>
                <w:rFonts w:hint="default" w:ascii="Calibri" w:hAnsi="Calibri" w:eastAsia="Calibri" w:cs="Calibri"/>
                <w:b/>
                <w:i w:val="0"/>
                <w:caps w:val="0"/>
                <w:color w:val="3E3E3E"/>
                <w:spacing w:val="0"/>
                <w:sz w:val="15"/>
                <w:szCs w:val="15"/>
                <w:bdr w:val="none" w:color="auto" w:sz="0" w:space="0"/>
              </w:rPr>
              <w:t>行政处罚（8分）</w:t>
            </w: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1.一年内是否存在车辆、驾驶员被执法部门处罚的道路违法违规行为并建立处罚管理台账</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一年内有违法超限超载运输车辆超过本企业车辆总数10%被处罚的扣4分，车辆、驾驶员有3次（含）以上违法超限超载运输被处罚的，每人次扣2分；未建立车辆、驾驶员违法违规处罚管理台账的扣2分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1.查阅车辆、驾驶员违法违规行为处罚管理台账等资料；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2.调阅公安、交通执法信息资料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11" w:type="dxa"/>
            <w:vMerge w:val="continue"/>
            <w:tcBorders>
              <w:top w:val="nil"/>
              <w:left w:val="single" w:color="auto" w:sz="4" w:space="0"/>
              <w:bottom w:val="single" w:color="DDDDDD" w:sz="4" w:space="0"/>
              <w:right w:val="single" w:color="auto" w:sz="4" w:space="0"/>
            </w:tcBorders>
            <w:shd w:val="clear" w:color="auto" w:fill="FFFFFF"/>
            <w:vAlign w:val="center"/>
          </w:tcPr>
          <w:p>
            <w:pPr>
              <w:rPr>
                <w:rFonts w:hint="eastAsia" w:ascii="微软雅黑" w:hAnsi="微软雅黑" w:eastAsia="微软雅黑" w:cs="微软雅黑"/>
                <w:b w:val="0"/>
                <w:i w:val="0"/>
                <w:caps w:val="0"/>
                <w:color w:val="3E3E3E"/>
                <w:spacing w:val="0"/>
                <w:sz w:val="16"/>
                <w:szCs w:val="16"/>
              </w:rPr>
            </w:pPr>
          </w:p>
        </w:tc>
        <w:tc>
          <w:tcPr>
            <w:tcW w:w="258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2.一年内是否发生较大及以上道路交通事故并负有同等以上责任</w:t>
            </w:r>
          </w:p>
        </w:tc>
        <w:tc>
          <w:tcPr>
            <w:tcW w:w="778"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851"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发生重大及以上责任事故的扣4分，发生较大责任事故的，每起扣2分</w:t>
            </w:r>
          </w:p>
        </w:tc>
        <w:tc>
          <w:tcPr>
            <w:tcW w:w="203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查阅公安、保险公司事故处理信息资料</w:t>
            </w:r>
          </w:p>
        </w:tc>
        <w:tc>
          <w:tcPr>
            <w:tcW w:w="1155"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4" w:hRule="atLeast"/>
        </w:trPr>
        <w:tc>
          <w:tcPr>
            <w:tcW w:w="8013" w:type="dxa"/>
            <w:gridSpan w:val="6"/>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Style w:val="4"/>
                <w:rFonts w:hint="eastAsia" w:ascii="宋体" w:hAnsi="宋体" w:eastAsia="宋体" w:cs="宋体"/>
                <w:b/>
                <w:i w:val="0"/>
                <w:caps w:val="0"/>
                <w:color w:val="3E3E3E"/>
                <w:spacing w:val="0"/>
                <w:sz w:val="15"/>
                <w:szCs w:val="15"/>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336"/>
            </w:pPr>
            <w:r>
              <w:rPr>
                <w:rFonts w:hint="default" w:ascii="仿宋_gb2312" w:hAnsi="仿宋_gb2312" w:eastAsia="仿宋_gb2312" w:cs="仿宋_gb2312"/>
                <w:b w:val="0"/>
                <w:i w:val="0"/>
                <w:caps w:val="0"/>
                <w:color w:val="3E3E3E"/>
                <w:spacing w:val="0"/>
                <w:sz w:val="16"/>
                <w:szCs w:val="16"/>
                <w:bdr w:val="none" w:color="auto" w:sz="0" w:space="0"/>
              </w:rPr>
              <w:t>一、总分100分，每一子项分值扣完为止。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336"/>
            </w:pPr>
            <w:r>
              <w:rPr>
                <w:rFonts w:hint="default" w:ascii="仿宋_gb2312" w:hAnsi="仿宋_gb2312" w:eastAsia="仿宋_gb2312" w:cs="仿宋_gb2312"/>
                <w:b w:val="0"/>
                <w:i w:val="0"/>
                <w:caps w:val="0"/>
                <w:color w:val="3E3E3E"/>
                <w:spacing w:val="0"/>
                <w:sz w:val="16"/>
                <w:szCs w:val="16"/>
                <w:bdr w:val="none" w:color="auto" w:sz="0" w:space="0"/>
              </w:rPr>
              <w:t>二、评级分为“优”“中”“差”三个等次，具体根据评级得分确定。得分90分（含）以上的，评级为“优”；得分89.5分—60分的，评级为“中”；得分60分（不含）以下的，评级为“差”。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336"/>
            </w:pPr>
            <w:r>
              <w:rPr>
                <w:rFonts w:hint="default" w:ascii="仿宋_gb2312" w:hAnsi="仿宋_gb2312" w:eastAsia="仿宋_gb2312" w:cs="仿宋_gb2312"/>
                <w:b w:val="0"/>
                <w:i w:val="0"/>
                <w:caps w:val="0"/>
                <w:color w:val="3E3E3E"/>
                <w:spacing w:val="0"/>
                <w:sz w:val="16"/>
                <w:szCs w:val="16"/>
                <w:bdr w:val="none" w:color="auto" w:sz="0" w:space="0"/>
              </w:rPr>
              <w:t>三、否决项中一项及以上为“是”的，评级为“差”。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 w:hRule="atLeast"/>
        </w:trPr>
        <w:tc>
          <w:tcPr>
            <w:tcW w:w="8013" w:type="dxa"/>
            <w:gridSpan w:val="6"/>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5"/>
                <w:szCs w:val="15"/>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013" w:type="dxa"/>
            <w:gridSpan w:val="6"/>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5"/>
                <w:szCs w:val="15"/>
                <w:bdr w:val="none" w:color="auto" w:sz="0" w:space="0"/>
              </w:rPr>
              <w:t>评级：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0"/>
          <w:sz w:val="16"/>
          <w:szCs w:val="16"/>
          <w:bdr w:val="none" w:color="auto" w:sz="0" w:space="0"/>
          <w:shd w:val="clear" w:fill="FFFFFF"/>
        </w:rPr>
        <w:t>评级单位：</w:t>
      </w:r>
      <w:r>
        <w:rPr>
          <w:rFonts w:hint="default" w:ascii="Calibri" w:hAnsi="Calibri" w:eastAsia="Calibri" w:cs="Calibri"/>
          <w:b w:val="0"/>
          <w:i w:val="0"/>
          <w:caps w:val="0"/>
          <w:color w:val="3E3E3E"/>
          <w:spacing w:val="0"/>
          <w:sz w:val="16"/>
          <w:szCs w:val="16"/>
          <w:bdr w:val="none" w:color="auto" w:sz="0" w:space="0"/>
          <w:shd w:val="clear" w:fill="FFFFFF"/>
        </w:rPr>
        <w:t>                               </w:t>
      </w:r>
      <w:r>
        <w:rPr>
          <w:rFonts w:hint="default" w:ascii="仿宋_gb2312" w:hAnsi="仿宋_gb2312" w:eastAsia="仿宋_gb2312" w:cs="仿宋_gb2312"/>
          <w:b w:val="0"/>
          <w:i w:val="0"/>
          <w:caps w:val="0"/>
          <w:color w:val="3E3E3E"/>
          <w:spacing w:val="0"/>
          <w:sz w:val="16"/>
          <w:szCs w:val="16"/>
          <w:bdr w:val="none" w:color="auto" w:sz="0" w:space="0"/>
          <w:shd w:val="clear" w:fill="FFFFFF"/>
        </w:rPr>
        <w:t>评级时间：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黑体" w:hAnsi="宋体" w:eastAsia="黑体" w:cs="黑体"/>
          <w:b w:val="0"/>
          <w:i w:val="0"/>
          <w:caps w:val="0"/>
          <w:color w:val="3E3E3E"/>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山东省港口危险化学品装卸仓储企业评级标准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24"/>
          <w:sz w:val="16"/>
          <w:szCs w:val="16"/>
          <w:bdr w:val="none" w:color="auto" w:sz="0" w:space="0"/>
          <w:shd w:val="clear" w:fill="FFFFFF"/>
        </w:rPr>
        <w:t>市、县（市、区）</w:t>
      </w:r>
      <w:r>
        <w:rPr>
          <w:rFonts w:hint="default" w:ascii="仿宋_gb2312" w:hAnsi="仿宋_gb2312" w:eastAsia="仿宋_gb2312" w:cs="仿宋_gb2312"/>
          <w:b w:val="0"/>
          <w:i w:val="0"/>
          <w:caps w:val="0"/>
          <w:color w:val="3E3E3E"/>
          <w:spacing w:val="12"/>
          <w:sz w:val="16"/>
          <w:szCs w:val="16"/>
          <w:bdr w:val="none" w:color="auto" w:sz="0" w:space="0"/>
          <w:shd w:val="clear" w:fill="FFFFFF"/>
        </w:rPr>
        <w:t>：</w:t>
      </w:r>
      <w:r>
        <w:rPr>
          <w:rFonts w:hint="eastAsia" w:ascii="微软雅黑" w:hAnsi="微软雅黑" w:eastAsia="微软雅黑" w:cs="微软雅黑"/>
          <w:b w:val="0"/>
          <w:i w:val="0"/>
          <w:caps w:val="0"/>
          <w:color w:val="3E3E3E"/>
          <w:spacing w:val="0"/>
          <w:sz w:val="16"/>
          <w:szCs w:val="16"/>
          <w:bdr w:val="none" w:color="auto" w:sz="0" w:space="0"/>
          <w:shd w:val="clear" w:fill="FFFFFF"/>
        </w:rPr>
        <w:t>   </w:t>
      </w:r>
      <w:r>
        <w:rPr>
          <w:rFonts w:hint="default" w:ascii="仿宋_gb2312" w:hAnsi="仿宋_gb2312" w:eastAsia="仿宋_gb2312" w:cs="仿宋_gb2312"/>
          <w:b w:val="0"/>
          <w:i w:val="0"/>
          <w:caps w:val="0"/>
          <w:color w:val="3E3E3E"/>
          <w:spacing w:val="0"/>
          <w:sz w:val="16"/>
          <w:szCs w:val="16"/>
          <w:bdr w:val="none" w:color="auto" w:sz="0" w:space="0"/>
          <w:shd w:val="clear" w:fill="FFFFFF"/>
        </w:rPr>
        <w:t>                企业名称：</w:t>
      </w:r>
      <w:r>
        <w:rPr>
          <w:rFonts w:hint="eastAsia" w:ascii="微软雅黑" w:hAnsi="微软雅黑" w:eastAsia="微软雅黑" w:cs="微软雅黑"/>
          <w:b w:val="0"/>
          <w:i w:val="0"/>
          <w:caps w:val="0"/>
          <w:color w:val="3E3E3E"/>
          <w:spacing w:val="0"/>
          <w:sz w:val="16"/>
          <w:szCs w:val="16"/>
          <w:bdr w:val="none" w:color="auto" w:sz="0" w:space="0"/>
          <w:shd w:val="clear" w:fill="FFFFFF"/>
        </w:rPr>
        <w:t>               </w:t>
      </w:r>
    </w:p>
    <w:tbl>
      <w:tblPr>
        <w:tblW w:w="8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763"/>
        <w:gridCol w:w="2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8" w:hRule="atLeast"/>
        </w:trPr>
        <w:tc>
          <w:tcPr>
            <w:tcW w:w="5763"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eastAsia" w:ascii="黑体" w:hAnsi="宋体" w:eastAsia="黑体" w:cs="黑体"/>
                <w:b w:val="0"/>
                <w:i w:val="0"/>
                <w:caps w:val="0"/>
                <w:color w:val="3E3E3E"/>
                <w:spacing w:val="0"/>
                <w:sz w:val="16"/>
                <w:szCs w:val="16"/>
                <w:bdr w:val="none" w:color="auto" w:sz="0" w:space="0"/>
              </w:rPr>
              <w:t>一、否决项：存在下列情形之一的,评级为“差”</w:t>
            </w:r>
          </w:p>
        </w:tc>
        <w:tc>
          <w:tcPr>
            <w:tcW w:w="225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eastAsia" w:ascii="黑体" w:hAnsi="宋体" w:eastAsia="黑体" w:cs="黑体"/>
                <w:b w:val="0"/>
                <w:i w:val="0"/>
                <w:caps w:val="0"/>
                <w:color w:val="3E3E3E"/>
                <w:spacing w:val="0"/>
                <w:sz w:val="16"/>
                <w:szCs w:val="16"/>
                <w:bdr w:val="none" w:color="auto" w:sz="0" w:space="0"/>
              </w:rPr>
              <w:t>在对应处打“√”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1.超出《港口经营许可证》《港口危险货物作业附证》许可范围或有效期从事危险化学品作业的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2.作业场所或装卸储运设备设施安全距离（间距）不符合有关规定的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8"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3.甲B、乙A类可燃液体危险化学品储存场所布置、流淌火防范、消防设施设置不符合“鲁交港航〔2015〕1号”文件要求的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2"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4.作业工艺设备设施不满足危险化学品危险有害特性的安全防范要求的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5.工艺设备及管道未根据输送物料的火灾危险性及作业条件，设置相应的仪表、自动联锁保护系统或紧急切断装置的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6.危险化学品罐区未按规定装备安全仪表系统和自动化控制系统，安装储罐高低液位报警及自动联锁切断装置；大型储罐、液化气体储罐及剧毒化学品储罐等重点储罐未按规定设置紧急切断阀的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7.储存剧毒化学品或储存其他危险化学品数量构成重大危险源的特种设备，未按规定取得使用登记证，或未经定期检验合格的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8.使用国家明令淘汰工艺、设备的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5763"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92"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9.已建成危险化学品装卸仓储项目未经消防、环保、安全验收合格或备案的</w:t>
            </w:r>
          </w:p>
        </w:tc>
        <w:tc>
          <w:tcPr>
            <w:tcW w:w="22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 是□     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 </w:t>
      </w:r>
    </w:p>
    <w:tbl>
      <w:tblPr>
        <w:tblW w:w="8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1"/>
        <w:gridCol w:w="2830"/>
        <w:gridCol w:w="1130"/>
        <w:gridCol w:w="1611"/>
        <w:gridCol w:w="135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项目</w:t>
            </w:r>
          </w:p>
        </w:tc>
        <w:tc>
          <w:tcPr>
            <w:tcW w:w="283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评级内容</w:t>
            </w:r>
          </w:p>
        </w:tc>
        <w:tc>
          <w:tcPr>
            <w:tcW w:w="113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分值</w:t>
            </w:r>
          </w:p>
        </w:tc>
        <w:tc>
          <w:tcPr>
            <w:tcW w:w="161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计分方法</w:t>
            </w:r>
          </w:p>
        </w:tc>
        <w:tc>
          <w:tcPr>
            <w:tcW w:w="135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考核方式</w:t>
            </w:r>
          </w:p>
        </w:tc>
        <w:tc>
          <w:tcPr>
            <w:tcW w:w="54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eastAsia" w:ascii="黑体" w:hAnsi="宋体" w:eastAsia="黑体" w:cs="黑体"/>
                <w:b w:val="0"/>
                <w:i w:val="0"/>
                <w:caps w:val="0"/>
                <w:color w:val="3E3E3E"/>
                <w:spacing w:val="0"/>
                <w:sz w:val="16"/>
                <w:szCs w:val="16"/>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二、资质条件（</w:t>
            </w:r>
            <w:r>
              <w:rPr>
                <w:rStyle w:val="4"/>
                <w:rFonts w:hint="eastAsia" w:ascii="宋体" w:hAnsi="宋体" w:eastAsia="宋体" w:cs="宋体"/>
                <w:b/>
                <w:i w:val="0"/>
                <w:caps w:val="0"/>
                <w:color w:val="3E3E3E"/>
                <w:spacing w:val="0"/>
                <w:sz w:val="19"/>
                <w:szCs w:val="19"/>
                <w:bdr w:val="none" w:color="auto" w:sz="0" w:space="0"/>
              </w:rPr>
              <w:t>5分）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1．《港口经营许可证》《港口危险货物作业附证》所载经营人名称、地址、法定代表人、作业方式是否与实际相符</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与经营实际不符的，每发现一项扣1分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2.现场核实</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2．是否按规定开展安全现状评价及备案，并按方案进行整改</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未按规定开展安全现状评价或安全评价机构资质不符合要求的，扣3分；整改意见不落实的，扣2分；未向港口行政管理部门备案的，扣2分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查阅评价报告、评价机构资质资料、整改方案、备案回执</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三、安全基础（</w:t>
            </w:r>
            <w:r>
              <w:rPr>
                <w:rStyle w:val="4"/>
                <w:rFonts w:hint="eastAsia" w:ascii="宋体" w:hAnsi="宋体" w:eastAsia="宋体" w:cs="宋体"/>
                <w:b/>
                <w:i w:val="0"/>
                <w:caps w:val="0"/>
                <w:color w:val="3E3E3E"/>
                <w:spacing w:val="0"/>
                <w:sz w:val="19"/>
                <w:szCs w:val="19"/>
                <w:bdr w:val="none" w:color="auto" w:sz="0" w:space="0"/>
              </w:rPr>
              <w:t>17分）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1.是否按相关规定设置安全生产、特种设备、消防等安全管理机构，配备安全管理人员</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机构不健全的，扣1分；人员配备不足的，扣1分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1.核实企业人员总数、特种设备数量；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2.查阅机构设置和人员配备文件</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主要负责人、安全管理人员是否具备相应的安全生产知识和管理能力；主要负责人，分管安全、生产、技术负责人和专职安全管理人员是否具备规定的学历和经历；危险化学品装卸管理人员、申报员、检查员、特种作业人员等相关从业人员是否按规定取得从业资格证书</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每发现一人考核不合格的，扣1分；相关人员不具备规定的学历和经历的，扣1分；每发现一人未取得从业资格证书的，扣1分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1.查阅考核成绩记录、相关人员学历和经历证书材料、从业资格证书持证人员清单；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2.现场查验相关人员的资格证书</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3．是否建立并落实全员安全生产责任制；是否建立健全安全生产责任监督考核机制</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未建立安全生产责任制的，扣2分；未落实全员安全生产责任制的，扣1分；未建立监督考核机制的，扣1分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1.查阅安全生产责任制档案、安全生产责任考核奖惩记录；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2.询问相关人员</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是否按规定建立健全安全生产规章制度，包括但不限于以下制度：安全设施和设备管理、安全生产检查、危险作业管理、事故隐患排查治理、重大危险源监控、应急救援、安全生产会议、安全生产资金投入、安全生产教育培训、特种作业人员管理、劳动防护用品管理、职业病防治、安全生产奖惩、事故报告、文件和档案管理等，并认真落实，及时修订更新</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安全制度不健全的，每缺一项扣0.5分；不及时更新的，每发现一项扣0.5分；安全制度不落实的，每发现一项扣0.5分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1.查阅安全生产规章制度清单、安全制度文本、安全管理相关记录；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2.现场检查作业及管理人员对本岗位规章制度的熟悉程度</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5.是否按规定对从业人员进行安全教育培训，并考核合格；外来作业人员是否按规定进行安全教育培训</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未制定安全教育培训计划的，扣2分；制定计划未实施的，扣1分；存在考核不合格上岗现象的，扣1分；外来作业人员未培训的，扣1分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查阅安全教育培训档案、记录、考核结果等</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6.是否按规定提取和使用安全生产费用</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未按规定提取的，扣3分；未按规定使用的，扣2分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查看经营人安全生产费用台账、财务记录、相关凭证</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7．劳动防护用品配备是否符合国家或行业相关标准，并正确佩戴、使用</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未按规定配备的，扣2分；未正确使用的，每发现一人次，扣1分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1.查阅劳动防护用品清单、发放领取记录；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Style w:val="4"/>
                <w:rFonts w:hint="eastAsia" w:ascii="宋体" w:hAnsi="宋体" w:eastAsia="宋体" w:cs="宋体"/>
                <w:b/>
                <w:i w:val="0"/>
                <w:caps w:val="0"/>
                <w:color w:val="3E3E3E"/>
                <w:spacing w:val="0"/>
                <w:sz w:val="16"/>
                <w:szCs w:val="16"/>
                <w:bdr w:val="none" w:color="auto" w:sz="0" w:space="0"/>
              </w:rPr>
              <w:t>四、设施设备（</w:t>
            </w:r>
            <w:r>
              <w:rPr>
                <w:rStyle w:val="4"/>
                <w:rFonts w:hint="eastAsia" w:ascii="宋体" w:hAnsi="宋体" w:eastAsia="宋体" w:cs="宋体"/>
                <w:b/>
                <w:i w:val="0"/>
                <w:caps w:val="0"/>
                <w:color w:val="3E3E3E"/>
                <w:spacing w:val="0"/>
                <w:sz w:val="19"/>
                <w:szCs w:val="19"/>
                <w:bdr w:val="none" w:color="auto" w:sz="0" w:space="0"/>
              </w:rPr>
              <w:t>25分）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1.是否建立设备台账、安全设施目录；是否按设备操作和维护规程定期检查检测、维护保养</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未建立设备台账的，扣1分；未建立安全设施目录的，扣1分；未建立设备操作和维护规程的，扣1分；未定期检查检测、维护保养的，扣1分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1.查阅设备台账、安全设施目录、设备操作和维护规程、检查检测和维保记录；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2．特种设备是否按规定办理使用登记并检验合格；安全附件、安全保护装置是否定期校验、检修并作出记录；是否建立特种设备安全技术档案</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5</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发现1台（套）未办理使用登记的，扣1分；发现1台（套）没有按规定进行检验检测的，扣1分；未建立特种设备技术档案的，每发现一台（套）扣0.5分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1.查阅特种设备清单，核查特种设备技术档案、登记证书、检验报告；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3．是否建成使用危险化学品作业信息系统；数据信息是否实现在作业场所之外异地备份，并按要求及时准确提供相关管理部门</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未建成使用的，扣2分；未异地备份的，扣1分；未按要求及时准确提供相关管理部门的，扣1分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1.现场检查信息系统运行及异地备份情况；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2.调阅管理部门收到信息情况</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4．是否根据储存的危险化学品品名和危险特性，在作业场所按规定设置相应的安全设施、设备</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相关设施、设备每发现缺少一处扣0.5分；每发现一处不能正常使用的，扣0.5分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1.查阅安全设施设计专篇、安全设施设备台账；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5.是否建有作业场所视频监控系统，设置通信报警装置、安全警示标志</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未建有作业场所视频监控系统的，扣2分；通信报警装置、警示标志每发现缺少一处扣0.5分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1.查阅安全设施设计专篇、通信报警装置清单；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6.是否按规定设置消防设施、器材并进行维修保养</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7</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未按规定设置消防设施、器材的，每发现一处扣1分；未按规定维修保养的，每发现一处扣1分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1.查阅消防验收（备案）文件、消防维修保养记录；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6"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五、作业与现场管理（</w:t>
            </w:r>
            <w:r>
              <w:rPr>
                <w:rStyle w:val="4"/>
                <w:rFonts w:hint="eastAsia" w:ascii="宋体" w:hAnsi="宋体" w:eastAsia="宋体" w:cs="宋体"/>
                <w:b/>
                <w:i w:val="0"/>
                <w:caps w:val="0"/>
                <w:color w:val="3E3E3E"/>
                <w:spacing w:val="0"/>
                <w:sz w:val="19"/>
                <w:szCs w:val="19"/>
                <w:bdr w:val="none" w:color="auto" w:sz="0" w:space="0"/>
              </w:rPr>
              <w:t>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微软雅黑" w:hAnsi="微软雅黑" w:eastAsia="微软雅黑" w:cs="微软雅黑"/>
                <w:b/>
                <w:i w:val="0"/>
                <w:caps w:val="0"/>
                <w:color w:val="3E3E3E"/>
                <w:spacing w:val="0"/>
                <w:sz w:val="16"/>
                <w:szCs w:val="16"/>
                <w:bdr w:val="none" w:color="auto" w:sz="0" w:space="0"/>
              </w:rPr>
              <w:t> </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1.危险化学品港口作业是否按规定及时报告；是否存在匿报、谎报</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未及时报告的，扣1分；匿报、谎报的，扣2分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1.比对一年内的作业和申报记录；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2.调阅相关处罚记录</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2.是否根据危险化学品理化特性和灭火方式分区、分类和分库储存；易燃易爆危险化学品集装箱堆码层数、隔离是否符合要求</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每发现一处不符合要求的，扣0.5分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 查阅操作规程、作业记录；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 查看作业视频记录；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3.装载《危险货物品名表》（GB12268）和《国际海运危险货物规则》规定的1.1、1.2项爆炸品和硝酸铵类危险化学品集装箱作业，是否按规定实行直装直取</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每发现一次不符合要求的，扣1分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1.查阅操作规程、作业记录；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2.查看作业视频记录；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是否建立危险化学品出入库核查、登记制度；剧毒化学品及储存数量构成重大危险源的危险化学品，是否在专用仓库内单独存放，实行双人收发、双人保管制度，并将储存数量、储存地点以及管理人员的情况向所在地有关部门备案</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未建立出入库核查、登记制度的，扣1分；未建立双人收发、双人保管制度的，扣1分；未专库存放的，扣1分；未备案的（有一个部门备案即可）扣1分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1.查阅出入库核查登记制度、出入库台账、值班记录、重大危险源备案回执；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危险化学品港口作业是否在具有从业资格的装卸管理人员现场指挥或监控下进行；是否装卸储存未按规定提交相关资料的危险化学品；港口经营人是否对危险化学品包装进行检查；对包装不符合国家有关规定的，是否停止作业并及时通知或退回作业委托人处理</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每发现一项不符合要求的，扣1分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1.查阅操作规程、作业记录、安全技术说明书和安全标签、包装检查记录；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2.查看作业视频记录；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危险化学品港口作业是否按规定划定专门作业区域，并实行封闭式管理；是否按规定与作业船舶共同进行安全检查，确认作业的安全状况和应急措施；是否与在同一港区内进行危险化学品作业并可能危及对方生产安全的其他经营人，签订安全生产管理协议</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每发现一项不符合要求的，扣1分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1.查阅作业场所平面布置图、操作规程、安全生产管理协议、船岸检查表；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2.查看作业视频记录；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7.专用仓储设施是否存在超设计能力、超容量储存，或储罐超温、超压、超液位储存，管道超温、超压、超流速输送</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1.查阅安全设施设计专篇、安全验收评价报告、操作规程、运行维护记录；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8.检维修作业前，是否实施风险分析，采取和落实预防和控制措施；是否对检维修人员、监护人员进行技术交底；对聘请外来检维修人员是否查验相关资质、资格，签订安全管理协议</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1.查阅检维修制度、记录、方案、票证、资质资格证明材料；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2.现场检查或询问有关人员</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9.八类特殊作业是否按有关规定有效执行</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6</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1.查阅特殊作业制度、操作规程、记录、方案、票证；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2.查看作业视频记录；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3.现场检查或询问有关人员</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10.对港区内可能危及危险化学品管道安全的施工作业，是否制定应急预案和防护措施</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1</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未制定应急预案的，扣1分；未落实防护措施的，扣1分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查阅施工通知、作业记录、应急预案、防护措施</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六、风险管理和隐患排查（</w:t>
            </w:r>
            <w:r>
              <w:rPr>
                <w:rStyle w:val="4"/>
                <w:rFonts w:hint="eastAsia" w:ascii="宋体" w:hAnsi="宋体" w:eastAsia="宋体" w:cs="宋体"/>
                <w:b/>
                <w:i w:val="0"/>
                <w:caps w:val="0"/>
                <w:color w:val="3E3E3E"/>
                <w:spacing w:val="0"/>
                <w:sz w:val="19"/>
                <w:szCs w:val="19"/>
                <w:bdr w:val="none" w:color="auto" w:sz="0" w:space="0"/>
              </w:rPr>
              <w:t>10分）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1.是否开展安全生产风险辨识和风险评价，并针对不同风险，制定具体的管控措施</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未开展安全生产风险辨识和风险评价的，扣3分；缺少安全可靠可行的风险管控措施的，每发现一项扣1分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1.查阅风险点台账、危险源辨识与风险评价表、分级管控清单、控制措施文件；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2.是否开展事故隐患排查，及时发现并消除事故隐患，建立相关档案；重大事故隐患的排查治理情况是否按规定通报和备案</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4</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未开展隐患排查的，扣4分；未整改的，扣4分；整改不到位的，扣2分；未建立信息档案的，扣1分；未按规定通报或备案的，扣1分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1.查阅隐患排查治理清单、工作记录、治理台账、信息档案、备案回执、通报记录；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3.询问从业人员</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3.是否对重大危险源进行辨识、评估、分级并登记建档；剧毒化学品以及储存数量构成重大危险源的危险化学品是否按规定备案</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未按规定开展重大危险源辨识评估的，扣3分；未根据评估结果确定危险源等级的，扣1分；未建档的，扣1分；未按规定备案的，扣1分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查阅重大危险源评估报告、分级文件、相关档案、备案回执</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七、应急管理（</w:t>
            </w:r>
            <w:r>
              <w:rPr>
                <w:rStyle w:val="4"/>
                <w:rFonts w:hint="eastAsia" w:ascii="宋体" w:hAnsi="宋体" w:eastAsia="宋体" w:cs="宋体"/>
                <w:b/>
                <w:i w:val="0"/>
                <w:caps w:val="0"/>
                <w:color w:val="3E3E3E"/>
                <w:spacing w:val="0"/>
                <w:sz w:val="19"/>
                <w:szCs w:val="19"/>
                <w:bdr w:val="none" w:color="auto" w:sz="0" w:space="0"/>
              </w:rPr>
              <w:t>6分）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1.是否制定综合应急预案、危险化学品专项应急预案、现场处置方案并向有关部门备案</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未制定预案的，扣2分；不健全的，扣1分；未备案的，扣1分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查阅应急预案文本、备案回执</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2.是否定期对生产安全事故应急预案进行培训、演练、评估和修订，并落实应急指挥、值班备勤、应急响应等措施</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未定期开展应急预案培训的，扣1分；未定期开展演练的，扣1分；未定期对应急预案进行评估、修订的，扣1分；相关措施不落实的，扣1分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1.查阅应急预案培训记录、演练计划、记录、评估报告、修订记录；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3.询问有关人员</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3.是否按规定建立应急救援队伍（含专职或志愿消防队），配备必要的应急救援器材、装备</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未按规定建立应急救援队伍的，扣1分；未配备必要的应急救援器材、装备的，扣1分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1.查阅应急救援队伍组建文件、器材装备台账；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51"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八、环境保护（</w:t>
            </w:r>
            <w:r>
              <w:rPr>
                <w:rStyle w:val="4"/>
                <w:rFonts w:hint="eastAsia" w:ascii="宋体" w:hAnsi="宋体" w:eastAsia="宋体" w:cs="宋体"/>
                <w:b/>
                <w:i w:val="0"/>
                <w:caps w:val="0"/>
                <w:color w:val="3E3E3E"/>
                <w:spacing w:val="0"/>
                <w:sz w:val="19"/>
                <w:szCs w:val="19"/>
                <w:bdr w:val="none" w:color="auto" w:sz="0" w:space="0"/>
              </w:rPr>
              <w:t>7分）</w:t>
            </w: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1.危险化学品储存（暂存）场所是否采取了防扬散、防流失、防渗漏、防腐蚀措施</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1.查阅管理制度、操作规程、工程设计文件；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2.是否设有符合环保要求的港区废水、废液、初期雨水、事故废水导排系统及处理设施</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3</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1.查阅环评报告及批复、现状环境影响评估报告及备案文件、竣工图纸资料；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551"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8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3.是否按环保要求设置船舶污染物、废弃物接收设施;是否设置围油栏等应急处理设备</w:t>
            </w:r>
          </w:p>
        </w:tc>
        <w:tc>
          <w:tcPr>
            <w:tcW w:w="11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2</w:t>
            </w:r>
          </w:p>
        </w:tc>
        <w:tc>
          <w:tcPr>
            <w:tcW w:w="161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每发现一处不符合要求的，扣1分</w:t>
            </w:r>
          </w:p>
        </w:tc>
        <w:tc>
          <w:tcPr>
            <w:tcW w:w="13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1.查阅相关竣工图纸、设备清单；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5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4" w:hRule="atLeast"/>
        </w:trPr>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Style w:val="4"/>
                <w:rFonts w:hint="eastAsia" w:ascii="宋体" w:hAnsi="宋体" w:eastAsia="宋体" w:cs="宋体"/>
                <w:b/>
                <w:i w:val="0"/>
                <w:caps w:val="0"/>
                <w:color w:val="3E3E3E"/>
                <w:spacing w:val="0"/>
                <w:sz w:val="16"/>
                <w:szCs w:val="16"/>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348"/>
            </w:pPr>
            <w:r>
              <w:rPr>
                <w:rFonts w:hint="default" w:ascii="仿宋_gb2312" w:hAnsi="仿宋_gb2312" w:eastAsia="仿宋_gb2312" w:cs="仿宋_gb2312"/>
                <w:b w:val="0"/>
                <w:i w:val="0"/>
                <w:caps w:val="0"/>
                <w:color w:val="3E3E3E"/>
                <w:spacing w:val="0"/>
                <w:sz w:val="16"/>
                <w:szCs w:val="16"/>
                <w:bdr w:val="none" w:color="auto" w:sz="0" w:space="0"/>
              </w:rPr>
              <w:t>一、总分100分，每一子项分值扣完为止。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336"/>
            </w:pPr>
            <w:r>
              <w:rPr>
                <w:rFonts w:hint="default" w:ascii="仿宋_gb2312" w:hAnsi="仿宋_gb2312" w:eastAsia="仿宋_gb2312" w:cs="仿宋_gb2312"/>
                <w:b w:val="0"/>
                <w:i w:val="0"/>
                <w:caps w:val="0"/>
                <w:color w:val="3E3E3E"/>
                <w:spacing w:val="0"/>
                <w:sz w:val="16"/>
                <w:szCs w:val="16"/>
                <w:bdr w:val="none" w:color="auto" w:sz="0" w:space="0"/>
              </w:rPr>
              <w:t>二、评级分为“优”“中”“差”三个等次，具体根据评级得分确定。得分90分（含）以上的，评级为“优”；得分89.5分—60分的，评级为“中”；得分60分（不含）以下的，评级为“差”。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348"/>
            </w:pPr>
            <w:r>
              <w:rPr>
                <w:rFonts w:hint="default" w:ascii="仿宋_gb2312" w:hAnsi="仿宋_gb2312" w:eastAsia="仿宋_gb2312" w:cs="仿宋_gb2312"/>
                <w:b w:val="0"/>
                <w:i w:val="0"/>
                <w:caps w:val="0"/>
                <w:color w:val="3E3E3E"/>
                <w:spacing w:val="0"/>
                <w:sz w:val="16"/>
                <w:szCs w:val="16"/>
                <w:bdr w:val="none" w:color="auto" w:sz="0" w:space="0"/>
              </w:rPr>
              <w:t>三、否决项中一项及以上为“是”的，评级为“差”。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 w:lineRule="atLeast"/>
              <w:ind w:left="0" w:right="0" w:firstLine="180"/>
            </w:pPr>
            <w:r>
              <w:rPr>
                <w:rFonts w:hint="eastAsia" w:ascii="微软雅黑" w:hAnsi="微软雅黑" w:eastAsia="微软雅黑" w:cs="微软雅黑"/>
                <w:b w:val="0"/>
                <w:i w:val="0"/>
                <w:caps w:val="0"/>
                <w:color w:val="3E3E3E"/>
                <w:spacing w:val="0"/>
                <w:sz w:val="16"/>
                <w:szCs w:val="1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得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Style w:val="4"/>
                <w:rFonts w:hint="eastAsia" w:ascii="宋体" w:hAnsi="宋体" w:eastAsia="宋体" w:cs="宋体"/>
                <w:b/>
                <w:i w:val="0"/>
                <w:caps w:val="0"/>
                <w:color w:val="3E3E3E"/>
                <w:spacing w:val="0"/>
                <w:sz w:val="16"/>
                <w:szCs w:val="16"/>
                <w:bdr w:val="none" w:color="auto" w:sz="0" w:space="0"/>
              </w:rPr>
              <w:t>评  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0"/>
          <w:sz w:val="19"/>
          <w:szCs w:val="19"/>
          <w:bdr w:val="none" w:color="auto" w:sz="0" w:space="0"/>
          <w:shd w:val="clear" w:fill="FFFFFF"/>
        </w:rPr>
        <w:t>评级单位：</w:t>
      </w:r>
      <w:r>
        <w:rPr>
          <w:rFonts w:hint="eastAsia" w:ascii="微软雅黑" w:hAnsi="微软雅黑" w:eastAsia="微软雅黑" w:cs="微软雅黑"/>
          <w:b w:val="0"/>
          <w:i w:val="0"/>
          <w:caps w:val="0"/>
          <w:color w:val="3E3E3E"/>
          <w:spacing w:val="0"/>
          <w:sz w:val="18"/>
          <w:szCs w:val="18"/>
          <w:bdr w:val="none" w:color="auto" w:sz="0" w:space="0"/>
          <w:shd w:val="clear" w:fill="FFFFFF"/>
        </w:rPr>
        <w:t>                                                    </w:t>
      </w:r>
      <w:r>
        <w:rPr>
          <w:rFonts w:hint="default" w:ascii="仿宋_gb2312" w:hAnsi="仿宋_gb2312" w:eastAsia="仿宋_gb2312" w:cs="仿宋_gb2312"/>
          <w:b w:val="0"/>
          <w:i w:val="0"/>
          <w:caps w:val="0"/>
          <w:color w:val="3E3E3E"/>
          <w:spacing w:val="0"/>
          <w:sz w:val="19"/>
          <w:szCs w:val="19"/>
          <w:bdr w:val="none" w:color="auto" w:sz="0" w:space="0"/>
          <w:shd w:val="clear" w:fill="FFFFFF"/>
        </w:rPr>
        <w:t>评级时间：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2"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黑体" w:hAnsi="宋体" w:eastAsia="黑体" w:cs="黑体"/>
          <w:b w:val="0"/>
          <w:i w:val="0"/>
          <w:caps w:val="0"/>
          <w:color w:val="3E3E3E"/>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微软雅黑" w:hAnsi="微软雅黑" w:eastAsia="微软雅黑" w:cs="微软雅黑"/>
          <w:b w:val="0"/>
          <w:i w:val="0"/>
          <w:caps w:val="0"/>
          <w:color w:val="3E3E3E"/>
          <w:spacing w:val="0"/>
          <w:sz w:val="16"/>
          <w:szCs w:val="16"/>
          <w:bdr w:val="none" w:color="auto" w:sz="0" w:space="0"/>
          <w:shd w:val="clear" w:fill="FFFFFF"/>
        </w:rPr>
        <w:t>山东省危险化学品经营（储存）企业评级标准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12"/>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0"/>
          <w:sz w:val="16"/>
          <w:szCs w:val="16"/>
          <w:bdr w:val="none" w:color="auto" w:sz="0" w:space="0"/>
          <w:shd w:val="clear" w:fill="FFFFFF"/>
        </w:rPr>
        <w:t>市、县（市、区）：             企业名称：</w:t>
      </w:r>
    </w:p>
    <w:tbl>
      <w:tblPr>
        <w:tblW w:w="8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61"/>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6" w:hRule="atLeast"/>
        </w:trPr>
        <w:tc>
          <w:tcPr>
            <w:tcW w:w="5861"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pPr>
            <w:r>
              <w:rPr>
                <w:rFonts w:hint="eastAsia" w:ascii="黑体" w:hAnsi="宋体" w:eastAsia="黑体" w:cs="黑体"/>
                <w:b w:val="0"/>
                <w:i w:val="0"/>
                <w:caps w:val="0"/>
                <w:color w:val="3E3E3E"/>
                <w:spacing w:val="0"/>
                <w:sz w:val="16"/>
                <w:szCs w:val="16"/>
                <w:bdr w:val="none" w:color="auto" w:sz="0" w:space="0"/>
              </w:rPr>
              <w:t>一、否决项：存在下列情况之一的,企业评级为“差”</w:t>
            </w:r>
          </w:p>
        </w:tc>
        <w:tc>
          <w:tcPr>
            <w:tcW w:w="215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eastAsia" w:ascii="黑体" w:hAnsi="宋体" w:eastAsia="黑体" w:cs="黑体"/>
                <w:b w:val="0"/>
                <w:i w:val="0"/>
                <w:caps w:val="0"/>
                <w:color w:val="3E3E3E"/>
                <w:spacing w:val="0"/>
                <w:sz w:val="16"/>
                <w:szCs w:val="16"/>
                <w:bdr w:val="none" w:color="auto" w:sz="0" w:space="0"/>
              </w:rPr>
              <w:t>在对应处打“√”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6"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1.超出《危险化学品经营许可证》有效期或许可范围经营的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2.储存危险化学品的装置和设施未按规定进行安全设施设计或设计单位不具备相应资质，且未经有资质设计单位进行设计安全诊断的；或发生重大变更未按规定履行变更管理手续的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3.危险化学品经营储存设施未按规定通过安全、环保、消防验收（备案）的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4.危险化学品经营储存场所、设施、建筑物之间及距周边建（构）筑物的防火间距或安全距离不符合相关国家、行业标准规定的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6"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5.危险化学品未按规定分区、分类、分库存放，或存放超量、超品种以及相互禁忌物质混放混存的、露天存放的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8"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6.危险化学品罐区未按规定设置储罐高低液位报警、可燃气体、有毒气体泄漏报警的；未采用超高液位自动联锁关闭储罐进料阀门和超低液位自动联锁停止物料输送措施的；大型、液化气体及剧毒化学品等重点储罐未设置紧急切断阀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7.涉及重大危险源的储存设备、设施，未按规定完善紧急切断装置、泄漏物紧急处置装置、独立的安全仪表系统、视频监控等安全设施的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不涉及□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2" w:hRule="atLeast"/>
        </w:trPr>
        <w:tc>
          <w:tcPr>
            <w:tcW w:w="58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hAnsi="仿宋_gb2312" w:eastAsia="仿宋_gb2312" w:cs="仿宋_gb2312"/>
                <w:b w:val="0"/>
                <w:i w:val="0"/>
                <w:caps w:val="0"/>
                <w:color w:val="3E3E3E"/>
                <w:spacing w:val="0"/>
                <w:sz w:val="16"/>
                <w:szCs w:val="16"/>
                <w:bdr w:val="none" w:color="auto" w:sz="0" w:space="0"/>
              </w:rPr>
              <w:t>8.储存剧毒化学品或者储存其他危险化学品数量构成重大危险源的特种设备，未按规定取得使用登记证，或在用设备未经定期检验或者检验不合格的</w:t>
            </w:r>
          </w:p>
        </w:tc>
        <w:tc>
          <w:tcPr>
            <w:tcW w:w="215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center"/>
            </w:pPr>
            <w:r>
              <w:rPr>
                <w:rFonts w:hint="default" w:ascii="仿宋_gb2312" w:hAnsi="仿宋_gb2312" w:eastAsia="仿宋_gb2312" w:cs="仿宋_gb2312"/>
                <w:b w:val="0"/>
                <w:i w:val="0"/>
                <w:caps w:val="0"/>
                <w:color w:val="3E3E3E"/>
                <w:spacing w:val="0"/>
                <w:sz w:val="16"/>
                <w:szCs w:val="16"/>
                <w:bdr w:val="none" w:color="auto" w:sz="0" w:space="0"/>
              </w:rPr>
              <w:t>不涉及□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 </w:t>
      </w:r>
    </w:p>
    <w:tbl>
      <w:tblPr>
        <w:tblW w:w="8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12"/>
        <w:gridCol w:w="2990"/>
        <w:gridCol w:w="330"/>
        <w:gridCol w:w="1549"/>
        <w:gridCol w:w="1004"/>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6" w:hRule="atLeast"/>
        </w:trPr>
        <w:tc>
          <w:tcPr>
            <w:tcW w:w="81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项目</w:t>
            </w:r>
          </w:p>
        </w:tc>
        <w:tc>
          <w:tcPr>
            <w:tcW w:w="299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评级内容</w:t>
            </w:r>
          </w:p>
        </w:tc>
        <w:tc>
          <w:tcPr>
            <w:tcW w:w="33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分值</w:t>
            </w:r>
          </w:p>
        </w:tc>
        <w:tc>
          <w:tcPr>
            <w:tcW w:w="1549"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计分方法</w:t>
            </w:r>
          </w:p>
        </w:tc>
        <w:tc>
          <w:tcPr>
            <w:tcW w:w="10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考核方式</w:t>
            </w:r>
          </w:p>
        </w:tc>
        <w:tc>
          <w:tcPr>
            <w:tcW w:w="133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eastAsia" w:ascii="黑体" w:hAnsi="宋体" w:eastAsia="黑体" w:cs="黑体"/>
                <w:b w:val="0"/>
                <w:i w:val="0"/>
                <w:caps w:val="0"/>
                <w:color w:val="3E3E3E"/>
                <w:spacing w:val="0"/>
                <w:sz w:val="16"/>
                <w:szCs w:val="16"/>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8" w:hRule="atLeast"/>
        </w:trPr>
        <w:tc>
          <w:tcPr>
            <w:tcW w:w="812"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6"/>
                <w:szCs w:val="16"/>
                <w:bdr w:val="none" w:color="auto" w:sz="0" w:space="0"/>
              </w:rPr>
              <w:t>二、安全管理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9"/>
                <w:szCs w:val="19"/>
                <w:bdr w:val="none" w:color="auto" w:sz="0" w:space="0"/>
              </w:rPr>
              <w:t>（35分）</w:t>
            </w: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1.是否按规定设置安全管理机构或配备安全管理人员；企业负责人和安全生产管理人员是否具有相应学历或技术职称</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发现一人不符合要求扣1分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查阅相关文件、人员证书</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2.企业主要负责人和安全生产管理人员是否经安监部门考核合格并取得相应安全合格证书；特种作业人员是否取得特种作业操作证书；其他从业人员是否依照有关规定经安全生产教育和专业技术培训合格</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发现一人不符合要求扣1分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查阅相关人员证书、培训记录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0"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3.是否按规定建立健全相关安全生产管理制度</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缺一项制度扣0.5分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查阅安全生产管理制度台账</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4.是否按规定定期对作业活动和储存装置、设备、设施进行危险源辨识和风险评价，制定并落实风险管控措施</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未开展危险源辨识和风险评价的扣1分；未制定可行的风险管控措施的，发现一项扣1分；措施未按要求落实的，发现一项扣1分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1.查阅风险管控相关档案资料；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7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5.是否按规定制定本企业事故隐患排查项目清单，定期开展隐患排查治理并规范记录</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未制定排查项目清单的扣1分；未定期开展隐患排查治理的，发现一项扣1分；未规范记录的，发现一项扣1分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1.查阅隐患排查治理相关资料、记录；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3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6.储存危险化学品的单位是否建立危险化学品出入库核查、登记制度；其中，剧毒化学品及储存数量构成重大危险源的其他危险化学品，是否在专用仓库内单独存放，实行双人收发、双人保管制度，并将储存数量、储存地点以及管理人员的情况向所在地有关部门备案</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出入库核查、登记制度未建立的，发现一处扣1分；未专库存放的，发现一处扣1分；未实行双人收发、双人保管制度的，发现一处扣1分；未备案的扣1分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 查阅相关制度、备案文件和记录；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7.是否委托有相应资质的运输企业承运危险化学品并做好相应查验登记工作</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无相应资质运输企业承运的，发现一起扣1分；未做相应查验登记的，发现一起扣1分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查阅相关承运资料和查验台账</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5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8.危险化学品专用仓库是否符合国家标准、行业标准要求，并设置明显标志；储存剧毒化学品、易制爆危险化学品的专用仓库是否按规定设置相应的技术防范设施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专用仓库不符合标准要求的扣3分；未设置明显标志的，发现一处扣0.5分；储存剧毒化学品、易制爆危险化学品专用仓库技术防范设施不符合规定的，发现一处扣1分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 查阅设计；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9.是否按规定对危险化学品专用仓库的安全设施、设备定期进行检测、检验</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未定期检测、检验的，发现一项扣1分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查阅安全设施设备台账和检测检验报告</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04"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10.是否按照有关规定，制定完善综合应急预案、各类专项应急预案或现场处置方案，并向当地安监部门备案</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未按规定制定相应预案的扣2分；未备案的扣1分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查阅企业生产安全事故应急预案和备案回执</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64"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11.是否定期对生产安全事故应急预案进行培训、演练、评估和修订，并落实应急指挥、值班备勤、应急响应等措施</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未定期开展预案培训、演练、评估和修订的，发现一项扣1分；应急指挥、值班备勤、应急响应措施落实不到位的，发现一项扣1分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2.现场检验应急响应启动情况</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44"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12. 是否按规定建立应急救援队伍，配备必要的应急救援器材、装备并定期检测和维护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未按规定建立应急救援队伍的扣2分；未配备必要的应急救援器材、装备的扣1分；未定期检测、维护保养的，发现一项扣1分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13.是否按规定提取和使用安全生产费用</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未按规定提取或使用的扣2分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查看相关费用台账、凭证等资料</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2" w:hRule="atLeast"/>
        </w:trPr>
        <w:tc>
          <w:tcPr>
            <w:tcW w:w="812"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6"/>
                <w:szCs w:val="16"/>
                <w:bdr w:val="none" w:color="auto" w:sz="0" w:space="0"/>
              </w:rPr>
              <w:t>  三、消防安全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9"/>
                <w:szCs w:val="19"/>
                <w:bdr w:val="none" w:color="auto" w:sz="0" w:space="0"/>
              </w:rPr>
              <w:t>（20分）</w:t>
            </w: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1.是否制定相关消防管理制度和操作规程；是否明确消防工作领导机构、消防安全责任人和管理人；消防管理人员是否经过培训，持证上岗；是否按规定建立专职或志愿消防队</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发现一项不符合的扣1分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查阅消防制度、文件、证书等</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2.是否定期开展防火检查并及时整改火灾隐患；是否定期组织开展灭火和应急疏散预案演练；是否经常组织开展消防安全培训和宣传教育</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发现一项不符合的扣1分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查阅防火检查、演练、培训、宣传教育相关档案、台账、记录</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8"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3.按规定应建立消防控制室的，消防控制室的建设和运行是否符合标准要求；值班操作人员是否取得职业资格证书</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未按规定建立消防控制室的扣2分；控制室建设和运行一项不符合标准要求的扣1分；操作人员未取得资格证书的，发现一人扣1分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 查看操作人员证书；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0"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 是否按规定配置火灾自动报警系统、泡沫灭火系统、气体灭火系统、自动喷水灭火系统、机械加压送风系统、机械排烟系统、消防供配电设施、防火分隔设施、消防供水设施、灭火器等消防设施、器材；是否委托有资质的单位定期检验、维修</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消防设施、器材未按规定配置的、失效的，发现一处扣1分；缺少维修记录、检验报告、产品质量合格证的，发现一处扣0.5分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1.查阅设施、器材台账、检测报告、维保记录；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5.贮存易燃、易爆危险化学品的设施，是否安装防雷装置并按规定进行检测</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未安装防雷装置的扣2分；未按规定检测的，发现一处扣1分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1.查阅防雷检测报告；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6.是否明确消防安全重点部位，并落实管理措施；是否按规定准确、清晰设置相关消防标识；疏散通道、安全出口、消防车通道是否畅通</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未明确消防安全重点部位的扣1分，未落实管理措施的扣1分；未设置标识的，发现一处扣1分；疏散通道、安全出口、消防车通道不畅通的，发现一处扣1分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 查阅文件、管理措施台账；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 w:hRule="atLeast"/>
        </w:trPr>
        <w:tc>
          <w:tcPr>
            <w:tcW w:w="812"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6"/>
                <w:szCs w:val="16"/>
                <w:bdr w:val="none" w:color="auto" w:sz="0" w:space="0"/>
              </w:rPr>
              <w:t> 四、环境保护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9"/>
                <w:szCs w:val="19"/>
                <w:bdr w:val="none" w:color="auto" w:sz="0" w:space="0"/>
              </w:rPr>
              <w:t>（10分）</w:t>
            </w: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1.危险化学品堆放场（暂存场所）是否按规范要求采取防渗漏、防腐措施</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未采取防渗漏、防腐措施的扣3分；措施落实不到位的，发现一处扣1分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1.查阅设计、验收或备案文件；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2.是否按规定设有符合环保要求的初期雨水池和应急事故池；运行是否正常</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未按规定设有初期雨水池或应急事故池的各扣1.5分；初期雨水池或应急事故池不符合要求的各扣1分；运行不正常的各扣1分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1.查阅验收或备案文件、运行记录；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44"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3.是否按规定设有符合环保要求的库区废水、废液导排系统；运行是否正常</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未按规定设有库区废水、废液导排系统的扣2分；库区废水、废液导排系统不符合要求的扣1分；运行不正常的扣1分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1.查阅验收或备案文件、运行记录；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4.是否按规定设有规范的危废暂存间，并有相应的转运记录和转移联单</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未按规定设有危废暂存间的扣2分；暂存间不规范的扣1分；没有转运记录或转移联单的扣2分；危废暂存台账、转运记录和转移联单不对应的扣1分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1.查阅验收或备案文件、转运记录、转移单据等；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2" w:hRule="atLeast"/>
        </w:trPr>
        <w:tc>
          <w:tcPr>
            <w:tcW w:w="812"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6"/>
                <w:szCs w:val="16"/>
                <w:bdr w:val="none" w:color="auto" w:sz="0" w:space="0"/>
              </w:rPr>
              <w:t> 五、特种设备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9"/>
                <w:szCs w:val="19"/>
                <w:bdr w:val="none" w:color="auto" w:sz="0" w:space="0"/>
              </w:rPr>
              <w:t>（12分）</w:t>
            </w: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1.是否按规定设置特种设备安全管理负责人；是否配备相应的安全管理人员和作业人员并持证上岗；是否建立作业人员台账；是否开展安全教育培训</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无安全管理负责人和安全管理人员任命文件的，安全管理人员和作业人员未取证或证件不在有效期的，无特种作业人员台账、培训计划、培训记录的，发现一项扣1分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查阅人员任命文件、台账、培训计划、培训记录</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2.特种设备是否按要求办理使用登记并检验合格；安全附件、安全保护装置是否进行定期校验、检修并作出记录；从事气瓶、移动式压力容器充装的是否按要求取得充装许可证</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6</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特种设备未办理使用登记的、未定期检验的，安全附件、安全保护装置未定期校验检修的、未记录的，发现一项扣1分；未取得充装许可证从事气瓶、移动式压力容器充装的扣3分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查阅设备台账、校验检修记录、许可证件</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04"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3.是否建立特种设备台账及技术档案；是否对在用特种设备进行经常性维护保养和定期自行检查</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未建立特种设备台账或技术档案的扣1分；未定期维护保养的扣1分；未定期自行检查的扣1分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查阅设备台账、维保和检查记录</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76" w:hRule="atLeast"/>
        </w:trPr>
        <w:tc>
          <w:tcPr>
            <w:tcW w:w="812"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6"/>
                <w:szCs w:val="16"/>
                <w:bdr w:val="none" w:color="auto" w:sz="0" w:space="0"/>
              </w:rPr>
              <w:t> 六、作业场所与作业管理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eastAsia" w:ascii="宋体" w:hAnsi="宋体" w:eastAsia="宋体" w:cs="宋体"/>
                <w:b/>
                <w:i w:val="0"/>
                <w:caps w:val="0"/>
                <w:color w:val="3E3E3E"/>
                <w:spacing w:val="0"/>
                <w:sz w:val="19"/>
                <w:szCs w:val="19"/>
                <w:bdr w:val="none" w:color="auto" w:sz="0" w:space="0"/>
              </w:rPr>
              <w:t>（23分）</w:t>
            </w: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1.是否根据储存的危险化学品种类和危险特性，在作业场所按规定设置相应的安全设施、设备，并按照相关标准和规定进行经常性维护、保养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8</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安全设施、设备未按规定设置的，发现一处扣1分；未按规定维护保养的，发现一处扣1分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1.查看设计和维保记录；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8"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2.是否按规定制定危险化学品装卸作业安全管理制度和安全操作规程，并严格执行</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未制定安全管理制度或操作规程的扣2分；执行不到位的，发现一项扣1分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1.查阅制度、规程、台账；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2.调阅作业视频；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3.现场问询有关人员</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2"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3.是否在作业场所和安全设施、设备上设置明显的安全警示标志</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发现一处不符合要求的，扣1分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调阅视频或现场检查</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4.是否制定完善的检维修管理制度；是否在检维修作业前实施风险分析；是否采取和落实预防和控制措施；是否对检维修人员、监护人员进行安全教育培训和检修方案现场交底</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4</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未制定检维修管理制度的扣1分；未实施风险分析的扣1分；未落实预控措施的扣1分；未对相关人员进行安全教育培训或现场交底的，发现一项扣1分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1.查阅检维修制度、方案、作业记录等；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2.现场问询作业人员</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6" w:hRule="atLeast"/>
        </w:trPr>
        <w:tc>
          <w:tcPr>
            <w:tcW w:w="812"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E3E3E"/>
                <w:spacing w:val="0"/>
                <w:sz w:val="16"/>
                <w:szCs w:val="16"/>
              </w:rPr>
            </w:pPr>
          </w:p>
        </w:tc>
        <w:tc>
          <w:tcPr>
            <w:tcW w:w="299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5.是否按规定制定八类特殊作业规章制度并有效执行</w:t>
            </w:r>
          </w:p>
        </w:tc>
        <w:tc>
          <w:tcPr>
            <w:tcW w:w="33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5</w:t>
            </w:r>
          </w:p>
        </w:tc>
        <w:tc>
          <w:tcPr>
            <w:tcW w:w="1549"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作业制度未建立或未按照制度规程执行的，发现一项扣1分</w:t>
            </w:r>
          </w:p>
        </w:tc>
        <w:tc>
          <w:tcPr>
            <w:tcW w:w="10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1.查阅制度、规程和作业票证等；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2.调阅作业视频；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3.现场问询有关人员</w:t>
            </w:r>
          </w:p>
        </w:tc>
        <w:tc>
          <w:tcPr>
            <w:tcW w:w="133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i w:val="0"/>
                <w:caps w:val="0"/>
                <w:color w:val="3E3E3E"/>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0" w:hRule="atLeast"/>
        </w:trPr>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Style w:val="4"/>
                <w:rFonts w:hint="default" w:ascii="仿宋_gb2312" w:hAnsi="仿宋_gb2312" w:eastAsia="仿宋_gb2312" w:cs="仿宋_gb2312"/>
                <w:b/>
                <w:i w:val="0"/>
                <w:caps w:val="0"/>
                <w:color w:val="3E3E3E"/>
                <w:spacing w:val="0"/>
                <w:sz w:val="16"/>
                <w:szCs w:val="16"/>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一、总分100分，每一子项分值扣完为止。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二、评级分为“优”“中”“差”三个等次，具体根据评级得分确定。得分90分（含）以上的，评级为“优”；得分89.5分—60分的，评级为“中”；得分60分（不含）以下的，评级为“差”。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三、否决项中一项及以上为“是”的，评级为 “差”。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hAnsi="仿宋_gb2312" w:eastAsia="仿宋_gb2312" w:cs="仿宋_gb2312"/>
                <w:b w:val="0"/>
                <w:i w:val="0"/>
                <w:caps w:val="0"/>
                <w:color w:val="3E3E3E"/>
                <w:spacing w:val="0"/>
                <w:sz w:val="16"/>
                <w:szCs w:val="16"/>
                <w:bdr w:val="none" w:color="auto" w:sz="0" w:space="0"/>
              </w:rPr>
              <w:t>    四、本标准评级企业不包含油气长输管道、加油站和不带有储存设施的危险化学品经营企业。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2" w:hRule="atLeast"/>
        </w:trPr>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default" w:ascii="仿宋_gb2312" w:hAnsi="仿宋_gb2312" w:eastAsia="仿宋_gb2312" w:cs="仿宋_gb2312"/>
                <w:b/>
                <w:i w:val="0"/>
                <w:caps w:val="0"/>
                <w:color w:val="3E3E3E"/>
                <w:spacing w:val="0"/>
                <w:sz w:val="18"/>
                <w:szCs w:val="18"/>
                <w:bdr w:val="none" w:color="auto" w:sz="0" w:space="0"/>
              </w:rPr>
              <w:t>得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16" w:type="dxa"/>
            <w:gridSpan w:val="6"/>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Style w:val="4"/>
                <w:rFonts w:hint="default" w:ascii="仿宋_gb2312" w:hAnsi="仿宋_gb2312" w:eastAsia="仿宋_gb2312" w:cs="仿宋_gb2312"/>
                <w:b/>
                <w:i w:val="0"/>
                <w:caps w:val="0"/>
                <w:color w:val="3E3E3E"/>
                <w:spacing w:val="0"/>
                <w:sz w:val="18"/>
                <w:szCs w:val="18"/>
                <w:bdr w:val="none" w:color="auto" w:sz="0" w:space="0"/>
              </w:rPr>
              <w:t>评  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E3E3E"/>
          <w:spacing w:val="0"/>
          <w:sz w:val="16"/>
          <w:szCs w:val="16"/>
        </w:rPr>
      </w:pPr>
      <w:r>
        <w:rPr>
          <w:rFonts w:hint="default" w:ascii="仿宋_gb2312" w:hAnsi="仿宋_gb2312" w:eastAsia="仿宋_gb2312" w:cs="仿宋_gb2312"/>
          <w:b w:val="0"/>
          <w:i w:val="0"/>
          <w:caps w:val="0"/>
          <w:color w:val="3E3E3E"/>
          <w:spacing w:val="0"/>
          <w:sz w:val="16"/>
          <w:szCs w:val="16"/>
          <w:bdr w:val="none" w:color="auto" w:sz="0" w:space="0"/>
          <w:shd w:val="clear" w:fill="FFFFFF"/>
        </w:rPr>
        <w:t>评级单位：                           评级时间：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977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hf</dc:creator>
  <cp:lastModifiedBy>hf</cp:lastModifiedBy>
  <dcterms:modified xsi:type="dcterms:W3CDTF">2018-03-21T08:17:36Z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