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F6" w:rsidRDefault="008C32F6" w:rsidP="008C32F6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方正小标宋简体" w:eastAsia="方正小标宋简体" w:hAnsi="黑体" w:cs="黑体"/>
          <w:kern w:val="0"/>
          <w:sz w:val="44"/>
          <w:szCs w:val="44"/>
          <w:lang w:val="zh-CN"/>
        </w:rPr>
      </w:pPr>
      <w:r w:rsidRPr="00426AA6">
        <w:rPr>
          <w:rFonts w:ascii="方正小标宋简体" w:eastAsia="方正小标宋简体" w:hAnsi="黑体" w:cs="黑体" w:hint="eastAsia"/>
          <w:kern w:val="0"/>
          <w:sz w:val="44"/>
          <w:szCs w:val="44"/>
          <w:lang w:val="zh-CN"/>
        </w:rPr>
        <w:t>桓台县中等职业教育发展与质量年度报告</w:t>
      </w:r>
    </w:p>
    <w:p w:rsidR="008C32F6" w:rsidRPr="00F275EE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方正小标宋简体" w:eastAsia="方正小标宋简体" w:hAnsi="黑体" w:cs="黑体"/>
          <w:kern w:val="0"/>
          <w:sz w:val="44"/>
          <w:szCs w:val="44"/>
          <w:lang w:val="zh-CN"/>
        </w:rPr>
      </w:pPr>
    </w:p>
    <w:p w:rsidR="008C32F6" w:rsidRPr="00F275EE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楷体" w:eastAsia="楷体" w:hAnsi="楷体" w:cs="黑体"/>
          <w:kern w:val="0"/>
          <w:sz w:val="44"/>
          <w:szCs w:val="44"/>
          <w:lang w:val="zh-CN"/>
        </w:rPr>
      </w:pPr>
      <w:r w:rsidRPr="00F275EE">
        <w:rPr>
          <w:rFonts w:ascii="楷体" w:eastAsia="楷体" w:hAnsi="楷体" w:cs="黑体" w:hint="eastAsia"/>
          <w:kern w:val="0"/>
          <w:sz w:val="44"/>
          <w:szCs w:val="44"/>
          <w:lang w:val="zh-CN"/>
        </w:rPr>
        <w:t>（2014—2015学年）</w:t>
      </w: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</w:p>
    <w:p w:rsidR="008C32F6" w:rsidRPr="00B86567" w:rsidRDefault="008C32F6" w:rsidP="008C32F6">
      <w:pPr>
        <w:autoSpaceDE w:val="0"/>
        <w:autoSpaceDN w:val="0"/>
        <w:adjustRightInd w:val="0"/>
        <w:spacing w:line="440" w:lineRule="atLeast"/>
        <w:jc w:val="center"/>
        <w:rPr>
          <w:rFonts w:ascii="楷体" w:eastAsia="楷体" w:hAnsi="楷体" w:cs="黑体"/>
          <w:kern w:val="0"/>
          <w:sz w:val="44"/>
          <w:szCs w:val="44"/>
          <w:lang w:val="zh-CN"/>
        </w:rPr>
      </w:pPr>
      <w:r w:rsidRPr="00B86567">
        <w:rPr>
          <w:rFonts w:ascii="楷体" w:eastAsia="楷体" w:hAnsi="楷体" w:cs="黑体"/>
          <w:kern w:val="0"/>
          <w:sz w:val="44"/>
          <w:szCs w:val="44"/>
          <w:lang w:val="zh-CN"/>
        </w:rPr>
        <w:t>桓台县教育体育局</w:t>
      </w:r>
    </w:p>
    <w:p w:rsidR="008C32F6" w:rsidRPr="00B86567" w:rsidRDefault="008C32F6" w:rsidP="00CE38AC">
      <w:pPr>
        <w:autoSpaceDE w:val="0"/>
        <w:autoSpaceDN w:val="0"/>
        <w:adjustRightInd w:val="0"/>
        <w:spacing w:beforeLines="50" w:before="156" w:line="440" w:lineRule="atLeast"/>
        <w:jc w:val="center"/>
        <w:rPr>
          <w:rFonts w:ascii="楷体" w:eastAsia="楷体" w:hAnsi="楷体" w:cs="黑体"/>
          <w:kern w:val="0"/>
          <w:sz w:val="44"/>
          <w:szCs w:val="44"/>
          <w:lang w:val="zh-CN"/>
        </w:rPr>
      </w:pPr>
      <w:r w:rsidRPr="00B86567">
        <w:rPr>
          <w:rFonts w:ascii="楷体" w:eastAsia="楷体" w:hAnsi="楷体" w:cs="黑体" w:hint="eastAsia"/>
          <w:kern w:val="0"/>
          <w:sz w:val="44"/>
          <w:szCs w:val="44"/>
          <w:lang w:val="zh-CN"/>
        </w:rPr>
        <w:t>2015年12月</w:t>
      </w:r>
    </w:p>
    <w:p w:rsidR="008C32F6" w:rsidRDefault="008C32F6" w:rsidP="008C32F6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9721072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41926" w:rsidRDefault="00141926" w:rsidP="008C32F6">
          <w:pPr>
            <w:pStyle w:val="TOC"/>
            <w:spacing w:before="0" w:line="560" w:lineRule="exact"/>
            <w:jc w:val="center"/>
            <w:rPr>
              <w:lang w:val="zh-CN"/>
            </w:rPr>
          </w:pPr>
        </w:p>
        <w:p w:rsidR="008C32F6" w:rsidRPr="002F5480" w:rsidRDefault="008C32F6" w:rsidP="008C32F6">
          <w:pPr>
            <w:pStyle w:val="TOC"/>
            <w:spacing w:before="0" w:line="560" w:lineRule="exact"/>
            <w:jc w:val="center"/>
            <w:rPr>
              <w:rFonts w:eastAsia="仿宋"/>
              <w:b/>
              <w:color w:val="auto"/>
              <w:sz w:val="44"/>
              <w:szCs w:val="44"/>
              <w:lang w:val="zh-CN"/>
            </w:rPr>
          </w:pPr>
          <w:r w:rsidRPr="002F5480">
            <w:rPr>
              <w:rFonts w:eastAsia="仿宋"/>
              <w:b/>
              <w:color w:val="auto"/>
              <w:sz w:val="44"/>
              <w:szCs w:val="44"/>
              <w:lang w:val="zh-CN"/>
            </w:rPr>
            <w:t>目录</w:t>
          </w:r>
        </w:p>
        <w:p w:rsidR="008C32F6" w:rsidRPr="002F5480" w:rsidRDefault="008C32F6" w:rsidP="008C32F6">
          <w:pPr>
            <w:rPr>
              <w:lang w:val="zh-CN"/>
            </w:rPr>
          </w:pPr>
        </w:p>
        <w:p w:rsidR="008C32F6" w:rsidRPr="00B912C5" w:rsidRDefault="008C32F6" w:rsidP="008C32F6">
          <w:pPr>
            <w:pStyle w:val="10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r w:rsidRPr="00B912C5">
            <w:rPr>
              <w:rFonts w:ascii="仿宋_GB2312" w:eastAsia="仿宋_GB2312" w:hAnsi="仿宋" w:hint="eastAsia"/>
              <w:sz w:val="28"/>
            </w:rPr>
            <w:fldChar w:fldCharType="begin"/>
          </w:r>
          <w:r w:rsidRPr="00B912C5">
            <w:rPr>
              <w:rFonts w:ascii="仿宋_GB2312" w:eastAsia="仿宋_GB2312" w:hAnsi="仿宋" w:hint="eastAsia"/>
              <w:sz w:val="28"/>
            </w:rPr>
            <w:instrText xml:space="preserve"> TOC \o "1-3" \h \z \u </w:instrText>
          </w:r>
          <w:r w:rsidRPr="00B912C5">
            <w:rPr>
              <w:rFonts w:ascii="仿宋_GB2312" w:eastAsia="仿宋_GB2312" w:hAnsi="仿宋" w:hint="eastAsia"/>
              <w:sz w:val="28"/>
            </w:rPr>
            <w:fldChar w:fldCharType="separate"/>
          </w:r>
          <w:hyperlink w:anchor="_Toc437416869" w:history="1">
            <w:r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一、政府履职与全县中等职业教育发展情况</w:t>
            </w:r>
            <w:r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.1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0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（一）不断加大经费投入，为职业教育快速健康发展提供坚实保障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.1</w:t>
            </w:r>
          </w:hyperlink>
          <w:r w:rsidR="00247555" w:rsidRPr="00B912C5">
            <w:rPr>
              <w:rFonts w:ascii="仿宋_GB2312" w:eastAsia="仿宋_GB2312" w:hAnsi="仿宋" w:hint="eastAsia"/>
              <w:noProof/>
              <w:sz w:val="28"/>
            </w:rPr>
            <w:t xml:space="preserve"> </w:t>
          </w:r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1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（二）推动职业教育改革，积极构建我县现代职业教育体系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437C53">
              <w:rPr>
                <w:rFonts w:ascii="仿宋_GB2312" w:eastAsia="仿宋_GB2312" w:hAnsi="仿宋"/>
                <w:noProof/>
                <w:webHidden/>
                <w:sz w:val="28"/>
              </w:rPr>
              <w:t>4</w:t>
            </w:r>
          </w:hyperlink>
          <w:r w:rsidR="00247555" w:rsidRPr="00B912C5">
            <w:rPr>
              <w:rFonts w:ascii="仿宋_GB2312" w:eastAsia="仿宋_GB2312" w:hAnsi="仿宋" w:hint="eastAsia"/>
              <w:noProof/>
              <w:sz w:val="28"/>
            </w:rPr>
            <w:t xml:space="preserve"> </w:t>
          </w:r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2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</w:rPr>
              <w:t>（三）合理设置专业，积极打造中职教育特色专业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..</w:t>
            </w:r>
            <w:r w:rsidR="00437C53">
              <w:rPr>
                <w:rFonts w:ascii="仿宋_GB2312" w:eastAsia="仿宋_GB2312" w:hAnsi="仿宋"/>
                <w:noProof/>
                <w:webHidden/>
                <w:sz w:val="28"/>
              </w:rPr>
              <w:t>5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3" w:history="1">
            <w:r w:rsidR="008C32F6" w:rsidRPr="00B912C5">
              <w:rPr>
                <w:rStyle w:val="a3"/>
                <w:rFonts w:ascii="仿宋_GB2312" w:eastAsia="仿宋_GB2312" w:hAnsi="仿宋" w:cs="??_GB2312" w:hint="eastAsia"/>
                <w:noProof/>
                <w:sz w:val="28"/>
              </w:rPr>
              <w:t>（四）</w:t>
            </w:r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多方筹措资金，积极改善办学条件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437C53">
              <w:rPr>
                <w:rFonts w:ascii="仿宋_GB2312" w:eastAsia="仿宋_GB2312" w:hAnsi="仿宋"/>
                <w:noProof/>
                <w:webHidden/>
                <w:sz w:val="28"/>
              </w:rPr>
              <w:t>6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4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（五）加强“双师型”教师培养，提升教师队伍整体素质</w:t>
            </w:r>
            <w:r w:rsidR="00247555" w:rsidRPr="00247555">
              <w:rPr>
                <w:rStyle w:val="a3"/>
                <w:rFonts w:ascii="仿宋_GB2312" w:eastAsia="仿宋_GB2312" w:hAnsi="仿宋"/>
                <w:noProof/>
                <w:webHidden/>
                <w:sz w:val="28"/>
                <w:lang w:val="zh-CN"/>
              </w:rPr>
              <w:tab/>
            </w:r>
            <w:r w:rsidR="00437C53">
              <w:rPr>
                <w:rFonts w:ascii="仿宋_GB2312" w:eastAsia="仿宋_GB2312" w:hAnsi="仿宋"/>
                <w:noProof/>
                <w:webHidden/>
                <w:sz w:val="28"/>
              </w:rPr>
              <w:t>9</w:t>
            </w:r>
          </w:hyperlink>
        </w:p>
        <w:p w:rsidR="008C32F6" w:rsidRPr="00B912C5" w:rsidRDefault="00CE38AC" w:rsidP="008C32F6">
          <w:pPr>
            <w:pStyle w:val="10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5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</w:rPr>
              <w:t>二、我县中等职业教育质量及分析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1</w:t>
            </w:r>
            <w:r w:rsidR="00437C53">
              <w:rPr>
                <w:rFonts w:ascii="仿宋_GB2312" w:eastAsia="仿宋_GB2312" w:hAnsi="仿宋"/>
                <w:noProof/>
                <w:webHidden/>
                <w:sz w:val="28"/>
              </w:rPr>
              <w:t>0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6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（一）专业设置紧贴社会需求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1</w:t>
            </w:r>
            <w:r w:rsidR="00437C53">
              <w:rPr>
                <w:rFonts w:ascii="仿宋_GB2312" w:eastAsia="仿宋_GB2312" w:hAnsi="仿宋"/>
                <w:noProof/>
                <w:webHidden/>
                <w:sz w:val="28"/>
              </w:rPr>
              <w:t>0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7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（二）学生发展实现“素质、技能”双提升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1</w:t>
            </w:r>
            <w:r w:rsidR="00534474">
              <w:rPr>
                <w:rFonts w:ascii="仿宋_GB2312" w:eastAsia="仿宋_GB2312" w:hAnsi="仿宋"/>
                <w:noProof/>
                <w:webHidden/>
                <w:sz w:val="28"/>
              </w:rPr>
              <w:t>2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8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（三）课程改革体现以人为本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1</w:t>
            </w:r>
            <w:r w:rsidR="00534474">
              <w:rPr>
                <w:rFonts w:ascii="仿宋_GB2312" w:eastAsia="仿宋_GB2312" w:hAnsi="仿宋"/>
                <w:noProof/>
                <w:webHidden/>
                <w:sz w:val="28"/>
              </w:rPr>
              <w:t>5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79" w:history="1">
            <w:r w:rsidR="008C32F6" w:rsidRPr="00B912C5">
              <w:rPr>
                <w:rStyle w:val="a3"/>
                <w:rFonts w:ascii="仿宋_GB2312" w:eastAsia="仿宋_GB2312" w:hAnsi="仿宋" w:cs="??_GB2312" w:hint="eastAsia"/>
                <w:noProof/>
                <w:sz w:val="28"/>
              </w:rPr>
              <w:t>（四）</w:t>
            </w:r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校企合作提升人才培养质量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534474">
              <w:rPr>
                <w:rFonts w:ascii="仿宋_GB2312" w:eastAsia="仿宋_GB2312" w:hAnsi="仿宋"/>
                <w:noProof/>
                <w:webHidden/>
                <w:sz w:val="28"/>
              </w:rPr>
              <w:t>17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80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</w:rPr>
              <w:t>（五）社会培训服务经济社会发展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534474">
              <w:rPr>
                <w:rFonts w:ascii="仿宋_GB2312" w:eastAsia="仿宋_GB2312" w:hAnsi="仿宋"/>
                <w:noProof/>
                <w:webHidden/>
                <w:sz w:val="28"/>
              </w:rPr>
              <w:t>19</w:t>
            </w:r>
          </w:hyperlink>
        </w:p>
        <w:p w:rsidR="008C32F6" w:rsidRPr="00B912C5" w:rsidRDefault="00CE38AC" w:rsidP="008C32F6">
          <w:pPr>
            <w:pStyle w:val="10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81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三、问题与展望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2</w:t>
            </w:r>
            <w:r w:rsidR="00534474">
              <w:rPr>
                <w:rFonts w:ascii="仿宋_GB2312" w:eastAsia="仿宋_GB2312" w:hAnsi="仿宋"/>
                <w:noProof/>
                <w:webHidden/>
                <w:sz w:val="28"/>
              </w:rPr>
              <w:t>1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82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（一）制约职业教育发展的主要问题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2</w:t>
            </w:r>
            <w:r w:rsidR="00534474">
              <w:rPr>
                <w:rFonts w:ascii="仿宋_GB2312" w:eastAsia="仿宋_GB2312" w:hAnsi="仿宋"/>
                <w:noProof/>
                <w:webHidden/>
                <w:sz w:val="28"/>
              </w:rPr>
              <w:t>1</w:t>
            </w:r>
          </w:hyperlink>
        </w:p>
        <w:p w:rsidR="008C32F6" w:rsidRPr="00B912C5" w:rsidRDefault="00CE38AC" w:rsidP="008C32F6">
          <w:pPr>
            <w:pStyle w:val="2"/>
            <w:tabs>
              <w:tab w:val="right" w:leader="dot" w:pos="9168"/>
            </w:tabs>
            <w:spacing w:line="560" w:lineRule="exact"/>
            <w:rPr>
              <w:rFonts w:ascii="仿宋_GB2312" w:eastAsia="仿宋_GB2312" w:hAnsi="仿宋"/>
              <w:noProof/>
              <w:sz w:val="28"/>
            </w:rPr>
          </w:pPr>
          <w:hyperlink w:anchor="_Toc437416883" w:history="1">
            <w:r w:rsidR="008C32F6" w:rsidRPr="00B912C5">
              <w:rPr>
                <w:rStyle w:val="a3"/>
                <w:rFonts w:ascii="仿宋_GB2312" w:eastAsia="仿宋_GB2312" w:hAnsi="仿宋" w:hint="eastAsia"/>
                <w:noProof/>
                <w:sz w:val="28"/>
                <w:lang w:val="zh-CN"/>
              </w:rPr>
              <w:t>（二）今后加快发展现代职业教育的措施</w:t>
            </w:r>
            <w:r w:rsidR="008C32F6" w:rsidRPr="00B912C5">
              <w:rPr>
                <w:rFonts w:ascii="仿宋_GB2312" w:eastAsia="仿宋_GB2312" w:hAnsi="仿宋" w:hint="eastAsia"/>
                <w:noProof/>
                <w:webHidden/>
                <w:sz w:val="28"/>
              </w:rPr>
              <w:tab/>
            </w:r>
            <w:r w:rsidR="00247555">
              <w:rPr>
                <w:rFonts w:ascii="仿宋_GB2312" w:eastAsia="仿宋_GB2312" w:hAnsi="仿宋"/>
                <w:noProof/>
                <w:webHidden/>
                <w:sz w:val="28"/>
              </w:rPr>
              <w:t>2</w:t>
            </w:r>
            <w:r w:rsidR="00534474">
              <w:rPr>
                <w:rFonts w:ascii="仿宋_GB2312" w:eastAsia="仿宋_GB2312" w:hAnsi="仿宋"/>
                <w:noProof/>
                <w:webHidden/>
                <w:sz w:val="28"/>
              </w:rPr>
              <w:t>3</w:t>
            </w:r>
          </w:hyperlink>
        </w:p>
        <w:p w:rsidR="00CA489C" w:rsidRPr="00696B24" w:rsidRDefault="008C32F6" w:rsidP="008C32F6">
          <w:pPr>
            <w:rPr>
              <w:b/>
              <w:bCs/>
              <w:lang w:val="zh-CN"/>
            </w:rPr>
          </w:pPr>
          <w:r w:rsidRPr="00B912C5">
            <w:rPr>
              <w:rFonts w:ascii="仿宋_GB2312" w:eastAsia="仿宋_GB2312" w:hAnsi="仿宋" w:hint="eastAsia"/>
              <w:bCs/>
              <w:sz w:val="28"/>
              <w:lang w:val="zh-CN"/>
            </w:rPr>
            <w:fldChar w:fldCharType="end"/>
          </w:r>
        </w:p>
      </w:sdtContent>
    </w:sdt>
    <w:sectPr w:rsidR="00CA489C" w:rsidRPr="00696B24" w:rsidSect="00273066"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F6"/>
    <w:rsid w:val="00141926"/>
    <w:rsid w:val="00247555"/>
    <w:rsid w:val="00273066"/>
    <w:rsid w:val="00437C53"/>
    <w:rsid w:val="00534474"/>
    <w:rsid w:val="00696B24"/>
    <w:rsid w:val="008C32F6"/>
    <w:rsid w:val="00B86567"/>
    <w:rsid w:val="00CA489C"/>
    <w:rsid w:val="00CE38AC"/>
    <w:rsid w:val="00E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0F0B4-CD34-4054-8B6F-6811F4D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32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32F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C32F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C32F6"/>
  </w:style>
  <w:style w:type="paragraph" w:styleId="2">
    <w:name w:val="toc 2"/>
    <w:basedOn w:val="a"/>
    <w:next w:val="a"/>
    <w:autoRedefine/>
    <w:uiPriority w:val="39"/>
    <w:unhideWhenUsed/>
    <w:rsid w:val="008C32F6"/>
    <w:pPr>
      <w:ind w:leftChars="200" w:left="420"/>
    </w:pPr>
  </w:style>
  <w:style w:type="character" w:styleId="a3">
    <w:name w:val="Hyperlink"/>
    <w:basedOn w:val="a0"/>
    <w:uiPriority w:val="99"/>
    <w:unhideWhenUsed/>
    <w:rsid w:val="008C32F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A5D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5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2015-12-09T03:06:00Z</cp:lastPrinted>
  <dcterms:created xsi:type="dcterms:W3CDTF">2015-12-09T02:44:00Z</dcterms:created>
  <dcterms:modified xsi:type="dcterms:W3CDTF">2015-12-09T07:29:00Z</dcterms:modified>
</cp:coreProperties>
</file>